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double" w:sz="4" w:space="0" w:color="auto"/>
          <w:bottom w:val="single" w:sz="12" w:space="0" w:color="auto"/>
        </w:tblBorders>
        <w:tblLook w:val="0000" w:firstRow="0" w:lastRow="0" w:firstColumn="0" w:lastColumn="0" w:noHBand="0" w:noVBand="0"/>
      </w:tblPr>
      <w:tblGrid>
        <w:gridCol w:w="9468"/>
      </w:tblGrid>
      <w:tr w:rsidR="004851D7">
        <w:tc>
          <w:tcPr>
            <w:tcW w:w="9468" w:type="dxa"/>
            <w:tcBorders>
              <w:top w:val="double" w:sz="4" w:space="0" w:color="auto"/>
              <w:bottom w:val="single" w:sz="12" w:space="0" w:color="auto"/>
            </w:tcBorders>
          </w:tcPr>
          <w:p w:rsidR="004851D7" w:rsidRDefault="004851D7">
            <w:pPr>
              <w:jc w:val="center"/>
              <w:rPr>
                <w:b/>
                <w:bCs/>
                <w:color w:val="000000"/>
                <w:sz w:val="18"/>
                <w:szCs w:val="18"/>
              </w:rPr>
            </w:pPr>
            <w:r>
              <w:rPr>
                <w:b/>
                <w:bCs/>
                <w:color w:val="000000"/>
                <w:sz w:val="18"/>
                <w:szCs w:val="18"/>
              </w:rPr>
              <w:t>UNITED STATES</w:t>
            </w:r>
          </w:p>
          <w:p w:rsidR="004851D7" w:rsidRDefault="004851D7">
            <w:pPr>
              <w:jc w:val="center"/>
              <w:rPr>
                <w:b/>
                <w:bCs/>
                <w:color w:val="000000"/>
                <w:sz w:val="18"/>
                <w:szCs w:val="18"/>
              </w:rPr>
            </w:pPr>
            <w:r>
              <w:rPr>
                <w:b/>
                <w:bCs/>
                <w:color w:val="000000"/>
                <w:sz w:val="18"/>
                <w:szCs w:val="18"/>
              </w:rPr>
              <w:t>SECURITIES AND EXCHANGE COMMISSION</w:t>
            </w:r>
          </w:p>
          <w:p w:rsidR="004851D7" w:rsidRDefault="004851D7">
            <w:pPr>
              <w:spacing w:after="40"/>
              <w:jc w:val="center"/>
              <w:rPr>
                <w:b/>
                <w:bCs/>
                <w:iCs/>
                <w:color w:val="000000"/>
                <w:sz w:val="18"/>
                <w:szCs w:val="18"/>
              </w:rPr>
            </w:pPr>
            <w:r>
              <w:rPr>
                <w:b/>
                <w:bCs/>
                <w:iCs/>
                <w:color w:val="000000"/>
                <w:sz w:val="18"/>
                <w:szCs w:val="18"/>
              </w:rPr>
              <w:t>Washington, D.C.  20549</w:t>
            </w:r>
          </w:p>
        </w:tc>
      </w:tr>
    </w:tbl>
    <w:p w:rsidR="004851D7" w:rsidRDefault="004851D7">
      <w:pPr>
        <w:jc w:val="center"/>
        <w:rPr>
          <w:b/>
          <w:bCs/>
          <w:color w:val="000000"/>
          <w:sz w:val="18"/>
          <w:szCs w:val="18"/>
        </w:rPr>
      </w:pPr>
    </w:p>
    <w:p w:rsidR="004851D7" w:rsidRDefault="004851D7">
      <w:pPr>
        <w:jc w:val="center"/>
        <w:rPr>
          <w:b/>
          <w:bCs/>
          <w:iCs/>
          <w:color w:val="000000"/>
          <w:sz w:val="18"/>
          <w:szCs w:val="18"/>
        </w:rPr>
      </w:pPr>
      <w:r>
        <w:rPr>
          <w:b/>
          <w:bCs/>
          <w:iCs/>
          <w:color w:val="000000"/>
          <w:sz w:val="18"/>
          <w:szCs w:val="18"/>
        </w:rPr>
        <w:t>FORM 10-K</w:t>
      </w:r>
    </w:p>
    <w:p w:rsidR="004851D7" w:rsidRDefault="004851D7">
      <w:pPr>
        <w:spacing w:before="75"/>
        <w:rPr>
          <w:sz w:val="18"/>
          <w:szCs w:val="18"/>
        </w:rPr>
      </w:pPr>
      <w:r>
        <w:rPr>
          <w:bCs/>
          <w:sz w:val="18"/>
          <w:szCs w:val="18"/>
        </w:rPr>
        <w:t>(Mark One)</w:t>
      </w:r>
    </w:p>
    <w:tbl>
      <w:tblPr>
        <w:tblW w:w="5000" w:type="pct"/>
        <w:tblCellMar>
          <w:left w:w="0" w:type="dxa"/>
          <w:right w:w="0" w:type="dxa"/>
        </w:tblCellMar>
        <w:tblLook w:val="00A0" w:firstRow="1" w:lastRow="0" w:firstColumn="1" w:lastColumn="0" w:noHBand="0" w:noVBand="0"/>
      </w:tblPr>
      <w:tblGrid>
        <w:gridCol w:w="521"/>
        <w:gridCol w:w="9901"/>
      </w:tblGrid>
      <w:tr w:rsidR="004851D7">
        <w:tc>
          <w:tcPr>
            <w:tcW w:w="250" w:type="pct"/>
          </w:tcPr>
          <w:p w:rsidR="004851D7" w:rsidRDefault="004851D7">
            <w:pPr>
              <w:rPr>
                <w:sz w:val="18"/>
                <w:szCs w:val="18"/>
              </w:rPr>
            </w:pPr>
            <w:r>
              <w:rPr>
                <w:rFonts w:ascii="Wingdings" w:hAnsi="Wingdings"/>
                <w:bCs/>
                <w:sz w:val="18"/>
                <w:szCs w:val="18"/>
              </w:rPr>
              <w:t></w:t>
            </w:r>
          </w:p>
        </w:tc>
        <w:tc>
          <w:tcPr>
            <w:tcW w:w="0" w:type="auto"/>
          </w:tcPr>
          <w:p w:rsidR="004851D7" w:rsidRDefault="004851D7">
            <w:pPr>
              <w:rPr>
                <w:sz w:val="18"/>
                <w:szCs w:val="18"/>
              </w:rPr>
            </w:pPr>
            <w:r>
              <w:rPr>
                <w:bCs/>
                <w:sz w:val="18"/>
                <w:szCs w:val="18"/>
              </w:rPr>
              <w:t xml:space="preserve">ANNUAL REPORT PURSUANT TO SECTION 13 OR 15(d) OF THE SECURITIES EXCHANGE ACT OF 1934 </w:t>
            </w:r>
          </w:p>
        </w:tc>
      </w:tr>
    </w:tbl>
    <w:p w:rsidR="004851D7" w:rsidRDefault="004851D7">
      <w:pPr>
        <w:spacing w:before="75"/>
        <w:ind w:firstLine="612"/>
        <w:jc w:val="center"/>
        <w:rPr>
          <w:bCs/>
          <w:sz w:val="18"/>
          <w:szCs w:val="18"/>
        </w:rPr>
      </w:pPr>
      <w:r>
        <w:rPr>
          <w:bCs/>
          <w:sz w:val="18"/>
          <w:szCs w:val="18"/>
        </w:rPr>
        <w:t xml:space="preserve">For the fiscal year ended December 31, </w:t>
      </w:r>
      <w:r w:rsidR="00BD129E">
        <w:rPr>
          <w:bCs/>
          <w:sz w:val="18"/>
          <w:szCs w:val="18"/>
        </w:rPr>
        <w:t>2011</w:t>
      </w:r>
    </w:p>
    <w:p w:rsidR="004851D7" w:rsidRDefault="004851D7">
      <w:pPr>
        <w:spacing w:before="75"/>
        <w:ind w:firstLine="612"/>
        <w:rPr>
          <w:sz w:val="18"/>
          <w:szCs w:val="18"/>
        </w:rPr>
      </w:pPr>
      <w:r>
        <w:rPr>
          <w:sz w:val="18"/>
          <w:szCs w:val="18"/>
        </w:rPr>
        <w:t> </w:t>
      </w:r>
    </w:p>
    <w:tbl>
      <w:tblPr>
        <w:tblW w:w="5000" w:type="pct"/>
        <w:tblCellMar>
          <w:left w:w="0" w:type="dxa"/>
          <w:right w:w="0" w:type="dxa"/>
        </w:tblCellMar>
        <w:tblLook w:val="00A0" w:firstRow="1" w:lastRow="0" w:firstColumn="1" w:lastColumn="0" w:noHBand="0" w:noVBand="0"/>
      </w:tblPr>
      <w:tblGrid>
        <w:gridCol w:w="521"/>
        <w:gridCol w:w="9901"/>
      </w:tblGrid>
      <w:tr w:rsidR="004851D7">
        <w:tc>
          <w:tcPr>
            <w:tcW w:w="250" w:type="pct"/>
          </w:tcPr>
          <w:p w:rsidR="004851D7" w:rsidRDefault="004851D7">
            <w:pPr>
              <w:rPr>
                <w:sz w:val="18"/>
                <w:szCs w:val="18"/>
              </w:rPr>
            </w:pPr>
            <w:r>
              <w:rPr>
                <w:rFonts w:ascii="Wingdings" w:hAnsi="Wingdings"/>
                <w:bCs/>
                <w:sz w:val="18"/>
                <w:szCs w:val="18"/>
              </w:rPr>
              <w:t></w:t>
            </w:r>
          </w:p>
        </w:tc>
        <w:tc>
          <w:tcPr>
            <w:tcW w:w="0" w:type="auto"/>
          </w:tcPr>
          <w:p w:rsidR="004851D7" w:rsidRDefault="004851D7">
            <w:pPr>
              <w:rPr>
                <w:sz w:val="18"/>
                <w:szCs w:val="18"/>
              </w:rPr>
            </w:pPr>
            <w:r>
              <w:rPr>
                <w:bCs/>
                <w:sz w:val="18"/>
                <w:szCs w:val="18"/>
              </w:rPr>
              <w:t xml:space="preserve">TRANSITION REPORT PURSUANT TO SECTION 13 OR 15(d) OF THE SECURITIES EXCHANGE ACT OF 1934 </w:t>
            </w:r>
          </w:p>
        </w:tc>
      </w:tr>
    </w:tbl>
    <w:p w:rsidR="004851D7" w:rsidRDefault="004851D7">
      <w:pPr>
        <w:spacing w:before="75"/>
        <w:ind w:firstLine="612"/>
        <w:jc w:val="center"/>
        <w:rPr>
          <w:sz w:val="18"/>
          <w:szCs w:val="18"/>
        </w:rPr>
      </w:pPr>
      <w:r>
        <w:rPr>
          <w:bCs/>
          <w:sz w:val="18"/>
          <w:szCs w:val="18"/>
        </w:rPr>
        <w:t>For the transition period from  </w:t>
      </w:r>
      <w:r>
        <w:rPr>
          <w:bCs/>
          <w:sz w:val="18"/>
          <w:szCs w:val="18"/>
          <w:u w:val="single"/>
        </w:rPr>
        <w:t>          </w:t>
      </w:r>
      <w:r>
        <w:rPr>
          <w:bCs/>
          <w:sz w:val="18"/>
          <w:szCs w:val="18"/>
        </w:rPr>
        <w:t xml:space="preserve"> to  </w:t>
      </w:r>
      <w:r>
        <w:rPr>
          <w:bCs/>
          <w:sz w:val="18"/>
          <w:szCs w:val="18"/>
          <w:u w:val="single"/>
        </w:rPr>
        <w:t>           </w:t>
      </w:r>
    </w:p>
    <w:p w:rsidR="004851D7" w:rsidRDefault="004851D7">
      <w:pPr>
        <w:jc w:val="center"/>
        <w:rPr>
          <w:color w:val="000000"/>
          <w:sz w:val="18"/>
          <w:szCs w:val="18"/>
        </w:rPr>
      </w:pPr>
    </w:p>
    <w:p w:rsidR="004851D7" w:rsidRDefault="004851D7">
      <w:pPr>
        <w:jc w:val="center"/>
        <w:rPr>
          <w:color w:val="000000"/>
          <w:sz w:val="18"/>
          <w:szCs w:val="18"/>
        </w:rPr>
      </w:pPr>
      <w:r>
        <w:rPr>
          <w:color w:val="000000"/>
          <w:sz w:val="18"/>
          <w:szCs w:val="18"/>
        </w:rPr>
        <w:t>Commission File No.: 0-26192</w:t>
      </w:r>
    </w:p>
    <w:p w:rsidR="004851D7" w:rsidRDefault="004851D7">
      <w:pPr>
        <w:jc w:val="center"/>
        <w:rPr>
          <w:b/>
          <w:bCs/>
          <w:color w:val="000000"/>
          <w:sz w:val="18"/>
          <w:szCs w:val="18"/>
        </w:rPr>
      </w:pPr>
      <w:proofErr w:type="spellStart"/>
      <w:r>
        <w:rPr>
          <w:b/>
          <w:bCs/>
          <w:color w:val="000000"/>
          <w:sz w:val="18"/>
          <w:szCs w:val="18"/>
        </w:rPr>
        <w:t>MakeMusic</w:t>
      </w:r>
      <w:proofErr w:type="spellEnd"/>
      <w:r>
        <w:rPr>
          <w:b/>
          <w:bCs/>
          <w:color w:val="000000"/>
          <w:sz w:val="18"/>
          <w:szCs w:val="18"/>
        </w:rPr>
        <w:t>, Inc.</w:t>
      </w:r>
    </w:p>
    <w:p w:rsidR="004851D7" w:rsidRDefault="004851D7">
      <w:pPr>
        <w:jc w:val="center"/>
        <w:rPr>
          <w:color w:val="000000"/>
          <w:sz w:val="18"/>
          <w:szCs w:val="18"/>
        </w:rPr>
      </w:pPr>
      <w:r>
        <w:rPr>
          <w:color w:val="000000"/>
          <w:sz w:val="18"/>
          <w:szCs w:val="18"/>
        </w:rPr>
        <w:t>(Exact name of Registrant as specified in its charter)</w:t>
      </w:r>
    </w:p>
    <w:p w:rsidR="004851D7" w:rsidRDefault="004851D7">
      <w:pPr>
        <w:tabs>
          <w:tab w:val="center" w:pos="1080"/>
          <w:tab w:val="right" w:pos="9360"/>
        </w:tabs>
        <w:rPr>
          <w:b/>
          <w:bCs/>
          <w:color w:val="000000"/>
          <w:sz w:val="18"/>
          <w:szCs w:val="18"/>
        </w:rPr>
      </w:pPr>
      <w:r>
        <w:rPr>
          <w:b/>
          <w:bCs/>
          <w:color w:val="000000"/>
          <w:sz w:val="18"/>
          <w:szCs w:val="18"/>
        </w:rPr>
        <w:t xml:space="preserve">  </w:t>
      </w:r>
      <w:r>
        <w:rPr>
          <w:b/>
          <w:bCs/>
          <w:color w:val="000000"/>
          <w:sz w:val="18"/>
          <w:szCs w:val="18"/>
        </w:rPr>
        <w:tab/>
        <w:t xml:space="preserve">Minnesota                                                      </w:t>
      </w:r>
      <w:r>
        <w:rPr>
          <w:b/>
          <w:bCs/>
          <w:color w:val="000000"/>
          <w:sz w:val="18"/>
          <w:szCs w:val="18"/>
        </w:rPr>
        <w:tab/>
        <w:t>41-1716250</w:t>
      </w:r>
    </w:p>
    <w:p w:rsidR="004851D7" w:rsidRDefault="004851D7">
      <w:pPr>
        <w:tabs>
          <w:tab w:val="right" w:pos="9360"/>
        </w:tabs>
        <w:rPr>
          <w:color w:val="000000"/>
          <w:sz w:val="18"/>
          <w:szCs w:val="18"/>
        </w:rPr>
      </w:pPr>
      <w:r>
        <w:rPr>
          <w:color w:val="000000"/>
          <w:sz w:val="18"/>
          <w:szCs w:val="18"/>
        </w:rPr>
        <w:t>(State or other jurisdiction of</w:t>
      </w:r>
      <w:r>
        <w:rPr>
          <w:color w:val="000000"/>
          <w:sz w:val="18"/>
          <w:szCs w:val="18"/>
        </w:rPr>
        <w:tab/>
        <w:t>(I.R.S. Employer</w:t>
      </w:r>
    </w:p>
    <w:p w:rsidR="004851D7" w:rsidRDefault="004851D7">
      <w:pPr>
        <w:tabs>
          <w:tab w:val="right" w:pos="9360"/>
        </w:tabs>
        <w:rPr>
          <w:color w:val="000000"/>
          <w:sz w:val="18"/>
          <w:szCs w:val="18"/>
        </w:rPr>
      </w:pPr>
      <w:proofErr w:type="gramStart"/>
      <w:r>
        <w:rPr>
          <w:color w:val="000000"/>
          <w:sz w:val="18"/>
          <w:szCs w:val="18"/>
        </w:rPr>
        <w:t>incorporation or organization)</w:t>
      </w:r>
      <w:r>
        <w:rPr>
          <w:color w:val="000000"/>
          <w:sz w:val="18"/>
          <w:szCs w:val="18"/>
        </w:rPr>
        <w:tab/>
        <w:t>Identification No.)</w:t>
      </w:r>
      <w:proofErr w:type="gramEnd"/>
    </w:p>
    <w:p w:rsidR="004851D7" w:rsidRDefault="004851D7">
      <w:pPr>
        <w:jc w:val="center"/>
        <w:rPr>
          <w:b/>
          <w:bCs/>
          <w:color w:val="000000"/>
          <w:sz w:val="18"/>
          <w:szCs w:val="18"/>
        </w:rPr>
      </w:pPr>
      <w:r>
        <w:rPr>
          <w:b/>
          <w:color w:val="000000"/>
          <w:sz w:val="18"/>
          <w:szCs w:val="18"/>
        </w:rPr>
        <w:t>7615 Golden Triangle Drive, Suite M, Eden Prairie, MN 55344</w:t>
      </w:r>
    </w:p>
    <w:p w:rsidR="004851D7" w:rsidRDefault="004851D7">
      <w:pPr>
        <w:jc w:val="center"/>
        <w:rPr>
          <w:color w:val="000000"/>
          <w:sz w:val="18"/>
          <w:szCs w:val="18"/>
        </w:rPr>
      </w:pPr>
      <w:r>
        <w:rPr>
          <w:color w:val="000000"/>
          <w:sz w:val="18"/>
          <w:szCs w:val="18"/>
        </w:rPr>
        <w:t>(Address of principal executive offices)</w:t>
      </w:r>
    </w:p>
    <w:p w:rsidR="004851D7" w:rsidRDefault="004851D7">
      <w:pPr>
        <w:jc w:val="center"/>
        <w:rPr>
          <w:color w:val="000000"/>
          <w:sz w:val="18"/>
          <w:szCs w:val="18"/>
        </w:rPr>
      </w:pPr>
    </w:p>
    <w:p w:rsidR="004851D7" w:rsidRDefault="004851D7">
      <w:pPr>
        <w:jc w:val="center"/>
        <w:rPr>
          <w:color w:val="000000"/>
          <w:sz w:val="18"/>
          <w:szCs w:val="18"/>
        </w:rPr>
      </w:pPr>
      <w:r>
        <w:rPr>
          <w:b/>
          <w:bCs/>
          <w:color w:val="000000"/>
          <w:sz w:val="18"/>
          <w:szCs w:val="18"/>
        </w:rPr>
        <w:t>(952) 937-9611</w:t>
      </w:r>
      <w:r>
        <w:rPr>
          <w:color w:val="000000"/>
          <w:sz w:val="18"/>
          <w:szCs w:val="18"/>
        </w:rPr>
        <w:t xml:space="preserve"> </w:t>
      </w:r>
    </w:p>
    <w:p w:rsidR="004851D7" w:rsidRDefault="004851D7">
      <w:pPr>
        <w:jc w:val="center"/>
        <w:rPr>
          <w:b/>
          <w:bCs/>
          <w:color w:val="000000"/>
          <w:sz w:val="18"/>
          <w:szCs w:val="18"/>
        </w:rPr>
      </w:pPr>
      <w:r>
        <w:rPr>
          <w:color w:val="000000"/>
          <w:sz w:val="18"/>
          <w:szCs w:val="18"/>
        </w:rPr>
        <w:t xml:space="preserve">(Registrant’s telephone number, including area code) </w:t>
      </w:r>
      <w:r>
        <w:rPr>
          <w:b/>
          <w:bCs/>
          <w:color w:val="000000"/>
          <w:sz w:val="18"/>
          <w:szCs w:val="18"/>
        </w:rPr>
        <w:t xml:space="preserve"> </w:t>
      </w:r>
    </w:p>
    <w:p w:rsidR="004851D7" w:rsidRDefault="004851D7">
      <w:pPr>
        <w:jc w:val="center"/>
        <w:rPr>
          <w:color w:val="000000"/>
          <w:sz w:val="18"/>
          <w:szCs w:val="18"/>
        </w:rPr>
      </w:pPr>
    </w:p>
    <w:p w:rsidR="004851D7" w:rsidRDefault="004851D7">
      <w:pPr>
        <w:jc w:val="center"/>
        <w:rPr>
          <w:color w:val="000000"/>
          <w:sz w:val="18"/>
          <w:szCs w:val="18"/>
        </w:rPr>
      </w:pPr>
      <w:r>
        <w:rPr>
          <w:color w:val="000000"/>
          <w:sz w:val="18"/>
          <w:szCs w:val="18"/>
        </w:rPr>
        <w:t xml:space="preserve">Securities registered pursuant to Section 12(b) of the Act:  </w:t>
      </w:r>
    </w:p>
    <w:p w:rsidR="004851D7" w:rsidRDefault="0027475E">
      <w:pPr>
        <w:tabs>
          <w:tab w:val="left" w:pos="600"/>
          <w:tab w:val="right" w:pos="9360"/>
        </w:tabs>
        <w:rPr>
          <w:color w:val="000000"/>
          <w:sz w:val="18"/>
          <w:szCs w:val="18"/>
        </w:rPr>
      </w:pPr>
      <w:r>
        <w:rPr>
          <w:color w:val="000000"/>
          <w:sz w:val="18"/>
          <w:szCs w:val="18"/>
        </w:rPr>
        <w:tab/>
      </w:r>
      <w:r w:rsidR="004851D7">
        <w:rPr>
          <w:color w:val="000000"/>
          <w:sz w:val="18"/>
          <w:szCs w:val="18"/>
        </w:rPr>
        <w:t>Common Stock $.01 par value</w:t>
      </w:r>
      <w:r w:rsidR="004851D7">
        <w:rPr>
          <w:color w:val="000000"/>
          <w:sz w:val="18"/>
          <w:szCs w:val="18"/>
        </w:rPr>
        <w:tab/>
        <w:t>NASDAQ Capital Market</w:t>
      </w:r>
    </w:p>
    <w:p w:rsidR="004851D7" w:rsidRDefault="004851D7">
      <w:pPr>
        <w:tabs>
          <w:tab w:val="left" w:pos="600"/>
          <w:tab w:val="left" w:pos="960"/>
          <w:tab w:val="left" w:pos="6480"/>
          <w:tab w:val="right" w:pos="9360"/>
        </w:tabs>
        <w:rPr>
          <w:color w:val="000000"/>
          <w:sz w:val="18"/>
          <w:szCs w:val="18"/>
        </w:rPr>
      </w:pPr>
      <w:r>
        <w:rPr>
          <w:color w:val="000000"/>
          <w:sz w:val="18"/>
          <w:szCs w:val="18"/>
        </w:rPr>
        <w:tab/>
      </w:r>
      <w:r>
        <w:rPr>
          <w:color w:val="000000"/>
          <w:sz w:val="18"/>
          <w:szCs w:val="18"/>
        </w:rPr>
        <w:tab/>
        <w:t>(Title of each class)</w:t>
      </w:r>
      <w:r>
        <w:rPr>
          <w:color w:val="000000"/>
          <w:sz w:val="18"/>
          <w:szCs w:val="18"/>
        </w:rPr>
        <w:tab/>
        <w:t>(Name of each exchange on which registered)</w:t>
      </w:r>
    </w:p>
    <w:p w:rsidR="004851D7" w:rsidRDefault="004851D7">
      <w:pPr>
        <w:jc w:val="center"/>
        <w:rPr>
          <w:color w:val="000000"/>
          <w:sz w:val="18"/>
          <w:szCs w:val="18"/>
        </w:rPr>
      </w:pPr>
    </w:p>
    <w:p w:rsidR="004851D7" w:rsidRDefault="004851D7">
      <w:pPr>
        <w:jc w:val="center"/>
        <w:rPr>
          <w:color w:val="000000"/>
          <w:sz w:val="18"/>
          <w:szCs w:val="18"/>
        </w:rPr>
      </w:pPr>
      <w:r>
        <w:rPr>
          <w:color w:val="000000"/>
          <w:sz w:val="18"/>
          <w:szCs w:val="18"/>
        </w:rPr>
        <w:t>Securities registered pursuant to Section 12(g) of the Exchange Act:  None</w:t>
      </w:r>
    </w:p>
    <w:p w:rsidR="004851D7" w:rsidRDefault="004851D7">
      <w:pPr>
        <w:jc w:val="center"/>
        <w:rPr>
          <w:color w:val="000000"/>
          <w:sz w:val="18"/>
          <w:szCs w:val="18"/>
        </w:rPr>
      </w:pPr>
    </w:p>
    <w:p w:rsidR="004851D7" w:rsidRDefault="004851D7">
      <w:pPr>
        <w:spacing w:before="75"/>
        <w:ind w:right="-18"/>
        <w:rPr>
          <w:sz w:val="18"/>
          <w:szCs w:val="18"/>
        </w:rPr>
      </w:pPr>
      <w:r>
        <w:rPr>
          <w:sz w:val="18"/>
          <w:szCs w:val="18"/>
        </w:rPr>
        <w:t>Indicate by check mark if the registrant is a well-known seasoned issuer, as defined in Rule 405 of the Securities Act. Yes</w:t>
      </w:r>
      <w:proofErr w:type="gramStart"/>
      <w:r>
        <w:rPr>
          <w:sz w:val="18"/>
          <w:szCs w:val="18"/>
        </w:rPr>
        <w:t>  </w:t>
      </w:r>
      <w:r>
        <w:rPr>
          <w:rFonts w:ascii="Wingdings" w:hAnsi="Wingdings"/>
          <w:sz w:val="18"/>
          <w:szCs w:val="18"/>
        </w:rPr>
        <w:t></w:t>
      </w:r>
      <w:proofErr w:type="gramEnd"/>
      <w:r>
        <w:rPr>
          <w:sz w:val="18"/>
          <w:szCs w:val="18"/>
        </w:rPr>
        <w:t>    No  </w:t>
      </w:r>
      <w:r>
        <w:rPr>
          <w:rFonts w:ascii="Wingdings" w:hAnsi="Wingdings"/>
          <w:sz w:val="18"/>
          <w:szCs w:val="18"/>
        </w:rPr>
        <w:t></w:t>
      </w:r>
      <w:r>
        <w:rPr>
          <w:sz w:val="18"/>
          <w:szCs w:val="18"/>
        </w:rPr>
        <w:t xml:space="preserve"> </w:t>
      </w:r>
    </w:p>
    <w:p w:rsidR="004851D7" w:rsidRDefault="004851D7">
      <w:pPr>
        <w:spacing w:before="75"/>
        <w:rPr>
          <w:sz w:val="18"/>
          <w:szCs w:val="18"/>
        </w:rPr>
      </w:pPr>
      <w:r>
        <w:rPr>
          <w:sz w:val="18"/>
          <w:szCs w:val="18"/>
        </w:rPr>
        <w:t>Indicate by check mark if the registrant is not required to file reports pursuant to Section 13 or Section 15(d) of the Act. Yes</w:t>
      </w:r>
      <w:proofErr w:type="gramStart"/>
      <w:r>
        <w:rPr>
          <w:sz w:val="18"/>
          <w:szCs w:val="18"/>
        </w:rPr>
        <w:t>  </w:t>
      </w:r>
      <w:r>
        <w:rPr>
          <w:rFonts w:ascii="Wingdings" w:hAnsi="Wingdings"/>
          <w:sz w:val="18"/>
          <w:szCs w:val="18"/>
        </w:rPr>
        <w:t></w:t>
      </w:r>
      <w:proofErr w:type="gramEnd"/>
      <w:r>
        <w:rPr>
          <w:sz w:val="18"/>
          <w:szCs w:val="18"/>
        </w:rPr>
        <w:t>    No  </w:t>
      </w:r>
      <w:r>
        <w:rPr>
          <w:rFonts w:ascii="Wingdings" w:hAnsi="Wingdings"/>
          <w:sz w:val="18"/>
          <w:szCs w:val="18"/>
        </w:rPr>
        <w:t></w:t>
      </w:r>
      <w:r>
        <w:rPr>
          <w:sz w:val="18"/>
          <w:szCs w:val="18"/>
        </w:rPr>
        <w:t xml:space="preserve"> </w:t>
      </w:r>
    </w:p>
    <w:p w:rsidR="004851D7" w:rsidRDefault="004851D7">
      <w:pPr>
        <w:spacing w:before="75"/>
        <w:rPr>
          <w:sz w:val="18"/>
          <w:szCs w:val="18"/>
        </w:rPr>
      </w:pPr>
      <w:r>
        <w:rPr>
          <w:sz w:val="18"/>
          <w:szCs w:val="18"/>
        </w:rPr>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     Yes</w:t>
      </w:r>
      <w:proofErr w:type="gramStart"/>
      <w:r>
        <w:rPr>
          <w:sz w:val="18"/>
          <w:szCs w:val="18"/>
        </w:rPr>
        <w:t>  </w:t>
      </w:r>
      <w:r>
        <w:rPr>
          <w:rFonts w:ascii="Wingdings" w:hAnsi="Wingdings"/>
          <w:sz w:val="18"/>
          <w:szCs w:val="18"/>
        </w:rPr>
        <w:t></w:t>
      </w:r>
      <w:proofErr w:type="gramEnd"/>
      <w:r>
        <w:rPr>
          <w:sz w:val="18"/>
          <w:szCs w:val="18"/>
        </w:rPr>
        <w:t>    No  </w:t>
      </w:r>
      <w:r>
        <w:rPr>
          <w:rFonts w:ascii="Wingdings" w:hAnsi="Wingdings"/>
          <w:sz w:val="18"/>
          <w:szCs w:val="18"/>
        </w:rPr>
        <w:t></w:t>
      </w:r>
      <w:r>
        <w:rPr>
          <w:sz w:val="18"/>
          <w:szCs w:val="18"/>
        </w:rPr>
        <w:t> </w:t>
      </w:r>
    </w:p>
    <w:p w:rsidR="004851D7" w:rsidRDefault="004851D7">
      <w:pPr>
        <w:spacing w:before="75"/>
        <w:rPr>
          <w:sz w:val="18"/>
          <w:szCs w:val="18"/>
        </w:rPr>
      </w:pPr>
      <w:r>
        <w:rPr>
          <w:sz w:val="18"/>
          <w:szCs w:val="18"/>
        </w:rPr>
        <w:t xml:space="preserve">Indicate by check mark whether the registrant has submitted electronically and posted on its corporate Website, if any, every Interactive Data File required to be submitted and posted pursuant to Rule 405 of Regulation S-T (§232.405 of this chapter) during the preceding 12 months (or for such shorter period that the registrant was required to submit and post such files).  Yes </w:t>
      </w:r>
      <w:r w:rsidR="0027475E">
        <w:rPr>
          <w:rFonts w:ascii="Wingdings" w:hAnsi="Wingdings"/>
          <w:sz w:val="18"/>
          <w:szCs w:val="18"/>
        </w:rPr>
        <w:t></w:t>
      </w:r>
      <w:r>
        <w:rPr>
          <w:sz w:val="18"/>
          <w:szCs w:val="18"/>
        </w:rPr>
        <w:t xml:space="preserve"> </w:t>
      </w:r>
      <w:proofErr w:type="gramStart"/>
      <w:r>
        <w:rPr>
          <w:sz w:val="18"/>
          <w:szCs w:val="18"/>
        </w:rPr>
        <w:t xml:space="preserve">No  </w:t>
      </w:r>
      <w:r>
        <w:rPr>
          <w:sz w:val="18"/>
          <w:szCs w:val="18"/>
        </w:rPr>
        <w:t></w:t>
      </w:r>
      <w:proofErr w:type="gramEnd"/>
    </w:p>
    <w:p w:rsidR="004851D7" w:rsidRDefault="004851D7">
      <w:pPr>
        <w:spacing w:before="75"/>
        <w:rPr>
          <w:sz w:val="18"/>
          <w:szCs w:val="18"/>
        </w:rPr>
      </w:pPr>
      <w:r>
        <w:rPr>
          <w:sz w:val="18"/>
          <w:szCs w:val="18"/>
        </w:rPr>
        <w:t>Indicate by check mark if disclosure of delinquent filers pursuant to Item 405 of Regulation S-K (§ 229.405 of this chapter) is not contained herein, and will not be contained, to the best of registrant’s knowledge, in definitive proxy or information statements incorporated by reference in Part III of this Form 10-K or any amendment to this Form 10-K.  </w:t>
      </w:r>
      <w:r w:rsidR="0027475E">
        <w:rPr>
          <w:rFonts w:ascii="Wingdings" w:hAnsi="Wingdings"/>
          <w:sz w:val="18"/>
          <w:szCs w:val="18"/>
        </w:rPr>
        <w:t></w:t>
      </w:r>
      <w:r>
        <w:rPr>
          <w:sz w:val="18"/>
          <w:szCs w:val="18"/>
        </w:rPr>
        <w:t xml:space="preserve"> </w:t>
      </w:r>
    </w:p>
    <w:p w:rsidR="004851D7" w:rsidRDefault="004851D7">
      <w:pPr>
        <w:spacing w:before="75"/>
        <w:rPr>
          <w:sz w:val="18"/>
          <w:szCs w:val="18"/>
        </w:rPr>
      </w:pPr>
      <w:r>
        <w:rPr>
          <w:sz w:val="18"/>
          <w:szCs w:val="18"/>
        </w:rPr>
        <w:t>Indicate by check mark whether the registrant is a large accelerated filer, an accelerated filer, a non-accelerated filer, or a smaller reporting company. See the definitions of “large accelerated filer,” “accelerated filer” and “smaller reporting company” in Rule 12b-2 of the Exchange Act.</w:t>
      </w:r>
    </w:p>
    <w:tbl>
      <w:tblPr>
        <w:tblW w:w="4600" w:type="pct"/>
        <w:jc w:val="center"/>
        <w:tblCellSpacing w:w="0" w:type="dxa"/>
        <w:tblCellMar>
          <w:left w:w="0" w:type="dxa"/>
          <w:right w:w="0" w:type="dxa"/>
        </w:tblCellMar>
        <w:tblLook w:val="00A0" w:firstRow="1" w:lastRow="0" w:firstColumn="1" w:lastColumn="0" w:noHBand="0" w:noVBand="0"/>
      </w:tblPr>
      <w:tblGrid>
        <w:gridCol w:w="6423"/>
        <w:gridCol w:w="384"/>
        <w:gridCol w:w="2781"/>
      </w:tblGrid>
      <w:tr w:rsidR="004851D7">
        <w:trPr>
          <w:tblCellSpacing w:w="0" w:type="dxa"/>
          <w:jc w:val="center"/>
        </w:trPr>
        <w:tc>
          <w:tcPr>
            <w:tcW w:w="3350" w:type="pct"/>
            <w:vAlign w:val="center"/>
          </w:tcPr>
          <w:p w:rsidR="004851D7" w:rsidRDefault="004851D7">
            <w:pPr>
              <w:rPr>
                <w:sz w:val="18"/>
                <w:szCs w:val="18"/>
              </w:rPr>
            </w:pPr>
          </w:p>
        </w:tc>
        <w:tc>
          <w:tcPr>
            <w:tcW w:w="200" w:type="pct"/>
            <w:vAlign w:val="bottom"/>
          </w:tcPr>
          <w:p w:rsidR="004851D7" w:rsidRDefault="004851D7">
            <w:pPr>
              <w:rPr>
                <w:sz w:val="18"/>
                <w:szCs w:val="18"/>
              </w:rPr>
            </w:pPr>
          </w:p>
        </w:tc>
        <w:tc>
          <w:tcPr>
            <w:tcW w:w="1450" w:type="pct"/>
            <w:vAlign w:val="center"/>
          </w:tcPr>
          <w:p w:rsidR="004851D7" w:rsidRDefault="004851D7">
            <w:pPr>
              <w:rPr>
                <w:sz w:val="18"/>
                <w:szCs w:val="18"/>
              </w:rPr>
            </w:pPr>
          </w:p>
        </w:tc>
      </w:tr>
      <w:tr w:rsidR="004851D7">
        <w:trPr>
          <w:tblCellSpacing w:w="0" w:type="dxa"/>
          <w:jc w:val="center"/>
        </w:trPr>
        <w:tc>
          <w:tcPr>
            <w:tcW w:w="0" w:type="auto"/>
          </w:tcPr>
          <w:p w:rsidR="004851D7" w:rsidRDefault="004851D7">
            <w:pPr>
              <w:rPr>
                <w:sz w:val="18"/>
                <w:szCs w:val="18"/>
              </w:rPr>
            </w:pPr>
            <w:r>
              <w:rPr>
                <w:sz w:val="18"/>
                <w:szCs w:val="18"/>
              </w:rPr>
              <w:t>Large accelerated filer  </w:t>
            </w:r>
            <w:r>
              <w:rPr>
                <w:rFonts w:ascii="Wingdings" w:hAnsi="Wingdings"/>
                <w:sz w:val="18"/>
                <w:szCs w:val="18"/>
              </w:rPr>
              <w:t></w:t>
            </w:r>
          </w:p>
        </w:tc>
        <w:tc>
          <w:tcPr>
            <w:tcW w:w="0" w:type="auto"/>
            <w:vAlign w:val="bottom"/>
          </w:tcPr>
          <w:p w:rsidR="004851D7" w:rsidRDefault="004851D7">
            <w:pPr>
              <w:rPr>
                <w:sz w:val="18"/>
                <w:szCs w:val="18"/>
              </w:rPr>
            </w:pPr>
            <w:r>
              <w:rPr>
                <w:sz w:val="18"/>
                <w:szCs w:val="18"/>
              </w:rPr>
              <w:t>  </w:t>
            </w:r>
          </w:p>
        </w:tc>
        <w:tc>
          <w:tcPr>
            <w:tcW w:w="0" w:type="auto"/>
            <w:vAlign w:val="bottom"/>
          </w:tcPr>
          <w:p w:rsidR="004851D7" w:rsidRDefault="004851D7">
            <w:pPr>
              <w:rPr>
                <w:sz w:val="18"/>
                <w:szCs w:val="18"/>
              </w:rPr>
            </w:pPr>
            <w:r>
              <w:rPr>
                <w:sz w:val="18"/>
                <w:szCs w:val="18"/>
              </w:rPr>
              <w:t>Accelerated filer  </w:t>
            </w:r>
            <w:r>
              <w:rPr>
                <w:rFonts w:ascii="Wingdings" w:hAnsi="Wingdings"/>
                <w:sz w:val="18"/>
                <w:szCs w:val="18"/>
              </w:rPr>
              <w:t></w:t>
            </w:r>
          </w:p>
        </w:tc>
      </w:tr>
      <w:tr w:rsidR="004851D7">
        <w:trPr>
          <w:tblCellSpacing w:w="0" w:type="dxa"/>
          <w:jc w:val="center"/>
        </w:trPr>
        <w:tc>
          <w:tcPr>
            <w:tcW w:w="0" w:type="auto"/>
          </w:tcPr>
          <w:p w:rsidR="004851D7" w:rsidRDefault="004851D7">
            <w:pPr>
              <w:rPr>
                <w:sz w:val="18"/>
                <w:szCs w:val="18"/>
              </w:rPr>
            </w:pPr>
            <w:r>
              <w:rPr>
                <w:sz w:val="18"/>
                <w:szCs w:val="18"/>
              </w:rPr>
              <w:t>Non-accelerated filer  </w:t>
            </w:r>
            <w:r>
              <w:rPr>
                <w:rFonts w:ascii="Wingdings" w:hAnsi="Wingdings"/>
                <w:sz w:val="18"/>
                <w:szCs w:val="18"/>
              </w:rPr>
              <w:t></w:t>
            </w:r>
            <w:r>
              <w:rPr>
                <w:sz w:val="18"/>
                <w:szCs w:val="18"/>
              </w:rPr>
              <w:t>  (Do not check if smaller reporting company)</w:t>
            </w:r>
          </w:p>
        </w:tc>
        <w:tc>
          <w:tcPr>
            <w:tcW w:w="0" w:type="auto"/>
            <w:vAlign w:val="bottom"/>
          </w:tcPr>
          <w:p w:rsidR="004851D7" w:rsidRDefault="004851D7">
            <w:pPr>
              <w:rPr>
                <w:sz w:val="18"/>
                <w:szCs w:val="18"/>
              </w:rPr>
            </w:pPr>
            <w:r>
              <w:rPr>
                <w:sz w:val="18"/>
                <w:szCs w:val="18"/>
              </w:rPr>
              <w:t>  </w:t>
            </w:r>
          </w:p>
        </w:tc>
        <w:tc>
          <w:tcPr>
            <w:tcW w:w="0" w:type="auto"/>
            <w:vAlign w:val="bottom"/>
          </w:tcPr>
          <w:p w:rsidR="004851D7" w:rsidRDefault="004851D7">
            <w:pPr>
              <w:rPr>
                <w:sz w:val="18"/>
                <w:szCs w:val="18"/>
              </w:rPr>
            </w:pPr>
            <w:r>
              <w:rPr>
                <w:sz w:val="18"/>
                <w:szCs w:val="18"/>
              </w:rPr>
              <w:t>Smaller Reporting Company  </w:t>
            </w:r>
            <w:r>
              <w:rPr>
                <w:rFonts w:ascii="Wingdings" w:hAnsi="Wingdings"/>
                <w:sz w:val="18"/>
                <w:szCs w:val="18"/>
              </w:rPr>
              <w:t></w:t>
            </w:r>
          </w:p>
        </w:tc>
      </w:tr>
    </w:tbl>
    <w:p w:rsidR="004851D7" w:rsidRDefault="004851D7">
      <w:pPr>
        <w:spacing w:before="75"/>
        <w:rPr>
          <w:sz w:val="18"/>
          <w:szCs w:val="18"/>
        </w:rPr>
      </w:pPr>
      <w:r>
        <w:rPr>
          <w:sz w:val="18"/>
          <w:szCs w:val="18"/>
        </w:rPr>
        <w:t>Indicate by check mark whether the registrant is a shell company (as defined in Rule 12b-2 of the Act).     Yes</w:t>
      </w:r>
      <w:proofErr w:type="gramStart"/>
      <w:r>
        <w:rPr>
          <w:sz w:val="18"/>
          <w:szCs w:val="18"/>
        </w:rPr>
        <w:t>  </w:t>
      </w:r>
      <w:r>
        <w:rPr>
          <w:rFonts w:ascii="Wingdings" w:hAnsi="Wingdings"/>
          <w:sz w:val="18"/>
          <w:szCs w:val="18"/>
        </w:rPr>
        <w:t></w:t>
      </w:r>
      <w:proofErr w:type="gramEnd"/>
      <w:r>
        <w:rPr>
          <w:sz w:val="18"/>
          <w:szCs w:val="18"/>
        </w:rPr>
        <w:t>    No  </w:t>
      </w:r>
      <w:r>
        <w:rPr>
          <w:rFonts w:ascii="Wingdings" w:hAnsi="Wingdings"/>
          <w:sz w:val="18"/>
          <w:szCs w:val="18"/>
        </w:rPr>
        <w:t></w:t>
      </w:r>
      <w:r>
        <w:rPr>
          <w:sz w:val="18"/>
          <w:szCs w:val="18"/>
        </w:rPr>
        <w:t xml:space="preserve"> </w:t>
      </w:r>
    </w:p>
    <w:p w:rsidR="004851D7" w:rsidRDefault="004851D7">
      <w:pPr>
        <w:jc w:val="both"/>
        <w:rPr>
          <w:color w:val="000000"/>
          <w:sz w:val="18"/>
          <w:szCs w:val="18"/>
        </w:rPr>
      </w:pPr>
    </w:p>
    <w:p w:rsidR="004851D7" w:rsidRDefault="00BE1318">
      <w:pPr>
        <w:rPr>
          <w:sz w:val="18"/>
          <w:szCs w:val="18"/>
        </w:rPr>
      </w:pPr>
      <w:r>
        <w:rPr>
          <w:sz w:val="18"/>
          <w:szCs w:val="18"/>
        </w:rPr>
        <w:t>The aggregate market value of the Common Stock held by non-affiliates of the Registrant as of June 30, 2011 was approximately $16,693,787 based upon the closing price of the Registrant’s Common Stock on such date. For purposes of this disclosure, shares of common stock held as of such date by persons who then held more than 10% of the outstanding shares of common stock and shares held by then-current executive officers and directors of the registrant have been excluded because such persons may be deemed to be affiliates. This determination of executive officer or affiliate status is not necessarily a conclusive determination for other purposes.</w:t>
      </w:r>
    </w:p>
    <w:p w:rsidR="004851D7" w:rsidRDefault="004851D7">
      <w:pPr>
        <w:rPr>
          <w:sz w:val="18"/>
          <w:szCs w:val="18"/>
        </w:rPr>
      </w:pPr>
      <w:r>
        <w:rPr>
          <w:sz w:val="18"/>
          <w:szCs w:val="18"/>
        </w:rPr>
        <w:t xml:space="preserve">There were </w:t>
      </w:r>
      <w:r w:rsidR="00A2653E">
        <w:rPr>
          <w:sz w:val="18"/>
          <w:szCs w:val="18"/>
        </w:rPr>
        <w:t xml:space="preserve">4,934,020 </w:t>
      </w:r>
      <w:r>
        <w:rPr>
          <w:sz w:val="18"/>
          <w:szCs w:val="18"/>
        </w:rPr>
        <w:t>shares of Common Stock outstanding as of February 2</w:t>
      </w:r>
      <w:r w:rsidR="00BD129E">
        <w:rPr>
          <w:sz w:val="18"/>
          <w:szCs w:val="18"/>
        </w:rPr>
        <w:t>9</w:t>
      </w:r>
      <w:r>
        <w:rPr>
          <w:sz w:val="18"/>
          <w:szCs w:val="18"/>
        </w:rPr>
        <w:t xml:space="preserve">, </w:t>
      </w:r>
      <w:r w:rsidR="00BD129E">
        <w:rPr>
          <w:sz w:val="18"/>
          <w:szCs w:val="18"/>
        </w:rPr>
        <w:t>2012</w:t>
      </w:r>
      <w:r>
        <w:rPr>
          <w:sz w:val="18"/>
          <w:szCs w:val="18"/>
        </w:rPr>
        <w:t xml:space="preserve">.  </w:t>
      </w:r>
    </w:p>
    <w:p w:rsidR="004851D7" w:rsidRDefault="004851D7">
      <w:pPr>
        <w:rPr>
          <w:color w:val="000000"/>
          <w:sz w:val="18"/>
          <w:szCs w:val="18"/>
        </w:rPr>
      </w:pPr>
    </w:p>
    <w:p w:rsidR="004851D7" w:rsidRDefault="004851D7">
      <w:pPr>
        <w:jc w:val="center"/>
        <w:rPr>
          <w:b/>
          <w:bCs/>
          <w:iCs/>
          <w:color w:val="000000"/>
          <w:sz w:val="18"/>
          <w:szCs w:val="18"/>
        </w:rPr>
      </w:pPr>
    </w:p>
    <w:p w:rsidR="004851D7" w:rsidRDefault="004851D7">
      <w:pPr>
        <w:jc w:val="center"/>
        <w:rPr>
          <w:b/>
          <w:bCs/>
          <w:iCs/>
          <w:color w:val="000000"/>
          <w:sz w:val="18"/>
          <w:szCs w:val="18"/>
        </w:rPr>
      </w:pPr>
      <w:r>
        <w:rPr>
          <w:b/>
          <w:bCs/>
          <w:iCs/>
          <w:color w:val="000000"/>
          <w:sz w:val="18"/>
          <w:szCs w:val="18"/>
        </w:rPr>
        <w:t>DOCUMENTS INCORPORATED BY REFERENCE</w:t>
      </w:r>
    </w:p>
    <w:p w:rsidR="004851D7" w:rsidRDefault="004851D7">
      <w:pPr>
        <w:jc w:val="both"/>
        <w:rPr>
          <w:color w:val="000000"/>
          <w:sz w:val="18"/>
          <w:szCs w:val="18"/>
        </w:rPr>
      </w:pPr>
      <w:proofErr w:type="gramStart"/>
      <w:r>
        <w:rPr>
          <w:color w:val="000000"/>
          <w:sz w:val="18"/>
          <w:szCs w:val="18"/>
        </w:rPr>
        <w:t>None.</w:t>
      </w:r>
      <w:proofErr w:type="gramEnd"/>
      <w:r>
        <w:rPr>
          <w:color w:val="000000"/>
          <w:sz w:val="18"/>
          <w:szCs w:val="18"/>
        </w:rPr>
        <w:t xml:space="preserve">  </w:t>
      </w:r>
    </w:p>
    <w:p w:rsidR="004851D7" w:rsidRDefault="004851D7">
      <w:pPr>
        <w:rPr>
          <w:color w:val="000000"/>
          <w:sz w:val="18"/>
          <w:szCs w:val="18"/>
        </w:rPr>
      </w:pPr>
    </w:p>
    <w:p w:rsidR="004851D7" w:rsidRDefault="004851D7">
      <w:pPr>
        <w:rPr>
          <w:color w:val="000000"/>
          <w:sz w:val="18"/>
          <w:szCs w:val="18"/>
        </w:rPr>
      </w:pPr>
      <w:r>
        <w:rPr>
          <w:color w:val="000000"/>
          <w:sz w:val="18"/>
          <w:szCs w:val="18"/>
        </w:rPr>
        <w:t xml:space="preserve">Transitional Small Business Disclosure Format (check one).  </w:t>
      </w:r>
      <w:r>
        <w:rPr>
          <w:b/>
          <w:bCs/>
          <w:color w:val="000000"/>
          <w:sz w:val="18"/>
          <w:szCs w:val="18"/>
        </w:rPr>
        <w:t>Yes ___</w:t>
      </w:r>
      <w:proofErr w:type="gramStart"/>
      <w:r>
        <w:rPr>
          <w:b/>
          <w:bCs/>
          <w:color w:val="000000"/>
          <w:sz w:val="18"/>
          <w:szCs w:val="18"/>
        </w:rPr>
        <w:t>_  No</w:t>
      </w:r>
      <w:proofErr w:type="gramEnd"/>
      <w:r>
        <w:rPr>
          <w:b/>
          <w:bCs/>
          <w:color w:val="000000"/>
          <w:sz w:val="18"/>
          <w:szCs w:val="18"/>
        </w:rPr>
        <w:t xml:space="preserve"> </w:t>
      </w:r>
      <w:r>
        <w:rPr>
          <w:b/>
          <w:bCs/>
          <w:color w:val="000000"/>
          <w:sz w:val="18"/>
          <w:szCs w:val="18"/>
          <w:u w:val="single"/>
        </w:rPr>
        <w:t xml:space="preserve">   X   </w:t>
      </w:r>
    </w:p>
    <w:p w:rsidR="004851D7" w:rsidRDefault="004851D7">
      <w:pPr>
        <w:rPr>
          <w:color w:val="000000"/>
          <w:sz w:val="20"/>
        </w:rPr>
        <w:sectPr w:rsidR="004851D7" w:rsidSect="00557197">
          <w:pgSz w:w="12240" w:h="15840" w:code="1"/>
          <w:pgMar w:top="1008" w:right="810" w:bottom="1008" w:left="1008" w:header="720" w:footer="720" w:gutter="0"/>
          <w:cols w:space="720"/>
          <w:docGrid w:linePitch="360"/>
        </w:sectPr>
      </w:pPr>
    </w:p>
    <w:p w:rsidR="004851D7" w:rsidRDefault="004851D7">
      <w:pPr>
        <w:jc w:val="center"/>
        <w:rPr>
          <w:b/>
          <w:bCs/>
          <w:color w:val="000000"/>
          <w:sz w:val="20"/>
        </w:rPr>
      </w:pPr>
      <w:r>
        <w:rPr>
          <w:b/>
          <w:bCs/>
          <w:color w:val="000000"/>
          <w:sz w:val="20"/>
        </w:rPr>
        <w:lastRenderedPageBreak/>
        <w:t xml:space="preserve">TABLE OF CONTENTS </w:t>
      </w:r>
      <w:bookmarkStart w:id="0" w:name="_GoBack"/>
      <w:bookmarkEnd w:id="0"/>
      <w:r>
        <w:rPr>
          <w:b/>
          <w:bCs/>
          <w:color w:val="000000"/>
          <w:sz w:val="20"/>
        </w:rPr>
        <w:t xml:space="preserve">  </w:t>
      </w:r>
    </w:p>
    <w:p w:rsidR="004851D7" w:rsidRDefault="004851D7">
      <w:pPr>
        <w:jc w:val="right"/>
        <w:rPr>
          <w:color w:val="000000"/>
          <w:sz w:val="20"/>
        </w:rPr>
      </w:pPr>
      <w:r>
        <w:rPr>
          <w:color w:val="000000"/>
          <w:sz w:val="20"/>
        </w:rPr>
        <w:t>Page No.</w:t>
      </w:r>
    </w:p>
    <w:p w:rsidR="004851D7" w:rsidRDefault="004851D7">
      <w:pPr>
        <w:rPr>
          <w:color w:val="000000"/>
          <w:sz w:val="20"/>
        </w:rPr>
      </w:pPr>
    </w:p>
    <w:p w:rsidR="00755E9C" w:rsidRDefault="00755E9C" w:rsidP="00946D6C">
      <w:pPr>
        <w:pStyle w:val="TOC1"/>
        <w:rPr>
          <w:rFonts w:asciiTheme="minorHAnsi" w:eastAsiaTheme="minorEastAsia" w:hAnsiTheme="minorHAnsi" w:cstheme="minorBidi"/>
          <w:sz w:val="22"/>
          <w:szCs w:val="22"/>
        </w:rPr>
      </w:pPr>
      <w:r>
        <w:rPr>
          <w:color w:val="000000"/>
        </w:rPr>
        <w:tab/>
      </w:r>
      <w:r w:rsidR="00FC4057">
        <w:rPr>
          <w:color w:val="000000"/>
        </w:rPr>
        <w:fldChar w:fldCharType="begin"/>
      </w:r>
      <w:r w:rsidR="00FC4057">
        <w:rPr>
          <w:color w:val="000000"/>
        </w:rPr>
        <w:instrText xml:space="preserve"> TOC \o "1-3" \h \z \u </w:instrText>
      </w:r>
      <w:r w:rsidR="00FC4057">
        <w:rPr>
          <w:color w:val="000000"/>
        </w:rPr>
        <w:fldChar w:fldCharType="separate"/>
      </w:r>
      <w:hyperlink w:anchor="_Toc319405334" w:history="1">
        <w:r w:rsidRPr="007E3518">
          <w:rPr>
            <w:rStyle w:val="Hyperlink"/>
          </w:rPr>
          <w:t>PART I</w:t>
        </w:r>
        <w:r>
          <w:rPr>
            <w:webHidden/>
          </w:rPr>
          <w:tab/>
        </w:r>
        <w:r w:rsidR="00946D6C">
          <w:rPr>
            <w:webHidden/>
          </w:rPr>
          <w:t xml:space="preserve">  </w:t>
        </w:r>
        <w:r>
          <w:rPr>
            <w:webHidden/>
          </w:rPr>
          <w:fldChar w:fldCharType="begin"/>
        </w:r>
        <w:r>
          <w:rPr>
            <w:webHidden/>
          </w:rPr>
          <w:instrText xml:space="preserve"> PAGEREF _Toc319405334 \h </w:instrText>
        </w:r>
        <w:r>
          <w:rPr>
            <w:webHidden/>
          </w:rPr>
        </w:r>
        <w:r>
          <w:rPr>
            <w:webHidden/>
          </w:rPr>
          <w:fldChar w:fldCharType="separate"/>
        </w:r>
        <w:r>
          <w:rPr>
            <w:webHidden/>
          </w:rPr>
          <w:t>2</w:t>
        </w:r>
        <w:r>
          <w:rPr>
            <w:webHidden/>
          </w:rPr>
          <w:fldChar w:fldCharType="end"/>
        </w:r>
      </w:hyperlink>
    </w:p>
    <w:p w:rsidR="00755E9C" w:rsidRDefault="00755E9C" w:rsidP="00946D6C">
      <w:pPr>
        <w:pStyle w:val="TOC2"/>
        <w:rPr>
          <w:rFonts w:asciiTheme="minorHAnsi" w:eastAsiaTheme="minorEastAsia" w:hAnsiTheme="minorHAnsi" w:cstheme="minorBidi"/>
          <w:noProof/>
          <w:sz w:val="22"/>
          <w:szCs w:val="22"/>
        </w:rPr>
      </w:pPr>
      <w:hyperlink w:anchor="_Toc319405335" w:history="1">
        <w:r w:rsidRPr="007E3518">
          <w:rPr>
            <w:rStyle w:val="Hyperlink"/>
            <w:noProof/>
          </w:rPr>
          <w:t>ITEM 1.</w:t>
        </w:r>
        <w:r>
          <w:rPr>
            <w:rStyle w:val="Hyperlink"/>
            <w:noProof/>
          </w:rPr>
          <w:t xml:space="preserve">  </w:t>
        </w:r>
        <w:r w:rsidR="00946D6C">
          <w:rPr>
            <w:rStyle w:val="Hyperlink"/>
            <w:noProof/>
          </w:rPr>
          <w:tab/>
        </w:r>
        <w:r w:rsidRPr="007E3518">
          <w:rPr>
            <w:rStyle w:val="Hyperlink"/>
            <w:noProof/>
          </w:rPr>
          <w:t>BUSINESS</w:t>
        </w:r>
        <w:r>
          <w:rPr>
            <w:noProof/>
            <w:webHidden/>
          </w:rPr>
          <w:tab/>
        </w:r>
        <w:r w:rsidR="00946D6C">
          <w:rPr>
            <w:noProof/>
            <w:webHidden/>
          </w:rPr>
          <w:t xml:space="preserve">  </w:t>
        </w:r>
        <w:r>
          <w:rPr>
            <w:noProof/>
            <w:webHidden/>
          </w:rPr>
          <w:fldChar w:fldCharType="begin"/>
        </w:r>
        <w:r>
          <w:rPr>
            <w:noProof/>
            <w:webHidden/>
          </w:rPr>
          <w:instrText xml:space="preserve"> PAGEREF _Toc319405335 \h </w:instrText>
        </w:r>
        <w:r>
          <w:rPr>
            <w:noProof/>
            <w:webHidden/>
          </w:rPr>
        </w:r>
        <w:r>
          <w:rPr>
            <w:noProof/>
            <w:webHidden/>
          </w:rPr>
          <w:fldChar w:fldCharType="separate"/>
        </w:r>
        <w:r>
          <w:rPr>
            <w:noProof/>
            <w:webHidden/>
          </w:rPr>
          <w:t>2</w:t>
        </w:r>
        <w:r>
          <w:rPr>
            <w:noProof/>
            <w:webHidden/>
          </w:rPr>
          <w:fldChar w:fldCharType="end"/>
        </w:r>
      </w:hyperlink>
    </w:p>
    <w:p w:rsidR="00755E9C" w:rsidRDefault="00755E9C" w:rsidP="00946D6C">
      <w:pPr>
        <w:pStyle w:val="TOC2"/>
        <w:rPr>
          <w:rFonts w:asciiTheme="minorHAnsi" w:eastAsiaTheme="minorEastAsia" w:hAnsiTheme="minorHAnsi" w:cstheme="minorBidi"/>
          <w:noProof/>
          <w:sz w:val="22"/>
          <w:szCs w:val="22"/>
        </w:rPr>
      </w:pPr>
      <w:hyperlink w:anchor="_Toc319405336" w:history="1">
        <w:r w:rsidRPr="007E3518">
          <w:rPr>
            <w:rStyle w:val="Hyperlink"/>
            <w:noProof/>
          </w:rPr>
          <w:t>ITEM 1A.</w:t>
        </w:r>
        <w:r w:rsidR="00946D6C">
          <w:rPr>
            <w:rStyle w:val="Hyperlink"/>
            <w:noProof/>
          </w:rPr>
          <w:tab/>
        </w:r>
        <w:r w:rsidRPr="007E3518">
          <w:rPr>
            <w:rStyle w:val="Hyperlink"/>
            <w:noProof/>
          </w:rPr>
          <w:t>RISK FACTORS</w:t>
        </w:r>
        <w:r>
          <w:rPr>
            <w:noProof/>
            <w:webHidden/>
          </w:rPr>
          <w:tab/>
        </w:r>
        <w:r>
          <w:rPr>
            <w:noProof/>
            <w:webHidden/>
          </w:rPr>
          <w:fldChar w:fldCharType="begin"/>
        </w:r>
        <w:r>
          <w:rPr>
            <w:noProof/>
            <w:webHidden/>
          </w:rPr>
          <w:instrText xml:space="preserve"> PAGEREF _Toc319405336 \h </w:instrText>
        </w:r>
        <w:r>
          <w:rPr>
            <w:noProof/>
            <w:webHidden/>
          </w:rPr>
        </w:r>
        <w:r>
          <w:rPr>
            <w:noProof/>
            <w:webHidden/>
          </w:rPr>
          <w:fldChar w:fldCharType="separate"/>
        </w:r>
        <w:r>
          <w:rPr>
            <w:noProof/>
            <w:webHidden/>
          </w:rPr>
          <w:t>14</w:t>
        </w:r>
        <w:r>
          <w:rPr>
            <w:noProof/>
            <w:webHidden/>
          </w:rPr>
          <w:fldChar w:fldCharType="end"/>
        </w:r>
      </w:hyperlink>
    </w:p>
    <w:p w:rsidR="00755E9C" w:rsidRDefault="00755E9C" w:rsidP="00946D6C">
      <w:pPr>
        <w:pStyle w:val="TOC2"/>
        <w:rPr>
          <w:rFonts w:asciiTheme="minorHAnsi" w:eastAsiaTheme="minorEastAsia" w:hAnsiTheme="minorHAnsi" w:cstheme="minorBidi"/>
          <w:noProof/>
          <w:sz w:val="22"/>
          <w:szCs w:val="22"/>
        </w:rPr>
      </w:pPr>
      <w:hyperlink w:anchor="_Toc319405337" w:history="1">
        <w:r w:rsidRPr="007E3518">
          <w:rPr>
            <w:rStyle w:val="Hyperlink"/>
            <w:noProof/>
          </w:rPr>
          <w:t>ITEM 1B.</w:t>
        </w:r>
        <w:r w:rsidR="00946D6C">
          <w:rPr>
            <w:rStyle w:val="Hyperlink"/>
            <w:noProof/>
          </w:rPr>
          <w:tab/>
        </w:r>
        <w:r w:rsidRPr="007E3518">
          <w:rPr>
            <w:rStyle w:val="Hyperlink"/>
            <w:noProof/>
          </w:rPr>
          <w:t>UNRESOLVED STAFF COMMENTS</w:t>
        </w:r>
        <w:r>
          <w:rPr>
            <w:noProof/>
            <w:webHidden/>
          </w:rPr>
          <w:tab/>
        </w:r>
        <w:r>
          <w:rPr>
            <w:noProof/>
            <w:webHidden/>
          </w:rPr>
          <w:fldChar w:fldCharType="begin"/>
        </w:r>
        <w:r>
          <w:rPr>
            <w:noProof/>
            <w:webHidden/>
          </w:rPr>
          <w:instrText xml:space="preserve"> PAGEREF _Toc319405337 \h </w:instrText>
        </w:r>
        <w:r>
          <w:rPr>
            <w:noProof/>
            <w:webHidden/>
          </w:rPr>
        </w:r>
        <w:r>
          <w:rPr>
            <w:noProof/>
            <w:webHidden/>
          </w:rPr>
          <w:fldChar w:fldCharType="separate"/>
        </w:r>
        <w:r>
          <w:rPr>
            <w:noProof/>
            <w:webHidden/>
          </w:rPr>
          <w:t>14</w:t>
        </w:r>
        <w:r>
          <w:rPr>
            <w:noProof/>
            <w:webHidden/>
          </w:rPr>
          <w:fldChar w:fldCharType="end"/>
        </w:r>
      </w:hyperlink>
    </w:p>
    <w:p w:rsidR="00755E9C" w:rsidRDefault="00755E9C" w:rsidP="00946D6C">
      <w:pPr>
        <w:pStyle w:val="TOC2"/>
        <w:rPr>
          <w:rFonts w:asciiTheme="minorHAnsi" w:eastAsiaTheme="minorEastAsia" w:hAnsiTheme="minorHAnsi" w:cstheme="minorBidi"/>
          <w:noProof/>
          <w:sz w:val="22"/>
          <w:szCs w:val="22"/>
        </w:rPr>
      </w:pPr>
      <w:hyperlink w:anchor="_Toc319405338" w:history="1">
        <w:r w:rsidRPr="007E3518">
          <w:rPr>
            <w:rStyle w:val="Hyperlink"/>
            <w:noProof/>
          </w:rPr>
          <w:t>ITEM 2.</w:t>
        </w:r>
        <w:r>
          <w:rPr>
            <w:rStyle w:val="Hyperlink"/>
            <w:noProof/>
          </w:rPr>
          <w:t xml:space="preserve">  </w:t>
        </w:r>
        <w:r w:rsidR="00946D6C">
          <w:rPr>
            <w:rStyle w:val="Hyperlink"/>
            <w:noProof/>
          </w:rPr>
          <w:tab/>
        </w:r>
        <w:r w:rsidRPr="007E3518">
          <w:rPr>
            <w:rStyle w:val="Hyperlink"/>
            <w:noProof/>
          </w:rPr>
          <w:t>PROPERTIES</w:t>
        </w:r>
        <w:r>
          <w:rPr>
            <w:noProof/>
            <w:webHidden/>
          </w:rPr>
          <w:tab/>
        </w:r>
        <w:r>
          <w:rPr>
            <w:noProof/>
            <w:webHidden/>
          </w:rPr>
          <w:fldChar w:fldCharType="begin"/>
        </w:r>
        <w:r>
          <w:rPr>
            <w:noProof/>
            <w:webHidden/>
          </w:rPr>
          <w:instrText xml:space="preserve"> PAGEREF _Toc319405338 \h </w:instrText>
        </w:r>
        <w:r>
          <w:rPr>
            <w:noProof/>
            <w:webHidden/>
          </w:rPr>
        </w:r>
        <w:r>
          <w:rPr>
            <w:noProof/>
            <w:webHidden/>
          </w:rPr>
          <w:fldChar w:fldCharType="separate"/>
        </w:r>
        <w:r>
          <w:rPr>
            <w:noProof/>
            <w:webHidden/>
          </w:rPr>
          <w:t>14</w:t>
        </w:r>
        <w:r>
          <w:rPr>
            <w:noProof/>
            <w:webHidden/>
          </w:rPr>
          <w:fldChar w:fldCharType="end"/>
        </w:r>
      </w:hyperlink>
    </w:p>
    <w:p w:rsidR="00755E9C" w:rsidRDefault="00755E9C" w:rsidP="00946D6C">
      <w:pPr>
        <w:pStyle w:val="TOC2"/>
        <w:rPr>
          <w:rFonts w:asciiTheme="minorHAnsi" w:eastAsiaTheme="minorEastAsia" w:hAnsiTheme="minorHAnsi" w:cstheme="minorBidi"/>
          <w:noProof/>
          <w:sz w:val="22"/>
          <w:szCs w:val="22"/>
        </w:rPr>
      </w:pPr>
      <w:hyperlink w:anchor="_Toc319405339" w:history="1">
        <w:r w:rsidRPr="007E3518">
          <w:rPr>
            <w:rStyle w:val="Hyperlink"/>
            <w:noProof/>
          </w:rPr>
          <w:t>ITEM 3.</w:t>
        </w:r>
        <w:r>
          <w:rPr>
            <w:rStyle w:val="Hyperlink"/>
            <w:noProof/>
          </w:rPr>
          <w:t xml:space="preserve">  </w:t>
        </w:r>
        <w:r w:rsidR="00946D6C">
          <w:rPr>
            <w:rStyle w:val="Hyperlink"/>
            <w:noProof/>
          </w:rPr>
          <w:tab/>
        </w:r>
        <w:r w:rsidRPr="007E3518">
          <w:rPr>
            <w:rStyle w:val="Hyperlink"/>
            <w:noProof/>
          </w:rPr>
          <w:t>LEGAL PROCEEDINGS</w:t>
        </w:r>
        <w:r>
          <w:rPr>
            <w:noProof/>
            <w:webHidden/>
          </w:rPr>
          <w:tab/>
        </w:r>
        <w:r>
          <w:rPr>
            <w:noProof/>
            <w:webHidden/>
          </w:rPr>
          <w:fldChar w:fldCharType="begin"/>
        </w:r>
        <w:r>
          <w:rPr>
            <w:noProof/>
            <w:webHidden/>
          </w:rPr>
          <w:instrText xml:space="preserve"> PAGEREF _Toc319405339 \h </w:instrText>
        </w:r>
        <w:r>
          <w:rPr>
            <w:noProof/>
            <w:webHidden/>
          </w:rPr>
        </w:r>
        <w:r>
          <w:rPr>
            <w:noProof/>
            <w:webHidden/>
          </w:rPr>
          <w:fldChar w:fldCharType="separate"/>
        </w:r>
        <w:r>
          <w:rPr>
            <w:noProof/>
            <w:webHidden/>
          </w:rPr>
          <w:t>14</w:t>
        </w:r>
        <w:r>
          <w:rPr>
            <w:noProof/>
            <w:webHidden/>
          </w:rPr>
          <w:fldChar w:fldCharType="end"/>
        </w:r>
      </w:hyperlink>
    </w:p>
    <w:p w:rsidR="00755E9C" w:rsidRDefault="00755E9C" w:rsidP="00946D6C">
      <w:pPr>
        <w:pStyle w:val="TOC2"/>
        <w:rPr>
          <w:rFonts w:asciiTheme="minorHAnsi" w:eastAsiaTheme="minorEastAsia" w:hAnsiTheme="minorHAnsi" w:cstheme="minorBidi"/>
          <w:noProof/>
          <w:sz w:val="22"/>
          <w:szCs w:val="22"/>
        </w:rPr>
      </w:pPr>
      <w:hyperlink w:anchor="_Toc319405340" w:history="1">
        <w:r w:rsidRPr="007E3518">
          <w:rPr>
            <w:rStyle w:val="Hyperlink"/>
            <w:noProof/>
          </w:rPr>
          <w:t>ITEM 4.</w:t>
        </w:r>
        <w:r>
          <w:rPr>
            <w:rStyle w:val="Hyperlink"/>
            <w:noProof/>
          </w:rPr>
          <w:t xml:space="preserve">  </w:t>
        </w:r>
        <w:r w:rsidR="00946D6C">
          <w:rPr>
            <w:rStyle w:val="Hyperlink"/>
            <w:noProof/>
          </w:rPr>
          <w:tab/>
        </w:r>
        <w:r w:rsidRPr="007E3518">
          <w:rPr>
            <w:rStyle w:val="Hyperlink"/>
            <w:noProof/>
          </w:rPr>
          <w:t>MINE SAFETY DISCLOSURE</w:t>
        </w:r>
        <w:r>
          <w:rPr>
            <w:noProof/>
            <w:webHidden/>
          </w:rPr>
          <w:tab/>
        </w:r>
        <w:r>
          <w:rPr>
            <w:noProof/>
            <w:webHidden/>
          </w:rPr>
          <w:fldChar w:fldCharType="begin"/>
        </w:r>
        <w:r>
          <w:rPr>
            <w:noProof/>
            <w:webHidden/>
          </w:rPr>
          <w:instrText xml:space="preserve"> PAGEREF _Toc319405340 \h </w:instrText>
        </w:r>
        <w:r>
          <w:rPr>
            <w:noProof/>
            <w:webHidden/>
          </w:rPr>
        </w:r>
        <w:r>
          <w:rPr>
            <w:noProof/>
            <w:webHidden/>
          </w:rPr>
          <w:fldChar w:fldCharType="separate"/>
        </w:r>
        <w:r>
          <w:rPr>
            <w:noProof/>
            <w:webHidden/>
          </w:rPr>
          <w:t>14</w:t>
        </w:r>
        <w:r>
          <w:rPr>
            <w:noProof/>
            <w:webHidden/>
          </w:rPr>
          <w:fldChar w:fldCharType="end"/>
        </w:r>
      </w:hyperlink>
    </w:p>
    <w:p w:rsidR="00755E9C" w:rsidRPr="00755E9C" w:rsidRDefault="00755E9C" w:rsidP="00946D6C">
      <w:pPr>
        <w:pStyle w:val="TOC1"/>
        <w:rPr>
          <w:rStyle w:val="Hyperlink"/>
          <w:u w:val="none"/>
        </w:rPr>
      </w:pPr>
      <w:r w:rsidRPr="00755E9C">
        <w:rPr>
          <w:rStyle w:val="Hyperlink"/>
          <w:u w:val="none"/>
        </w:rPr>
        <w:tab/>
      </w:r>
    </w:p>
    <w:p w:rsidR="00755E9C" w:rsidRDefault="00755E9C" w:rsidP="00946D6C">
      <w:pPr>
        <w:pStyle w:val="TOC1"/>
        <w:rPr>
          <w:rFonts w:asciiTheme="minorHAnsi" w:eastAsiaTheme="minorEastAsia" w:hAnsiTheme="minorHAnsi" w:cstheme="minorBidi"/>
          <w:sz w:val="22"/>
          <w:szCs w:val="22"/>
        </w:rPr>
      </w:pPr>
      <w:r w:rsidRPr="00755E9C">
        <w:rPr>
          <w:rStyle w:val="Hyperlink"/>
          <w:u w:val="none"/>
        </w:rPr>
        <w:tab/>
      </w:r>
      <w:hyperlink w:anchor="_Toc319405341" w:history="1">
        <w:r w:rsidRPr="007E3518">
          <w:rPr>
            <w:rStyle w:val="Hyperlink"/>
          </w:rPr>
          <w:t>PART II</w:t>
        </w:r>
        <w:r w:rsidRPr="00755E9C">
          <w:rPr>
            <w:rStyle w:val="Hyperlink"/>
            <w:webHidden/>
          </w:rPr>
          <w:tab/>
        </w:r>
        <w:r w:rsidRPr="00755E9C">
          <w:rPr>
            <w:rStyle w:val="Hyperlink"/>
            <w:webHidden/>
          </w:rPr>
          <w:fldChar w:fldCharType="begin"/>
        </w:r>
        <w:r w:rsidRPr="00755E9C">
          <w:rPr>
            <w:rStyle w:val="Hyperlink"/>
            <w:webHidden/>
          </w:rPr>
          <w:instrText xml:space="preserve"> PAGEREF _Toc319405341 \h </w:instrText>
        </w:r>
        <w:r w:rsidRPr="00755E9C">
          <w:rPr>
            <w:rStyle w:val="Hyperlink"/>
            <w:webHidden/>
          </w:rPr>
        </w:r>
        <w:r w:rsidRPr="00755E9C">
          <w:rPr>
            <w:rStyle w:val="Hyperlink"/>
            <w:webHidden/>
          </w:rPr>
          <w:fldChar w:fldCharType="separate"/>
        </w:r>
        <w:r w:rsidRPr="00755E9C">
          <w:rPr>
            <w:rStyle w:val="Hyperlink"/>
            <w:webHidden/>
          </w:rPr>
          <w:t>15</w:t>
        </w:r>
        <w:r w:rsidRPr="00755E9C">
          <w:rPr>
            <w:rStyle w:val="Hyperlink"/>
            <w:webHidden/>
          </w:rPr>
          <w:fldChar w:fldCharType="end"/>
        </w:r>
      </w:hyperlink>
    </w:p>
    <w:p w:rsidR="00755E9C" w:rsidRDefault="00755E9C" w:rsidP="00946D6C">
      <w:pPr>
        <w:pStyle w:val="TOC2"/>
        <w:rPr>
          <w:rFonts w:asciiTheme="minorHAnsi" w:eastAsiaTheme="minorEastAsia" w:hAnsiTheme="minorHAnsi" w:cstheme="minorBidi"/>
          <w:noProof/>
          <w:sz w:val="22"/>
          <w:szCs w:val="22"/>
        </w:rPr>
      </w:pPr>
      <w:hyperlink w:anchor="_Toc319405342" w:history="1">
        <w:r w:rsidRPr="007E3518">
          <w:rPr>
            <w:rStyle w:val="Hyperlink"/>
            <w:noProof/>
          </w:rPr>
          <w:t>ITEM 5.</w:t>
        </w:r>
        <w:r>
          <w:rPr>
            <w:rStyle w:val="Hyperlink"/>
            <w:noProof/>
          </w:rPr>
          <w:t xml:space="preserve">  </w:t>
        </w:r>
        <w:r w:rsidR="00946D6C">
          <w:rPr>
            <w:rStyle w:val="Hyperlink"/>
            <w:noProof/>
          </w:rPr>
          <w:tab/>
        </w:r>
        <w:r w:rsidRPr="007E3518">
          <w:rPr>
            <w:rStyle w:val="Hyperlink"/>
            <w:noProof/>
          </w:rPr>
          <w:t>MARKET FOR REGISTRANT’S COMMON EQUITY, RELATED STOCKHOLDER MATTERS AND ISSUER PURCHASES OF EQUITY SECURITIES</w:t>
        </w:r>
        <w:r>
          <w:rPr>
            <w:noProof/>
            <w:webHidden/>
          </w:rPr>
          <w:tab/>
        </w:r>
        <w:r>
          <w:rPr>
            <w:noProof/>
            <w:webHidden/>
          </w:rPr>
          <w:fldChar w:fldCharType="begin"/>
        </w:r>
        <w:r>
          <w:rPr>
            <w:noProof/>
            <w:webHidden/>
          </w:rPr>
          <w:instrText xml:space="preserve"> PAGEREF _Toc319405342 \h </w:instrText>
        </w:r>
        <w:r>
          <w:rPr>
            <w:noProof/>
            <w:webHidden/>
          </w:rPr>
        </w:r>
        <w:r>
          <w:rPr>
            <w:noProof/>
            <w:webHidden/>
          </w:rPr>
          <w:fldChar w:fldCharType="separate"/>
        </w:r>
        <w:r>
          <w:rPr>
            <w:noProof/>
            <w:webHidden/>
          </w:rPr>
          <w:t>15</w:t>
        </w:r>
        <w:r>
          <w:rPr>
            <w:noProof/>
            <w:webHidden/>
          </w:rPr>
          <w:fldChar w:fldCharType="end"/>
        </w:r>
      </w:hyperlink>
    </w:p>
    <w:p w:rsidR="00755E9C" w:rsidRDefault="00755E9C" w:rsidP="00946D6C">
      <w:pPr>
        <w:pStyle w:val="TOC2"/>
        <w:rPr>
          <w:rFonts w:asciiTheme="minorHAnsi" w:eastAsiaTheme="minorEastAsia" w:hAnsiTheme="minorHAnsi" w:cstheme="minorBidi"/>
          <w:noProof/>
          <w:sz w:val="22"/>
          <w:szCs w:val="22"/>
        </w:rPr>
      </w:pPr>
      <w:hyperlink w:anchor="_Toc319405343" w:history="1">
        <w:r w:rsidRPr="007E3518">
          <w:rPr>
            <w:rStyle w:val="Hyperlink"/>
            <w:noProof/>
          </w:rPr>
          <w:t>ITEM 6.</w:t>
        </w:r>
        <w:r>
          <w:rPr>
            <w:rStyle w:val="Hyperlink"/>
            <w:noProof/>
          </w:rPr>
          <w:t xml:space="preserve">  </w:t>
        </w:r>
        <w:r w:rsidR="00946D6C">
          <w:rPr>
            <w:rStyle w:val="Hyperlink"/>
            <w:noProof/>
          </w:rPr>
          <w:tab/>
        </w:r>
        <w:r w:rsidRPr="007E3518">
          <w:rPr>
            <w:rStyle w:val="Hyperlink"/>
            <w:noProof/>
          </w:rPr>
          <w:t>SELECTED FINANCIAL DATA</w:t>
        </w:r>
        <w:r>
          <w:rPr>
            <w:noProof/>
            <w:webHidden/>
          </w:rPr>
          <w:tab/>
        </w:r>
        <w:r>
          <w:rPr>
            <w:noProof/>
            <w:webHidden/>
          </w:rPr>
          <w:fldChar w:fldCharType="begin"/>
        </w:r>
        <w:r>
          <w:rPr>
            <w:noProof/>
            <w:webHidden/>
          </w:rPr>
          <w:instrText xml:space="preserve"> PAGEREF _Toc319405343 \h </w:instrText>
        </w:r>
        <w:r>
          <w:rPr>
            <w:noProof/>
            <w:webHidden/>
          </w:rPr>
        </w:r>
        <w:r>
          <w:rPr>
            <w:noProof/>
            <w:webHidden/>
          </w:rPr>
          <w:fldChar w:fldCharType="separate"/>
        </w:r>
        <w:r>
          <w:rPr>
            <w:noProof/>
            <w:webHidden/>
          </w:rPr>
          <w:t>15</w:t>
        </w:r>
        <w:r>
          <w:rPr>
            <w:noProof/>
            <w:webHidden/>
          </w:rPr>
          <w:fldChar w:fldCharType="end"/>
        </w:r>
      </w:hyperlink>
    </w:p>
    <w:p w:rsidR="00755E9C" w:rsidRDefault="00755E9C" w:rsidP="00946D6C">
      <w:pPr>
        <w:pStyle w:val="TOC2"/>
        <w:rPr>
          <w:rFonts w:asciiTheme="minorHAnsi" w:eastAsiaTheme="minorEastAsia" w:hAnsiTheme="minorHAnsi" w:cstheme="minorBidi"/>
          <w:noProof/>
          <w:sz w:val="22"/>
          <w:szCs w:val="22"/>
        </w:rPr>
      </w:pPr>
      <w:hyperlink w:anchor="_Toc319405344" w:history="1">
        <w:r w:rsidRPr="007E3518">
          <w:rPr>
            <w:rStyle w:val="Hyperlink"/>
            <w:noProof/>
          </w:rPr>
          <w:t>ITEM 7.</w:t>
        </w:r>
        <w:r>
          <w:rPr>
            <w:rStyle w:val="Hyperlink"/>
            <w:noProof/>
          </w:rPr>
          <w:t xml:space="preserve">  </w:t>
        </w:r>
        <w:r w:rsidR="00946D6C">
          <w:rPr>
            <w:rStyle w:val="Hyperlink"/>
            <w:noProof/>
          </w:rPr>
          <w:tab/>
        </w:r>
        <w:r w:rsidRPr="007E3518">
          <w:rPr>
            <w:rStyle w:val="Hyperlink"/>
            <w:noProof/>
          </w:rPr>
          <w:t>MANAGEMENT’S DISCUSSION AND ANALYSIS OF FINANCIAL CONDITION AND RESULTS OF OPERATION</w:t>
        </w:r>
        <w:r>
          <w:rPr>
            <w:noProof/>
            <w:webHidden/>
          </w:rPr>
          <w:tab/>
        </w:r>
        <w:r>
          <w:rPr>
            <w:noProof/>
            <w:webHidden/>
          </w:rPr>
          <w:fldChar w:fldCharType="begin"/>
        </w:r>
        <w:r>
          <w:rPr>
            <w:noProof/>
            <w:webHidden/>
          </w:rPr>
          <w:instrText xml:space="preserve"> PAGEREF _Toc319405344 \h </w:instrText>
        </w:r>
        <w:r>
          <w:rPr>
            <w:noProof/>
            <w:webHidden/>
          </w:rPr>
        </w:r>
        <w:r>
          <w:rPr>
            <w:noProof/>
            <w:webHidden/>
          </w:rPr>
          <w:fldChar w:fldCharType="separate"/>
        </w:r>
        <w:r>
          <w:rPr>
            <w:noProof/>
            <w:webHidden/>
          </w:rPr>
          <w:t>16</w:t>
        </w:r>
        <w:r>
          <w:rPr>
            <w:noProof/>
            <w:webHidden/>
          </w:rPr>
          <w:fldChar w:fldCharType="end"/>
        </w:r>
      </w:hyperlink>
    </w:p>
    <w:p w:rsidR="00755E9C" w:rsidRDefault="00755E9C" w:rsidP="00946D6C">
      <w:pPr>
        <w:pStyle w:val="TOC2"/>
        <w:rPr>
          <w:rFonts w:asciiTheme="minorHAnsi" w:eastAsiaTheme="minorEastAsia" w:hAnsiTheme="minorHAnsi" w:cstheme="minorBidi"/>
          <w:noProof/>
          <w:sz w:val="22"/>
          <w:szCs w:val="22"/>
        </w:rPr>
      </w:pPr>
      <w:hyperlink w:anchor="_Toc319405345" w:history="1">
        <w:r w:rsidRPr="007E3518">
          <w:rPr>
            <w:rStyle w:val="Hyperlink"/>
            <w:noProof/>
          </w:rPr>
          <w:t>ITEM 7A.</w:t>
        </w:r>
        <w:r w:rsidR="00946D6C">
          <w:rPr>
            <w:rStyle w:val="Hyperlink"/>
            <w:noProof/>
          </w:rPr>
          <w:tab/>
        </w:r>
        <w:r w:rsidRPr="007E3518">
          <w:rPr>
            <w:rStyle w:val="Hyperlink"/>
            <w:noProof/>
          </w:rPr>
          <w:t>QUANTITATIVE AND QUALITATIVE DISCLOSURES ABOUT MARKET RISK</w:t>
        </w:r>
        <w:r>
          <w:rPr>
            <w:noProof/>
            <w:webHidden/>
          </w:rPr>
          <w:tab/>
        </w:r>
        <w:r>
          <w:rPr>
            <w:noProof/>
            <w:webHidden/>
          </w:rPr>
          <w:fldChar w:fldCharType="begin"/>
        </w:r>
        <w:r>
          <w:rPr>
            <w:noProof/>
            <w:webHidden/>
          </w:rPr>
          <w:instrText xml:space="preserve"> PAGEREF _Toc319405345 \h </w:instrText>
        </w:r>
        <w:r>
          <w:rPr>
            <w:noProof/>
            <w:webHidden/>
          </w:rPr>
        </w:r>
        <w:r>
          <w:rPr>
            <w:noProof/>
            <w:webHidden/>
          </w:rPr>
          <w:fldChar w:fldCharType="separate"/>
        </w:r>
        <w:r>
          <w:rPr>
            <w:noProof/>
            <w:webHidden/>
          </w:rPr>
          <w:t>26</w:t>
        </w:r>
        <w:r>
          <w:rPr>
            <w:noProof/>
            <w:webHidden/>
          </w:rPr>
          <w:fldChar w:fldCharType="end"/>
        </w:r>
      </w:hyperlink>
    </w:p>
    <w:p w:rsidR="00755E9C" w:rsidRDefault="00755E9C" w:rsidP="00946D6C">
      <w:pPr>
        <w:pStyle w:val="TOC2"/>
        <w:rPr>
          <w:rFonts w:asciiTheme="minorHAnsi" w:eastAsiaTheme="minorEastAsia" w:hAnsiTheme="minorHAnsi" w:cstheme="minorBidi"/>
          <w:noProof/>
          <w:sz w:val="22"/>
          <w:szCs w:val="22"/>
        </w:rPr>
      </w:pPr>
      <w:hyperlink w:anchor="_Toc319405346" w:history="1">
        <w:r w:rsidRPr="007E3518">
          <w:rPr>
            <w:rStyle w:val="Hyperlink"/>
            <w:noProof/>
          </w:rPr>
          <w:t>ITEM 8.</w:t>
        </w:r>
        <w:r>
          <w:rPr>
            <w:rStyle w:val="Hyperlink"/>
            <w:noProof/>
          </w:rPr>
          <w:t xml:space="preserve">  </w:t>
        </w:r>
        <w:r w:rsidR="00946D6C">
          <w:rPr>
            <w:rStyle w:val="Hyperlink"/>
            <w:noProof/>
          </w:rPr>
          <w:tab/>
        </w:r>
        <w:r w:rsidRPr="007E3518">
          <w:rPr>
            <w:rStyle w:val="Hyperlink"/>
            <w:noProof/>
          </w:rPr>
          <w:t>FINANCIAL STATEMENTS AND SUPPLEMENTARY DATA</w:t>
        </w:r>
        <w:r>
          <w:rPr>
            <w:noProof/>
            <w:webHidden/>
          </w:rPr>
          <w:tab/>
        </w:r>
        <w:r>
          <w:rPr>
            <w:noProof/>
            <w:webHidden/>
          </w:rPr>
          <w:fldChar w:fldCharType="begin"/>
        </w:r>
        <w:r>
          <w:rPr>
            <w:noProof/>
            <w:webHidden/>
          </w:rPr>
          <w:instrText xml:space="preserve"> PAGEREF _Toc319405346 \h </w:instrText>
        </w:r>
        <w:r>
          <w:rPr>
            <w:noProof/>
            <w:webHidden/>
          </w:rPr>
        </w:r>
        <w:r>
          <w:rPr>
            <w:noProof/>
            <w:webHidden/>
          </w:rPr>
          <w:fldChar w:fldCharType="separate"/>
        </w:r>
        <w:r>
          <w:rPr>
            <w:noProof/>
            <w:webHidden/>
          </w:rPr>
          <w:t>27</w:t>
        </w:r>
        <w:r>
          <w:rPr>
            <w:noProof/>
            <w:webHidden/>
          </w:rPr>
          <w:fldChar w:fldCharType="end"/>
        </w:r>
      </w:hyperlink>
    </w:p>
    <w:p w:rsidR="00755E9C" w:rsidRDefault="00755E9C" w:rsidP="00946D6C">
      <w:pPr>
        <w:pStyle w:val="TOC2"/>
        <w:rPr>
          <w:rFonts w:asciiTheme="minorHAnsi" w:eastAsiaTheme="minorEastAsia" w:hAnsiTheme="minorHAnsi" w:cstheme="minorBidi"/>
          <w:noProof/>
          <w:sz w:val="22"/>
          <w:szCs w:val="22"/>
        </w:rPr>
      </w:pPr>
      <w:hyperlink w:anchor="_Toc319405347" w:history="1">
        <w:r w:rsidRPr="007E3518">
          <w:rPr>
            <w:rStyle w:val="Hyperlink"/>
            <w:noProof/>
          </w:rPr>
          <w:t>ITEM 9.</w:t>
        </w:r>
        <w:r>
          <w:rPr>
            <w:rStyle w:val="Hyperlink"/>
            <w:noProof/>
          </w:rPr>
          <w:t xml:space="preserve">  </w:t>
        </w:r>
        <w:r w:rsidR="00946D6C">
          <w:rPr>
            <w:rStyle w:val="Hyperlink"/>
            <w:noProof/>
          </w:rPr>
          <w:tab/>
        </w:r>
        <w:r w:rsidRPr="007E3518">
          <w:rPr>
            <w:rStyle w:val="Hyperlink"/>
            <w:noProof/>
          </w:rPr>
          <w:t>CHANGES IN AND DISAGREEMENTS WITH ACCOUNTANTS ON ACCOUNTING AND FINANCIAL DISCLOSURE</w:t>
        </w:r>
        <w:r>
          <w:rPr>
            <w:noProof/>
            <w:webHidden/>
          </w:rPr>
          <w:tab/>
        </w:r>
        <w:r>
          <w:rPr>
            <w:noProof/>
            <w:webHidden/>
          </w:rPr>
          <w:fldChar w:fldCharType="begin"/>
        </w:r>
        <w:r>
          <w:rPr>
            <w:noProof/>
            <w:webHidden/>
          </w:rPr>
          <w:instrText xml:space="preserve"> PAGEREF _Toc319405347 \h </w:instrText>
        </w:r>
        <w:r>
          <w:rPr>
            <w:noProof/>
            <w:webHidden/>
          </w:rPr>
        </w:r>
        <w:r>
          <w:rPr>
            <w:noProof/>
            <w:webHidden/>
          </w:rPr>
          <w:fldChar w:fldCharType="separate"/>
        </w:r>
        <w:r>
          <w:rPr>
            <w:noProof/>
            <w:webHidden/>
          </w:rPr>
          <w:t>48</w:t>
        </w:r>
        <w:r>
          <w:rPr>
            <w:noProof/>
            <w:webHidden/>
          </w:rPr>
          <w:fldChar w:fldCharType="end"/>
        </w:r>
      </w:hyperlink>
    </w:p>
    <w:p w:rsidR="00755E9C" w:rsidRDefault="00755E9C" w:rsidP="00946D6C">
      <w:pPr>
        <w:pStyle w:val="TOC2"/>
        <w:rPr>
          <w:rFonts w:asciiTheme="minorHAnsi" w:eastAsiaTheme="minorEastAsia" w:hAnsiTheme="minorHAnsi" w:cstheme="minorBidi"/>
          <w:noProof/>
          <w:sz w:val="22"/>
          <w:szCs w:val="22"/>
        </w:rPr>
      </w:pPr>
      <w:hyperlink w:anchor="_Toc319405348" w:history="1">
        <w:r w:rsidRPr="007E3518">
          <w:rPr>
            <w:rStyle w:val="Hyperlink"/>
            <w:noProof/>
          </w:rPr>
          <w:t>ITEM 9A.</w:t>
        </w:r>
        <w:r w:rsidR="00946D6C">
          <w:rPr>
            <w:rStyle w:val="Hyperlink"/>
            <w:noProof/>
          </w:rPr>
          <w:tab/>
        </w:r>
        <w:r w:rsidRPr="007E3518">
          <w:rPr>
            <w:rStyle w:val="Hyperlink"/>
            <w:noProof/>
          </w:rPr>
          <w:t>CONTROLS AND PROCEDURES</w:t>
        </w:r>
        <w:r>
          <w:rPr>
            <w:noProof/>
            <w:webHidden/>
          </w:rPr>
          <w:tab/>
        </w:r>
        <w:r>
          <w:rPr>
            <w:noProof/>
            <w:webHidden/>
          </w:rPr>
          <w:fldChar w:fldCharType="begin"/>
        </w:r>
        <w:r>
          <w:rPr>
            <w:noProof/>
            <w:webHidden/>
          </w:rPr>
          <w:instrText xml:space="preserve"> PAGEREF _Toc319405348 \h </w:instrText>
        </w:r>
        <w:r>
          <w:rPr>
            <w:noProof/>
            <w:webHidden/>
          </w:rPr>
        </w:r>
        <w:r>
          <w:rPr>
            <w:noProof/>
            <w:webHidden/>
          </w:rPr>
          <w:fldChar w:fldCharType="separate"/>
        </w:r>
        <w:r>
          <w:rPr>
            <w:noProof/>
            <w:webHidden/>
          </w:rPr>
          <w:t>48</w:t>
        </w:r>
        <w:r>
          <w:rPr>
            <w:noProof/>
            <w:webHidden/>
          </w:rPr>
          <w:fldChar w:fldCharType="end"/>
        </w:r>
      </w:hyperlink>
    </w:p>
    <w:p w:rsidR="00755E9C" w:rsidRDefault="00755E9C" w:rsidP="00946D6C">
      <w:pPr>
        <w:pStyle w:val="TOC2"/>
        <w:rPr>
          <w:rFonts w:asciiTheme="minorHAnsi" w:eastAsiaTheme="minorEastAsia" w:hAnsiTheme="minorHAnsi" w:cstheme="minorBidi"/>
          <w:noProof/>
          <w:sz w:val="22"/>
          <w:szCs w:val="22"/>
        </w:rPr>
      </w:pPr>
      <w:hyperlink w:anchor="_Toc319405349" w:history="1">
        <w:r w:rsidRPr="007E3518">
          <w:rPr>
            <w:rStyle w:val="Hyperlink"/>
            <w:noProof/>
          </w:rPr>
          <w:t>ITEM 9B.</w:t>
        </w:r>
        <w:r w:rsidR="00946D6C">
          <w:rPr>
            <w:rStyle w:val="Hyperlink"/>
            <w:noProof/>
          </w:rPr>
          <w:tab/>
        </w:r>
        <w:r w:rsidRPr="007E3518">
          <w:rPr>
            <w:rStyle w:val="Hyperlink"/>
            <w:noProof/>
          </w:rPr>
          <w:t>OTHER INFORMATION</w:t>
        </w:r>
        <w:r>
          <w:rPr>
            <w:noProof/>
            <w:webHidden/>
          </w:rPr>
          <w:tab/>
        </w:r>
        <w:r>
          <w:rPr>
            <w:noProof/>
            <w:webHidden/>
          </w:rPr>
          <w:fldChar w:fldCharType="begin"/>
        </w:r>
        <w:r>
          <w:rPr>
            <w:noProof/>
            <w:webHidden/>
          </w:rPr>
          <w:instrText xml:space="preserve"> PAGEREF _Toc319405349 \h </w:instrText>
        </w:r>
        <w:r>
          <w:rPr>
            <w:noProof/>
            <w:webHidden/>
          </w:rPr>
        </w:r>
        <w:r>
          <w:rPr>
            <w:noProof/>
            <w:webHidden/>
          </w:rPr>
          <w:fldChar w:fldCharType="separate"/>
        </w:r>
        <w:r>
          <w:rPr>
            <w:noProof/>
            <w:webHidden/>
          </w:rPr>
          <w:t>49</w:t>
        </w:r>
        <w:r>
          <w:rPr>
            <w:noProof/>
            <w:webHidden/>
          </w:rPr>
          <w:fldChar w:fldCharType="end"/>
        </w:r>
      </w:hyperlink>
    </w:p>
    <w:p w:rsidR="00755E9C" w:rsidRPr="00755E9C" w:rsidRDefault="00755E9C" w:rsidP="00946D6C">
      <w:pPr>
        <w:pStyle w:val="TOC1"/>
        <w:rPr>
          <w:rStyle w:val="Hyperlink"/>
          <w:u w:val="none"/>
        </w:rPr>
      </w:pPr>
      <w:r w:rsidRPr="00755E9C">
        <w:rPr>
          <w:rStyle w:val="Hyperlink"/>
          <w:u w:val="none"/>
        </w:rPr>
        <w:tab/>
      </w:r>
    </w:p>
    <w:p w:rsidR="00755E9C" w:rsidRDefault="00755E9C" w:rsidP="00946D6C">
      <w:pPr>
        <w:pStyle w:val="TOC1"/>
        <w:rPr>
          <w:rFonts w:asciiTheme="minorHAnsi" w:eastAsiaTheme="minorEastAsia" w:hAnsiTheme="minorHAnsi" w:cstheme="minorBidi"/>
          <w:sz w:val="22"/>
          <w:szCs w:val="22"/>
        </w:rPr>
      </w:pPr>
      <w:r w:rsidRPr="00755E9C">
        <w:rPr>
          <w:rStyle w:val="Hyperlink"/>
          <w:u w:val="none"/>
        </w:rPr>
        <w:tab/>
      </w:r>
      <w:hyperlink w:anchor="_Toc319405350" w:history="1">
        <w:r w:rsidRPr="007E3518">
          <w:rPr>
            <w:rStyle w:val="Hyperlink"/>
          </w:rPr>
          <w:t>PART III</w:t>
        </w:r>
        <w:r>
          <w:rPr>
            <w:webHidden/>
          </w:rPr>
          <w:tab/>
        </w:r>
        <w:r>
          <w:rPr>
            <w:webHidden/>
          </w:rPr>
          <w:fldChar w:fldCharType="begin"/>
        </w:r>
        <w:r>
          <w:rPr>
            <w:webHidden/>
          </w:rPr>
          <w:instrText xml:space="preserve"> PAGEREF _Toc319405350 \h </w:instrText>
        </w:r>
        <w:r>
          <w:rPr>
            <w:webHidden/>
          </w:rPr>
        </w:r>
        <w:r>
          <w:rPr>
            <w:webHidden/>
          </w:rPr>
          <w:fldChar w:fldCharType="separate"/>
        </w:r>
        <w:r>
          <w:rPr>
            <w:webHidden/>
          </w:rPr>
          <w:t>50</w:t>
        </w:r>
        <w:r>
          <w:rPr>
            <w:webHidden/>
          </w:rPr>
          <w:fldChar w:fldCharType="end"/>
        </w:r>
      </w:hyperlink>
    </w:p>
    <w:p w:rsidR="00755E9C" w:rsidRDefault="00755E9C" w:rsidP="00946D6C">
      <w:pPr>
        <w:pStyle w:val="TOC2"/>
        <w:rPr>
          <w:rFonts w:asciiTheme="minorHAnsi" w:eastAsiaTheme="minorEastAsia" w:hAnsiTheme="minorHAnsi" w:cstheme="minorBidi"/>
          <w:noProof/>
          <w:sz w:val="22"/>
          <w:szCs w:val="22"/>
        </w:rPr>
      </w:pPr>
      <w:hyperlink w:anchor="_Toc319405351" w:history="1">
        <w:r w:rsidRPr="007E3518">
          <w:rPr>
            <w:rStyle w:val="Hyperlink"/>
            <w:noProof/>
          </w:rPr>
          <w:t xml:space="preserve">ITEM 10.  </w:t>
        </w:r>
        <w:r w:rsidR="00946D6C">
          <w:rPr>
            <w:rStyle w:val="Hyperlink"/>
            <w:noProof/>
          </w:rPr>
          <w:tab/>
        </w:r>
        <w:r w:rsidRPr="007E3518">
          <w:rPr>
            <w:rStyle w:val="Hyperlink"/>
            <w:noProof/>
          </w:rPr>
          <w:t>DIRECTORS, EXECUTIVE OFFICERS AND CORPORATE GOVERNANCE</w:t>
        </w:r>
        <w:r>
          <w:rPr>
            <w:noProof/>
            <w:webHidden/>
          </w:rPr>
          <w:tab/>
        </w:r>
        <w:r>
          <w:rPr>
            <w:noProof/>
            <w:webHidden/>
          </w:rPr>
          <w:fldChar w:fldCharType="begin"/>
        </w:r>
        <w:r>
          <w:rPr>
            <w:noProof/>
            <w:webHidden/>
          </w:rPr>
          <w:instrText xml:space="preserve"> PAGEREF _Toc319405351 \h </w:instrText>
        </w:r>
        <w:r>
          <w:rPr>
            <w:noProof/>
            <w:webHidden/>
          </w:rPr>
        </w:r>
        <w:r>
          <w:rPr>
            <w:noProof/>
            <w:webHidden/>
          </w:rPr>
          <w:fldChar w:fldCharType="separate"/>
        </w:r>
        <w:r>
          <w:rPr>
            <w:noProof/>
            <w:webHidden/>
          </w:rPr>
          <w:t>50</w:t>
        </w:r>
        <w:r>
          <w:rPr>
            <w:noProof/>
            <w:webHidden/>
          </w:rPr>
          <w:fldChar w:fldCharType="end"/>
        </w:r>
      </w:hyperlink>
    </w:p>
    <w:p w:rsidR="00755E9C" w:rsidRDefault="00755E9C" w:rsidP="00946D6C">
      <w:pPr>
        <w:pStyle w:val="TOC2"/>
        <w:rPr>
          <w:rFonts w:asciiTheme="minorHAnsi" w:eastAsiaTheme="minorEastAsia" w:hAnsiTheme="minorHAnsi" w:cstheme="minorBidi"/>
          <w:noProof/>
          <w:sz w:val="22"/>
          <w:szCs w:val="22"/>
        </w:rPr>
      </w:pPr>
      <w:hyperlink w:anchor="_Toc319405352" w:history="1">
        <w:r w:rsidRPr="007E3518">
          <w:rPr>
            <w:rStyle w:val="Hyperlink"/>
            <w:noProof/>
          </w:rPr>
          <w:t xml:space="preserve">ITEM 11.  </w:t>
        </w:r>
        <w:r w:rsidR="00946D6C">
          <w:rPr>
            <w:rStyle w:val="Hyperlink"/>
            <w:noProof/>
          </w:rPr>
          <w:tab/>
        </w:r>
        <w:r w:rsidRPr="007E3518">
          <w:rPr>
            <w:rStyle w:val="Hyperlink"/>
            <w:noProof/>
          </w:rPr>
          <w:t>EXECUTIVE COMPENSATION</w:t>
        </w:r>
        <w:r>
          <w:rPr>
            <w:noProof/>
            <w:webHidden/>
          </w:rPr>
          <w:tab/>
        </w:r>
        <w:r>
          <w:rPr>
            <w:noProof/>
            <w:webHidden/>
          </w:rPr>
          <w:fldChar w:fldCharType="begin"/>
        </w:r>
        <w:r>
          <w:rPr>
            <w:noProof/>
            <w:webHidden/>
          </w:rPr>
          <w:instrText xml:space="preserve"> PAGEREF _Toc319405352 \h </w:instrText>
        </w:r>
        <w:r>
          <w:rPr>
            <w:noProof/>
            <w:webHidden/>
          </w:rPr>
        </w:r>
        <w:r>
          <w:rPr>
            <w:noProof/>
            <w:webHidden/>
          </w:rPr>
          <w:fldChar w:fldCharType="separate"/>
        </w:r>
        <w:r>
          <w:rPr>
            <w:noProof/>
            <w:webHidden/>
          </w:rPr>
          <w:t>53</w:t>
        </w:r>
        <w:r>
          <w:rPr>
            <w:noProof/>
            <w:webHidden/>
          </w:rPr>
          <w:fldChar w:fldCharType="end"/>
        </w:r>
      </w:hyperlink>
    </w:p>
    <w:p w:rsidR="00755E9C" w:rsidRDefault="00755E9C" w:rsidP="00946D6C">
      <w:pPr>
        <w:pStyle w:val="TOC2"/>
        <w:rPr>
          <w:rFonts w:asciiTheme="minorHAnsi" w:eastAsiaTheme="minorEastAsia" w:hAnsiTheme="minorHAnsi" w:cstheme="minorBidi"/>
          <w:noProof/>
          <w:sz w:val="22"/>
          <w:szCs w:val="22"/>
        </w:rPr>
      </w:pPr>
      <w:hyperlink w:anchor="_Toc319405353" w:history="1">
        <w:r w:rsidRPr="007E3518">
          <w:rPr>
            <w:rStyle w:val="Hyperlink"/>
            <w:noProof/>
          </w:rPr>
          <w:t xml:space="preserve">ITEM 12.  </w:t>
        </w:r>
        <w:r w:rsidR="00946D6C">
          <w:rPr>
            <w:rStyle w:val="Hyperlink"/>
            <w:noProof/>
          </w:rPr>
          <w:tab/>
        </w:r>
        <w:r w:rsidRPr="007E3518">
          <w:rPr>
            <w:rStyle w:val="Hyperlink"/>
            <w:noProof/>
          </w:rPr>
          <w:t>SECURITY OWNERSHIP OF CERTAIN BENEFICIAL OWNERS AND MANAGEMENT AND RELATED STOCKHOLDER MATTERS</w:t>
        </w:r>
        <w:r>
          <w:rPr>
            <w:noProof/>
            <w:webHidden/>
          </w:rPr>
          <w:tab/>
        </w:r>
        <w:r>
          <w:rPr>
            <w:noProof/>
            <w:webHidden/>
          </w:rPr>
          <w:fldChar w:fldCharType="begin"/>
        </w:r>
        <w:r>
          <w:rPr>
            <w:noProof/>
            <w:webHidden/>
          </w:rPr>
          <w:instrText xml:space="preserve"> PAGEREF _Toc319405353 \h </w:instrText>
        </w:r>
        <w:r>
          <w:rPr>
            <w:noProof/>
            <w:webHidden/>
          </w:rPr>
        </w:r>
        <w:r>
          <w:rPr>
            <w:noProof/>
            <w:webHidden/>
          </w:rPr>
          <w:fldChar w:fldCharType="separate"/>
        </w:r>
        <w:r>
          <w:rPr>
            <w:noProof/>
            <w:webHidden/>
          </w:rPr>
          <w:t>63</w:t>
        </w:r>
        <w:r>
          <w:rPr>
            <w:noProof/>
            <w:webHidden/>
          </w:rPr>
          <w:fldChar w:fldCharType="end"/>
        </w:r>
      </w:hyperlink>
    </w:p>
    <w:p w:rsidR="00755E9C" w:rsidRDefault="00755E9C" w:rsidP="00946D6C">
      <w:pPr>
        <w:pStyle w:val="TOC2"/>
        <w:rPr>
          <w:rFonts w:asciiTheme="minorHAnsi" w:eastAsiaTheme="minorEastAsia" w:hAnsiTheme="minorHAnsi" w:cstheme="minorBidi"/>
          <w:noProof/>
          <w:sz w:val="22"/>
          <w:szCs w:val="22"/>
        </w:rPr>
      </w:pPr>
      <w:hyperlink w:anchor="_Toc319405354" w:history="1">
        <w:r w:rsidRPr="007E3518">
          <w:rPr>
            <w:rStyle w:val="Hyperlink"/>
            <w:noProof/>
          </w:rPr>
          <w:t xml:space="preserve">ITEM 13. </w:t>
        </w:r>
        <w:r>
          <w:rPr>
            <w:rStyle w:val="Hyperlink"/>
            <w:noProof/>
          </w:rPr>
          <w:t xml:space="preserve"> </w:t>
        </w:r>
        <w:r w:rsidR="00946D6C">
          <w:rPr>
            <w:rStyle w:val="Hyperlink"/>
            <w:noProof/>
          </w:rPr>
          <w:tab/>
        </w:r>
        <w:r w:rsidRPr="007E3518">
          <w:rPr>
            <w:rStyle w:val="Hyperlink"/>
            <w:noProof/>
          </w:rPr>
          <w:t>CERTAIN RELATIONSHIPS AND RELATED TRANSACTIONS, AND DIRECTOR INDEPENDENCE</w:t>
        </w:r>
        <w:r>
          <w:rPr>
            <w:noProof/>
            <w:webHidden/>
          </w:rPr>
          <w:tab/>
        </w:r>
        <w:r>
          <w:rPr>
            <w:noProof/>
            <w:webHidden/>
          </w:rPr>
          <w:fldChar w:fldCharType="begin"/>
        </w:r>
        <w:r>
          <w:rPr>
            <w:noProof/>
            <w:webHidden/>
          </w:rPr>
          <w:instrText xml:space="preserve"> PAGEREF _Toc319405354 \h </w:instrText>
        </w:r>
        <w:r>
          <w:rPr>
            <w:noProof/>
            <w:webHidden/>
          </w:rPr>
        </w:r>
        <w:r>
          <w:rPr>
            <w:noProof/>
            <w:webHidden/>
          </w:rPr>
          <w:fldChar w:fldCharType="separate"/>
        </w:r>
        <w:r>
          <w:rPr>
            <w:noProof/>
            <w:webHidden/>
          </w:rPr>
          <w:t>65</w:t>
        </w:r>
        <w:r>
          <w:rPr>
            <w:noProof/>
            <w:webHidden/>
          </w:rPr>
          <w:fldChar w:fldCharType="end"/>
        </w:r>
      </w:hyperlink>
    </w:p>
    <w:p w:rsidR="00755E9C" w:rsidRDefault="00755E9C" w:rsidP="00946D6C">
      <w:pPr>
        <w:pStyle w:val="TOC2"/>
        <w:rPr>
          <w:rFonts w:asciiTheme="minorHAnsi" w:eastAsiaTheme="minorEastAsia" w:hAnsiTheme="minorHAnsi" w:cstheme="minorBidi"/>
          <w:noProof/>
          <w:sz w:val="22"/>
          <w:szCs w:val="22"/>
        </w:rPr>
      </w:pPr>
      <w:hyperlink w:anchor="_Toc319405355" w:history="1">
        <w:r w:rsidRPr="007E3518">
          <w:rPr>
            <w:rStyle w:val="Hyperlink"/>
            <w:noProof/>
          </w:rPr>
          <w:t xml:space="preserve">ITEM 14.  </w:t>
        </w:r>
        <w:r w:rsidR="00946D6C">
          <w:rPr>
            <w:rStyle w:val="Hyperlink"/>
            <w:noProof/>
          </w:rPr>
          <w:tab/>
        </w:r>
        <w:r w:rsidRPr="007E3518">
          <w:rPr>
            <w:rStyle w:val="Hyperlink"/>
            <w:noProof/>
          </w:rPr>
          <w:t>PRINCIPAL ACCOUNTANT FEES AND SERVICES</w:t>
        </w:r>
        <w:r>
          <w:rPr>
            <w:noProof/>
            <w:webHidden/>
          </w:rPr>
          <w:tab/>
        </w:r>
        <w:r>
          <w:rPr>
            <w:noProof/>
            <w:webHidden/>
          </w:rPr>
          <w:fldChar w:fldCharType="begin"/>
        </w:r>
        <w:r>
          <w:rPr>
            <w:noProof/>
            <w:webHidden/>
          </w:rPr>
          <w:instrText xml:space="preserve"> PAGEREF _Toc319405355 \h </w:instrText>
        </w:r>
        <w:r>
          <w:rPr>
            <w:noProof/>
            <w:webHidden/>
          </w:rPr>
        </w:r>
        <w:r>
          <w:rPr>
            <w:noProof/>
            <w:webHidden/>
          </w:rPr>
          <w:fldChar w:fldCharType="separate"/>
        </w:r>
        <w:r>
          <w:rPr>
            <w:noProof/>
            <w:webHidden/>
          </w:rPr>
          <w:t>65</w:t>
        </w:r>
        <w:r>
          <w:rPr>
            <w:noProof/>
            <w:webHidden/>
          </w:rPr>
          <w:fldChar w:fldCharType="end"/>
        </w:r>
      </w:hyperlink>
    </w:p>
    <w:p w:rsidR="00755E9C" w:rsidRPr="00755E9C" w:rsidRDefault="00755E9C" w:rsidP="00946D6C">
      <w:pPr>
        <w:pStyle w:val="TOC1"/>
        <w:rPr>
          <w:rStyle w:val="Hyperlink"/>
          <w:u w:val="none"/>
        </w:rPr>
      </w:pPr>
      <w:r w:rsidRPr="00755E9C">
        <w:rPr>
          <w:rStyle w:val="Hyperlink"/>
          <w:u w:val="none"/>
        </w:rPr>
        <w:tab/>
      </w:r>
    </w:p>
    <w:p w:rsidR="00755E9C" w:rsidRDefault="00755E9C" w:rsidP="00946D6C">
      <w:pPr>
        <w:pStyle w:val="TOC1"/>
        <w:rPr>
          <w:rFonts w:asciiTheme="minorHAnsi" w:eastAsiaTheme="minorEastAsia" w:hAnsiTheme="minorHAnsi" w:cstheme="minorBidi"/>
          <w:sz w:val="22"/>
          <w:szCs w:val="22"/>
        </w:rPr>
      </w:pPr>
      <w:r w:rsidRPr="00755E9C">
        <w:rPr>
          <w:rStyle w:val="Hyperlink"/>
          <w:u w:val="none"/>
        </w:rPr>
        <w:tab/>
      </w:r>
      <w:hyperlink w:anchor="_Toc319405356" w:history="1">
        <w:r w:rsidRPr="007E3518">
          <w:rPr>
            <w:rStyle w:val="Hyperlink"/>
          </w:rPr>
          <w:t>PART IV</w:t>
        </w:r>
        <w:r>
          <w:rPr>
            <w:webHidden/>
          </w:rPr>
          <w:tab/>
        </w:r>
        <w:r>
          <w:rPr>
            <w:webHidden/>
          </w:rPr>
          <w:fldChar w:fldCharType="begin"/>
        </w:r>
        <w:r>
          <w:rPr>
            <w:webHidden/>
          </w:rPr>
          <w:instrText xml:space="preserve"> PAGEREF _Toc319405356 \h </w:instrText>
        </w:r>
        <w:r>
          <w:rPr>
            <w:webHidden/>
          </w:rPr>
        </w:r>
        <w:r>
          <w:rPr>
            <w:webHidden/>
          </w:rPr>
          <w:fldChar w:fldCharType="separate"/>
        </w:r>
        <w:r>
          <w:rPr>
            <w:webHidden/>
          </w:rPr>
          <w:t>67</w:t>
        </w:r>
        <w:r>
          <w:rPr>
            <w:webHidden/>
          </w:rPr>
          <w:fldChar w:fldCharType="end"/>
        </w:r>
      </w:hyperlink>
    </w:p>
    <w:p w:rsidR="00755E9C" w:rsidRDefault="00755E9C" w:rsidP="00946D6C">
      <w:pPr>
        <w:pStyle w:val="TOC2"/>
        <w:rPr>
          <w:rFonts w:asciiTheme="minorHAnsi" w:eastAsiaTheme="minorEastAsia" w:hAnsiTheme="minorHAnsi" w:cstheme="minorBidi"/>
          <w:noProof/>
          <w:sz w:val="22"/>
          <w:szCs w:val="22"/>
        </w:rPr>
      </w:pPr>
      <w:hyperlink w:anchor="_Toc319405357" w:history="1">
        <w:r w:rsidRPr="007E3518">
          <w:rPr>
            <w:rStyle w:val="Hyperlink"/>
            <w:noProof/>
          </w:rPr>
          <w:t>ITEM 15.</w:t>
        </w:r>
        <w:r>
          <w:rPr>
            <w:rFonts w:asciiTheme="minorHAnsi" w:eastAsiaTheme="minorEastAsia" w:hAnsiTheme="minorHAnsi" w:cstheme="minorBidi"/>
            <w:sz w:val="22"/>
            <w:szCs w:val="22"/>
          </w:rPr>
          <w:t xml:space="preserve">  </w:t>
        </w:r>
        <w:r w:rsidR="00946D6C">
          <w:rPr>
            <w:rFonts w:asciiTheme="minorHAnsi" w:eastAsiaTheme="minorEastAsia" w:hAnsiTheme="minorHAnsi" w:cstheme="minorBidi"/>
            <w:sz w:val="22"/>
            <w:szCs w:val="22"/>
          </w:rPr>
          <w:tab/>
        </w:r>
        <w:r w:rsidRPr="007E3518">
          <w:rPr>
            <w:rStyle w:val="Hyperlink"/>
            <w:noProof/>
          </w:rPr>
          <w:t>EXHIBITS AND FINANCIAL STATEMENT SCHEDULES</w:t>
        </w:r>
        <w:r>
          <w:rPr>
            <w:noProof/>
            <w:webHidden/>
          </w:rPr>
          <w:tab/>
        </w:r>
        <w:r>
          <w:rPr>
            <w:noProof/>
            <w:webHidden/>
          </w:rPr>
          <w:fldChar w:fldCharType="begin"/>
        </w:r>
        <w:r>
          <w:rPr>
            <w:noProof/>
            <w:webHidden/>
          </w:rPr>
          <w:instrText xml:space="preserve"> PAGEREF _Toc319405357 \h </w:instrText>
        </w:r>
        <w:r>
          <w:rPr>
            <w:noProof/>
            <w:webHidden/>
          </w:rPr>
        </w:r>
        <w:r>
          <w:rPr>
            <w:noProof/>
            <w:webHidden/>
          </w:rPr>
          <w:fldChar w:fldCharType="separate"/>
        </w:r>
        <w:r>
          <w:rPr>
            <w:noProof/>
            <w:webHidden/>
          </w:rPr>
          <w:t>67</w:t>
        </w:r>
        <w:r>
          <w:rPr>
            <w:noProof/>
            <w:webHidden/>
          </w:rPr>
          <w:fldChar w:fldCharType="end"/>
        </w:r>
      </w:hyperlink>
    </w:p>
    <w:p w:rsidR="004851D7" w:rsidRDefault="00FC4057">
      <w:pPr>
        <w:rPr>
          <w:color w:val="000000"/>
          <w:sz w:val="20"/>
        </w:rPr>
      </w:pPr>
      <w:r>
        <w:rPr>
          <w:color w:val="000000"/>
          <w:sz w:val="20"/>
        </w:rPr>
        <w:fldChar w:fldCharType="end"/>
      </w:r>
    </w:p>
    <w:p w:rsidR="004851D7" w:rsidRDefault="004851D7">
      <w:pPr>
        <w:rPr>
          <w:color w:val="000000"/>
          <w:sz w:val="20"/>
        </w:rPr>
      </w:pPr>
    </w:p>
    <w:p w:rsidR="004851D7" w:rsidRDefault="004851D7">
      <w:pPr>
        <w:rPr>
          <w:color w:val="000000"/>
          <w:sz w:val="20"/>
        </w:rPr>
        <w:sectPr w:rsidR="004851D7" w:rsidSect="00557197">
          <w:footerReference w:type="default" r:id="rId9"/>
          <w:pgSz w:w="12240" w:h="15840" w:code="1"/>
          <w:pgMar w:top="1440" w:right="1440" w:bottom="1440" w:left="1440" w:header="720" w:footer="720" w:gutter="0"/>
          <w:pgNumType w:start="1"/>
          <w:cols w:space="720"/>
          <w:docGrid w:linePitch="360"/>
        </w:sectPr>
      </w:pPr>
    </w:p>
    <w:p w:rsidR="006E4C5D" w:rsidRDefault="006E4C5D" w:rsidP="006E4C5D">
      <w:pPr>
        <w:pStyle w:val="NormalWeb"/>
        <w:spacing w:before="0" w:beforeAutospacing="0" w:after="0" w:afterAutospacing="0"/>
      </w:pPr>
      <w:bookmarkStart w:id="1" w:name="A008"/>
      <w:bookmarkEnd w:id="1"/>
      <w:r>
        <w:rPr>
          <w:b/>
          <w:bCs/>
          <w:sz w:val="20"/>
          <w:szCs w:val="20"/>
        </w:rPr>
        <w:t xml:space="preserve">Important Factors Regarding Future Results </w:t>
      </w:r>
    </w:p>
    <w:p w:rsidR="006E4C5D" w:rsidRDefault="006E4C5D" w:rsidP="006E4C5D">
      <w:pPr>
        <w:pStyle w:val="NormalWeb"/>
        <w:spacing w:before="69" w:beforeAutospacing="0" w:after="0" w:afterAutospacing="0"/>
        <w:ind w:firstLine="490"/>
      </w:pPr>
      <w:r>
        <w:rPr>
          <w:sz w:val="20"/>
          <w:szCs w:val="20"/>
        </w:rPr>
        <w:t xml:space="preserve">Information provided by </w:t>
      </w:r>
      <w:proofErr w:type="spellStart"/>
      <w:r>
        <w:rPr>
          <w:sz w:val="20"/>
          <w:szCs w:val="20"/>
        </w:rPr>
        <w:t>MakeMusic</w:t>
      </w:r>
      <w:proofErr w:type="spellEnd"/>
      <w:r>
        <w:rPr>
          <w:sz w:val="20"/>
          <w:szCs w:val="20"/>
        </w:rPr>
        <w:t>, Inc. (hereafter the “Company” or “</w:t>
      </w:r>
      <w:proofErr w:type="spellStart"/>
      <w:r>
        <w:rPr>
          <w:sz w:val="20"/>
          <w:szCs w:val="20"/>
        </w:rPr>
        <w:t>MakeMusic</w:t>
      </w:r>
      <w:proofErr w:type="spellEnd"/>
      <w:r>
        <w:rPr>
          <w:sz w:val="20"/>
          <w:szCs w:val="20"/>
        </w:rPr>
        <w:t>”), in this Annual Report on Form 10-K, may contain forward-looking statements concerning such matters as projected financial performance, market and industry segment growth, product development and commercialization, acquisitions or other aspects of future operations. Such statements, made pursuant to the safe harbor established by the securities laws, are based on the assumptions and expectations of the Company’s management at the time such statements are made. The Company cautions investors that its performance (and, therefore, any forward-looking statement) is subject to risks and uncertainties. Various important factors including, but not limited to, those discussed in Item 1 “</w:t>
      </w:r>
      <w:r w:rsidR="00217B85">
        <w:rPr>
          <w:sz w:val="20"/>
          <w:szCs w:val="20"/>
        </w:rPr>
        <w:t>Cautionary Statements</w:t>
      </w:r>
      <w:r>
        <w:rPr>
          <w:sz w:val="20"/>
          <w:szCs w:val="20"/>
        </w:rPr>
        <w:t xml:space="preserve">,” may cause the Company’s future results to differ materially from those projected in any forward-looking statement. All information presented is as of December 31, </w:t>
      </w:r>
      <w:r w:rsidR="00BD129E">
        <w:rPr>
          <w:sz w:val="20"/>
          <w:szCs w:val="20"/>
        </w:rPr>
        <w:t>2011</w:t>
      </w:r>
      <w:r>
        <w:rPr>
          <w:sz w:val="20"/>
          <w:szCs w:val="20"/>
        </w:rPr>
        <w:t xml:space="preserve">, unless otherwise indicated. </w:t>
      </w:r>
    </w:p>
    <w:p w:rsidR="006E4C5D" w:rsidRDefault="006E4C5D">
      <w:pPr>
        <w:jc w:val="center"/>
        <w:rPr>
          <w:b/>
          <w:bCs/>
          <w:color w:val="000000"/>
          <w:sz w:val="20"/>
        </w:rPr>
      </w:pPr>
    </w:p>
    <w:p w:rsidR="004851D7" w:rsidRPr="00755E9C" w:rsidRDefault="004851D7" w:rsidP="00755E9C">
      <w:pPr>
        <w:pStyle w:val="Heading1"/>
      </w:pPr>
      <w:bookmarkStart w:id="2" w:name="_Toc319405334"/>
      <w:r w:rsidRPr="00755E9C">
        <w:t>PART I</w:t>
      </w:r>
      <w:bookmarkEnd w:id="2"/>
    </w:p>
    <w:p w:rsidR="004851D7" w:rsidRDefault="004851D7">
      <w:pPr>
        <w:jc w:val="center"/>
        <w:rPr>
          <w:b/>
          <w:bCs/>
          <w:color w:val="000000"/>
          <w:sz w:val="20"/>
        </w:rPr>
      </w:pPr>
    </w:p>
    <w:p w:rsidR="004851D7" w:rsidRPr="00FC4057" w:rsidRDefault="004851D7" w:rsidP="00D51EA1">
      <w:pPr>
        <w:pStyle w:val="Heading2"/>
      </w:pPr>
      <w:bookmarkStart w:id="3" w:name="_Toc319405335"/>
      <w:proofErr w:type="gramStart"/>
      <w:r w:rsidRPr="00FC4057">
        <w:t>ITEM 1.</w:t>
      </w:r>
      <w:proofErr w:type="gramEnd"/>
      <w:r w:rsidR="00755E9C">
        <w:tab/>
      </w:r>
      <w:r w:rsidRPr="00FC4057">
        <w:t>BUSINESS</w:t>
      </w:r>
      <w:bookmarkEnd w:id="3"/>
    </w:p>
    <w:p w:rsidR="004851D7" w:rsidRDefault="004851D7">
      <w:pPr>
        <w:rPr>
          <w:b/>
          <w:bCs/>
          <w:color w:val="000000"/>
          <w:sz w:val="20"/>
        </w:rPr>
      </w:pPr>
    </w:p>
    <w:p w:rsidR="004851D7" w:rsidRDefault="004851D7">
      <w:pPr>
        <w:spacing w:after="240"/>
        <w:rPr>
          <w:b/>
          <w:color w:val="000000"/>
          <w:sz w:val="20"/>
          <w:szCs w:val="20"/>
        </w:rPr>
      </w:pPr>
      <w:r>
        <w:rPr>
          <w:b/>
          <w:color w:val="000000"/>
          <w:sz w:val="20"/>
          <w:szCs w:val="20"/>
        </w:rPr>
        <w:t>Introduction</w:t>
      </w:r>
    </w:p>
    <w:p w:rsidR="004851D7" w:rsidRDefault="004851D7">
      <w:pPr>
        <w:spacing w:after="240"/>
        <w:ind w:firstLine="720"/>
        <w:rPr>
          <w:color w:val="000000"/>
          <w:sz w:val="20"/>
          <w:szCs w:val="20"/>
        </w:rPr>
      </w:pPr>
      <w:proofErr w:type="spellStart"/>
      <w:r>
        <w:rPr>
          <w:color w:val="000000"/>
          <w:sz w:val="20"/>
          <w:szCs w:val="20"/>
        </w:rPr>
        <w:t>MakeMusic</w:t>
      </w:r>
      <w:proofErr w:type="spellEnd"/>
      <w:r>
        <w:rPr>
          <w:color w:val="000000"/>
          <w:sz w:val="20"/>
          <w:szCs w:val="20"/>
        </w:rPr>
        <w:t>, Inc., a Minnesota corporation (referred to herein as “we,” “us,” the “Company” or “</w:t>
      </w:r>
      <w:proofErr w:type="spellStart"/>
      <w:r>
        <w:rPr>
          <w:color w:val="000000"/>
          <w:sz w:val="20"/>
          <w:szCs w:val="20"/>
        </w:rPr>
        <w:t>MakeMusic</w:t>
      </w:r>
      <w:proofErr w:type="spellEnd"/>
      <w:r>
        <w:rPr>
          <w:color w:val="000000"/>
          <w:sz w:val="20"/>
          <w:szCs w:val="20"/>
        </w:rPr>
        <w:t xml:space="preserve">”), is a world leader in music education technology whose mission is </w:t>
      </w:r>
      <w:r>
        <w:rPr>
          <w:sz w:val="20"/>
          <w:szCs w:val="20"/>
        </w:rPr>
        <w:t>to develop and market solutions that transform how music is composed, taught, learned and performed</w:t>
      </w:r>
      <w:r>
        <w:rPr>
          <w:color w:val="000000"/>
          <w:sz w:val="20"/>
          <w:szCs w:val="20"/>
        </w:rPr>
        <w:t xml:space="preserve">. </w:t>
      </w:r>
      <w:r w:rsidR="00752B78">
        <w:rPr>
          <w:color w:val="000000"/>
          <w:sz w:val="20"/>
          <w:szCs w:val="20"/>
        </w:rPr>
        <w:t>Founded in 1992, we</w:t>
      </w:r>
      <w:r>
        <w:rPr>
          <w:color w:val="000000"/>
          <w:sz w:val="20"/>
          <w:szCs w:val="20"/>
        </w:rPr>
        <w:t xml:space="preserve"> currently have approximately one hundred </w:t>
      </w:r>
      <w:r w:rsidR="00214C7B">
        <w:rPr>
          <w:color w:val="000000"/>
          <w:sz w:val="20"/>
          <w:szCs w:val="20"/>
        </w:rPr>
        <w:t xml:space="preserve">fifteen </w:t>
      </w:r>
      <w:r>
        <w:rPr>
          <w:color w:val="000000"/>
          <w:sz w:val="20"/>
          <w:szCs w:val="20"/>
        </w:rPr>
        <w:t xml:space="preserve">employees and are </w:t>
      </w:r>
      <w:r w:rsidR="00752B78">
        <w:rPr>
          <w:color w:val="000000"/>
          <w:sz w:val="20"/>
          <w:szCs w:val="20"/>
        </w:rPr>
        <w:t xml:space="preserve">headquartered </w:t>
      </w:r>
      <w:r>
        <w:rPr>
          <w:color w:val="000000"/>
          <w:sz w:val="20"/>
          <w:szCs w:val="20"/>
        </w:rPr>
        <w:t>in Eden Prairie, Minnesota.</w:t>
      </w:r>
    </w:p>
    <w:p w:rsidR="00397921" w:rsidRDefault="004851D7" w:rsidP="00397921">
      <w:pPr>
        <w:spacing w:after="240"/>
        <w:ind w:firstLine="720"/>
        <w:rPr>
          <w:color w:val="000000"/>
          <w:sz w:val="20"/>
          <w:szCs w:val="20"/>
        </w:rPr>
      </w:pPr>
      <w:proofErr w:type="spellStart"/>
      <w:r>
        <w:rPr>
          <w:color w:val="000000"/>
          <w:sz w:val="20"/>
          <w:szCs w:val="20"/>
        </w:rPr>
        <w:t>MakeMusic</w:t>
      </w:r>
      <w:proofErr w:type="spellEnd"/>
      <w:r>
        <w:rPr>
          <w:color w:val="000000"/>
          <w:sz w:val="20"/>
          <w:szCs w:val="20"/>
        </w:rPr>
        <w:t xml:space="preserve"> develops and markets two product lines</w:t>
      </w:r>
      <w:r w:rsidR="00397921">
        <w:rPr>
          <w:color w:val="000000"/>
          <w:sz w:val="20"/>
          <w:szCs w:val="20"/>
        </w:rPr>
        <w:t xml:space="preserve">, notation and </w:t>
      </w:r>
      <w:proofErr w:type="spellStart"/>
      <w:r w:rsidR="00397921">
        <w:rPr>
          <w:color w:val="000000"/>
          <w:sz w:val="20"/>
          <w:szCs w:val="20"/>
        </w:rPr>
        <w:t>SmartMusic</w:t>
      </w:r>
      <w:proofErr w:type="spellEnd"/>
      <w:r w:rsidR="00397921">
        <w:rPr>
          <w:color w:val="000000"/>
          <w:sz w:val="20"/>
          <w:szCs w:val="20"/>
        </w:rPr>
        <w:t>,</w:t>
      </w:r>
      <w:r>
        <w:rPr>
          <w:color w:val="000000"/>
          <w:sz w:val="20"/>
          <w:szCs w:val="20"/>
        </w:rPr>
        <w:t xml:space="preserve"> that reinforce each other’s features and competitiveness. </w:t>
      </w:r>
      <w:r w:rsidR="00397921">
        <w:rPr>
          <w:color w:val="000000"/>
          <w:sz w:val="20"/>
          <w:szCs w:val="20"/>
        </w:rPr>
        <w:t>The notation product line includes t</w:t>
      </w:r>
      <w:r>
        <w:rPr>
          <w:color w:val="000000"/>
          <w:sz w:val="20"/>
          <w:szCs w:val="20"/>
        </w:rPr>
        <w:t>he well-established Finale</w:t>
      </w:r>
      <w:r>
        <w:rPr>
          <w:color w:val="000000"/>
          <w:sz w:val="20"/>
          <w:szCs w:val="20"/>
          <w:vertAlign w:val="superscript"/>
        </w:rPr>
        <w:t>®</w:t>
      </w:r>
      <w:r>
        <w:rPr>
          <w:color w:val="000000"/>
          <w:sz w:val="20"/>
          <w:szCs w:val="20"/>
        </w:rPr>
        <w:t xml:space="preserve"> family of music notation software products </w:t>
      </w:r>
      <w:r w:rsidR="00397921">
        <w:rPr>
          <w:color w:val="000000"/>
          <w:sz w:val="20"/>
          <w:szCs w:val="20"/>
        </w:rPr>
        <w:t xml:space="preserve">which are </w:t>
      </w:r>
      <w:r w:rsidR="00752B78">
        <w:rPr>
          <w:color w:val="000000"/>
          <w:sz w:val="20"/>
          <w:szCs w:val="20"/>
        </w:rPr>
        <w:t xml:space="preserve">utilized by music colleges and composers around the world in the creation of music scores. Finale </w:t>
      </w:r>
      <w:r>
        <w:rPr>
          <w:color w:val="000000"/>
          <w:sz w:val="20"/>
          <w:szCs w:val="20"/>
        </w:rPr>
        <w:t xml:space="preserve">serves a large </w:t>
      </w:r>
      <w:r w:rsidR="00752B78">
        <w:rPr>
          <w:color w:val="000000"/>
          <w:sz w:val="20"/>
          <w:szCs w:val="20"/>
        </w:rPr>
        <w:t xml:space="preserve">and stable </w:t>
      </w:r>
      <w:r>
        <w:rPr>
          <w:color w:val="000000"/>
          <w:sz w:val="20"/>
          <w:szCs w:val="20"/>
        </w:rPr>
        <w:t xml:space="preserve">customer base, and generates revenue through sales of new </w:t>
      </w:r>
      <w:r w:rsidR="00752B78">
        <w:rPr>
          <w:color w:val="000000"/>
          <w:sz w:val="20"/>
          <w:szCs w:val="20"/>
        </w:rPr>
        <w:t xml:space="preserve">version releases. </w:t>
      </w:r>
      <w:r w:rsidR="00397921">
        <w:rPr>
          <w:color w:val="000000"/>
          <w:sz w:val="20"/>
          <w:szCs w:val="20"/>
        </w:rPr>
        <w:t xml:space="preserve">Also included in the notation product line is </w:t>
      </w:r>
      <w:proofErr w:type="spellStart"/>
      <w:r w:rsidR="00397921">
        <w:rPr>
          <w:color w:val="000000"/>
          <w:sz w:val="20"/>
          <w:szCs w:val="20"/>
        </w:rPr>
        <w:t>MusicXML</w:t>
      </w:r>
      <w:r w:rsidR="00397921" w:rsidRPr="00E61549">
        <w:rPr>
          <w:color w:val="000000"/>
          <w:sz w:val="20"/>
          <w:szCs w:val="20"/>
          <w:vertAlign w:val="superscript"/>
        </w:rPr>
        <w:t>TM</w:t>
      </w:r>
      <w:proofErr w:type="spellEnd"/>
      <w:r w:rsidR="00397921">
        <w:rPr>
          <w:color w:val="000000"/>
          <w:sz w:val="20"/>
          <w:szCs w:val="20"/>
        </w:rPr>
        <w:t xml:space="preserve">, the industry standard open format for notation software and Garritan </w:t>
      </w:r>
      <w:r w:rsidR="00397921" w:rsidRPr="00E61549">
        <w:rPr>
          <w:color w:val="000000"/>
          <w:sz w:val="20"/>
          <w:szCs w:val="20"/>
          <w:vertAlign w:val="superscript"/>
        </w:rPr>
        <w:t>TM</w:t>
      </w:r>
      <w:r w:rsidR="00397921">
        <w:rPr>
          <w:color w:val="000000"/>
          <w:sz w:val="20"/>
          <w:szCs w:val="20"/>
        </w:rPr>
        <w:t xml:space="preserve"> sound sample libraries.  </w:t>
      </w:r>
    </w:p>
    <w:p w:rsidR="004851D7" w:rsidRDefault="004851D7" w:rsidP="00397921">
      <w:pPr>
        <w:spacing w:after="240"/>
        <w:ind w:firstLine="720"/>
        <w:rPr>
          <w:color w:val="000000"/>
          <w:sz w:val="20"/>
          <w:szCs w:val="20"/>
        </w:rPr>
      </w:pPr>
      <w:proofErr w:type="spellStart"/>
      <w:r>
        <w:rPr>
          <w:color w:val="000000"/>
          <w:sz w:val="20"/>
          <w:szCs w:val="20"/>
        </w:rPr>
        <w:t>SmartMusic</w:t>
      </w:r>
      <w:proofErr w:type="spellEnd"/>
      <w:r>
        <w:rPr>
          <w:color w:val="000000"/>
          <w:sz w:val="20"/>
          <w:szCs w:val="20"/>
          <w:vertAlign w:val="superscript"/>
        </w:rPr>
        <w:t>®</w:t>
      </w:r>
      <w:r>
        <w:rPr>
          <w:color w:val="000000"/>
          <w:sz w:val="20"/>
          <w:szCs w:val="20"/>
        </w:rPr>
        <w:t xml:space="preserve"> is a subscription-based product directed toward the very large and constantly renewing market of music students and </w:t>
      </w:r>
      <w:r w:rsidR="00752B78">
        <w:rPr>
          <w:color w:val="000000"/>
          <w:sz w:val="20"/>
          <w:szCs w:val="20"/>
        </w:rPr>
        <w:t xml:space="preserve">music </w:t>
      </w:r>
      <w:r>
        <w:rPr>
          <w:color w:val="000000"/>
          <w:sz w:val="20"/>
          <w:szCs w:val="20"/>
        </w:rPr>
        <w:t xml:space="preserve">teachers. </w:t>
      </w:r>
      <w:proofErr w:type="spellStart"/>
      <w:r>
        <w:rPr>
          <w:color w:val="000000"/>
          <w:sz w:val="20"/>
          <w:szCs w:val="20"/>
        </w:rPr>
        <w:t>SmartMusic</w:t>
      </w:r>
      <w:proofErr w:type="spellEnd"/>
      <w:r>
        <w:rPr>
          <w:color w:val="000000"/>
          <w:sz w:val="20"/>
          <w:szCs w:val="20"/>
        </w:rPr>
        <w:t xml:space="preserve"> combines a software application</w:t>
      </w:r>
      <w:r w:rsidR="00752B78">
        <w:rPr>
          <w:color w:val="000000"/>
          <w:sz w:val="20"/>
          <w:szCs w:val="20"/>
        </w:rPr>
        <w:t xml:space="preserve"> with</w:t>
      </w:r>
      <w:r>
        <w:rPr>
          <w:color w:val="000000"/>
          <w:sz w:val="20"/>
          <w:szCs w:val="20"/>
        </w:rPr>
        <w:t xml:space="preserve"> a library of thousands of music titles and skill-development exercises</w:t>
      </w:r>
      <w:r w:rsidR="00752B78">
        <w:rPr>
          <w:color w:val="000000"/>
          <w:sz w:val="20"/>
          <w:szCs w:val="20"/>
        </w:rPr>
        <w:t>. It provides</w:t>
      </w:r>
      <w:r>
        <w:rPr>
          <w:color w:val="000000"/>
          <w:sz w:val="20"/>
          <w:szCs w:val="20"/>
        </w:rPr>
        <w:t xml:space="preserve"> students</w:t>
      </w:r>
      <w:r w:rsidR="00752B78">
        <w:rPr>
          <w:color w:val="000000"/>
          <w:sz w:val="20"/>
          <w:szCs w:val="20"/>
        </w:rPr>
        <w:t xml:space="preserve"> and musicians</w:t>
      </w:r>
      <w:r>
        <w:rPr>
          <w:color w:val="000000"/>
          <w:sz w:val="20"/>
          <w:szCs w:val="20"/>
        </w:rPr>
        <w:t xml:space="preserve"> with a compelling </w:t>
      </w:r>
      <w:r w:rsidR="00752B78">
        <w:rPr>
          <w:color w:val="000000"/>
          <w:sz w:val="20"/>
          <w:szCs w:val="20"/>
        </w:rPr>
        <w:t xml:space="preserve">practice or audition </w:t>
      </w:r>
      <w:r>
        <w:rPr>
          <w:color w:val="000000"/>
          <w:sz w:val="20"/>
          <w:szCs w:val="20"/>
        </w:rPr>
        <w:t>experience and</w:t>
      </w:r>
      <w:r w:rsidR="00752B78">
        <w:rPr>
          <w:color w:val="000000"/>
          <w:sz w:val="20"/>
          <w:szCs w:val="20"/>
        </w:rPr>
        <w:t xml:space="preserve"> music</w:t>
      </w:r>
      <w:r>
        <w:rPr>
          <w:color w:val="000000"/>
          <w:sz w:val="20"/>
          <w:szCs w:val="20"/>
        </w:rPr>
        <w:t xml:space="preserve"> teachers with the </w:t>
      </w:r>
      <w:r w:rsidR="00752B78">
        <w:rPr>
          <w:color w:val="000000"/>
          <w:sz w:val="20"/>
          <w:szCs w:val="20"/>
        </w:rPr>
        <w:t xml:space="preserve">efficiency and effectiveness to reach more students and assess </w:t>
      </w:r>
      <w:r>
        <w:rPr>
          <w:color w:val="000000"/>
          <w:sz w:val="20"/>
          <w:szCs w:val="20"/>
        </w:rPr>
        <w:t xml:space="preserve">student achievement and growth. </w:t>
      </w:r>
    </w:p>
    <w:p w:rsidR="00752B78" w:rsidRDefault="00752B78" w:rsidP="00752B78">
      <w:pPr>
        <w:spacing w:after="240"/>
        <w:rPr>
          <w:i/>
          <w:color w:val="000000"/>
          <w:sz w:val="20"/>
          <w:szCs w:val="20"/>
        </w:rPr>
      </w:pPr>
      <w:r>
        <w:rPr>
          <w:i/>
          <w:color w:val="000000"/>
          <w:sz w:val="20"/>
          <w:szCs w:val="20"/>
        </w:rPr>
        <w:t>Recent Developments</w:t>
      </w:r>
    </w:p>
    <w:p w:rsidR="00752B78" w:rsidRDefault="00752B78" w:rsidP="00752B78">
      <w:pPr>
        <w:spacing w:after="240"/>
        <w:ind w:firstLine="720"/>
        <w:rPr>
          <w:color w:val="000000"/>
          <w:sz w:val="20"/>
          <w:szCs w:val="20"/>
        </w:rPr>
      </w:pPr>
      <w:r>
        <w:rPr>
          <w:color w:val="000000"/>
          <w:sz w:val="20"/>
          <w:szCs w:val="20"/>
        </w:rPr>
        <w:t xml:space="preserve">In December 2011, </w:t>
      </w:r>
      <w:proofErr w:type="spellStart"/>
      <w:r>
        <w:rPr>
          <w:color w:val="000000"/>
          <w:sz w:val="20"/>
          <w:szCs w:val="20"/>
        </w:rPr>
        <w:t>MakeMusic</w:t>
      </w:r>
      <w:proofErr w:type="spellEnd"/>
      <w:r>
        <w:rPr>
          <w:color w:val="000000"/>
          <w:sz w:val="20"/>
          <w:szCs w:val="20"/>
        </w:rPr>
        <w:t xml:space="preserve"> acquired Garritan Corporation. Garritan</w:t>
      </w:r>
      <w:r w:rsidR="00397921">
        <w:rPr>
          <w:color w:val="000000"/>
          <w:sz w:val="20"/>
          <w:szCs w:val="20"/>
        </w:rPr>
        <w:t xml:space="preserve"> </w:t>
      </w:r>
      <w:r>
        <w:rPr>
          <w:color w:val="000000"/>
          <w:sz w:val="20"/>
          <w:szCs w:val="20"/>
        </w:rPr>
        <w:t xml:space="preserve">sound sample libraries are noted among professional musicians around the world for their superior quality and value. Finale has incorporated Garritan sounds in its releases for many years. The acquisition demonstrated our devotion to developing and providing world class sound libraries to musicians, in order to expand the creation and performance of music. </w:t>
      </w:r>
    </w:p>
    <w:p w:rsidR="00752B78" w:rsidRDefault="00752B78" w:rsidP="00752B78">
      <w:pPr>
        <w:spacing w:after="240"/>
        <w:ind w:firstLine="720"/>
        <w:rPr>
          <w:color w:val="000000"/>
          <w:sz w:val="20"/>
          <w:szCs w:val="20"/>
        </w:rPr>
      </w:pPr>
      <w:r>
        <w:rPr>
          <w:color w:val="000000"/>
          <w:sz w:val="20"/>
          <w:szCs w:val="20"/>
        </w:rPr>
        <w:t xml:space="preserve">In November 2011, </w:t>
      </w:r>
      <w:proofErr w:type="spellStart"/>
      <w:r>
        <w:rPr>
          <w:color w:val="000000"/>
          <w:sz w:val="20"/>
          <w:szCs w:val="20"/>
        </w:rPr>
        <w:t>MakeMusic</w:t>
      </w:r>
      <w:proofErr w:type="spellEnd"/>
      <w:r>
        <w:rPr>
          <w:color w:val="000000"/>
          <w:sz w:val="20"/>
          <w:szCs w:val="20"/>
        </w:rPr>
        <w:t xml:space="preserve"> acquired select assets of </w:t>
      </w:r>
      <w:proofErr w:type="spellStart"/>
      <w:r>
        <w:rPr>
          <w:color w:val="000000"/>
          <w:sz w:val="20"/>
          <w:szCs w:val="20"/>
        </w:rPr>
        <w:t>Recordare</w:t>
      </w:r>
      <w:proofErr w:type="spellEnd"/>
      <w:r>
        <w:rPr>
          <w:color w:val="000000"/>
          <w:sz w:val="20"/>
          <w:szCs w:val="20"/>
        </w:rPr>
        <w:t xml:space="preserve"> LLC, including </w:t>
      </w:r>
      <w:proofErr w:type="spellStart"/>
      <w:r>
        <w:rPr>
          <w:color w:val="000000"/>
          <w:sz w:val="20"/>
          <w:szCs w:val="20"/>
        </w:rPr>
        <w:t>MusicXML</w:t>
      </w:r>
      <w:proofErr w:type="spellEnd"/>
      <w:r>
        <w:rPr>
          <w:color w:val="000000"/>
          <w:sz w:val="20"/>
          <w:szCs w:val="20"/>
        </w:rPr>
        <w:t xml:space="preserve">. </w:t>
      </w:r>
      <w:proofErr w:type="spellStart"/>
      <w:r>
        <w:rPr>
          <w:color w:val="000000"/>
          <w:sz w:val="20"/>
          <w:szCs w:val="20"/>
        </w:rPr>
        <w:t>MusicXML</w:t>
      </w:r>
      <w:proofErr w:type="spellEnd"/>
      <w:r>
        <w:rPr>
          <w:color w:val="000000"/>
          <w:sz w:val="20"/>
          <w:szCs w:val="20"/>
        </w:rPr>
        <w:t xml:space="preserve"> is the standard open file format for transferring music notation across applications. A free standard open file format is imperative to the viability of all music notation software. </w:t>
      </w:r>
      <w:proofErr w:type="spellStart"/>
      <w:r>
        <w:rPr>
          <w:color w:val="000000"/>
          <w:sz w:val="20"/>
          <w:szCs w:val="20"/>
        </w:rPr>
        <w:t>MakeMusic’s</w:t>
      </w:r>
      <w:proofErr w:type="spellEnd"/>
      <w:r>
        <w:rPr>
          <w:color w:val="000000"/>
          <w:sz w:val="20"/>
          <w:szCs w:val="20"/>
        </w:rPr>
        <w:t xml:space="preserve"> ownership of </w:t>
      </w:r>
      <w:proofErr w:type="spellStart"/>
      <w:r>
        <w:rPr>
          <w:color w:val="000000"/>
          <w:sz w:val="20"/>
          <w:szCs w:val="20"/>
        </w:rPr>
        <w:t>MusicXML</w:t>
      </w:r>
      <w:proofErr w:type="spellEnd"/>
      <w:r>
        <w:rPr>
          <w:color w:val="000000"/>
          <w:sz w:val="20"/>
          <w:szCs w:val="20"/>
        </w:rPr>
        <w:t xml:space="preserve"> provides assurance to over 150 software applications that this standard will continue to be supported and maintained.</w:t>
      </w:r>
    </w:p>
    <w:p w:rsidR="00752B78" w:rsidRDefault="00752B78" w:rsidP="00752B78">
      <w:pPr>
        <w:spacing w:after="240"/>
        <w:ind w:firstLine="720"/>
        <w:rPr>
          <w:color w:val="000000"/>
          <w:sz w:val="20"/>
          <w:szCs w:val="20"/>
        </w:rPr>
      </w:pPr>
      <w:r>
        <w:rPr>
          <w:color w:val="000000"/>
          <w:sz w:val="20"/>
          <w:szCs w:val="20"/>
        </w:rPr>
        <w:t xml:space="preserve">We expect that our acquisitions will provide synergies for </w:t>
      </w:r>
      <w:r w:rsidR="007B0732">
        <w:rPr>
          <w:color w:val="000000"/>
          <w:sz w:val="20"/>
          <w:szCs w:val="20"/>
        </w:rPr>
        <w:t>our current products.</w:t>
      </w:r>
    </w:p>
    <w:p w:rsidR="004851D7" w:rsidRDefault="004851D7">
      <w:pPr>
        <w:spacing w:after="240"/>
        <w:rPr>
          <w:b/>
          <w:color w:val="000000"/>
          <w:sz w:val="20"/>
          <w:szCs w:val="20"/>
        </w:rPr>
      </w:pPr>
      <w:proofErr w:type="spellStart"/>
      <w:r>
        <w:rPr>
          <w:b/>
          <w:color w:val="000000"/>
          <w:sz w:val="20"/>
          <w:szCs w:val="20"/>
        </w:rPr>
        <w:t>SmartMusic</w:t>
      </w:r>
      <w:proofErr w:type="spellEnd"/>
    </w:p>
    <w:p w:rsidR="004851D7" w:rsidRDefault="004851D7">
      <w:pPr>
        <w:rPr>
          <w:i/>
          <w:color w:val="000000"/>
          <w:sz w:val="20"/>
          <w:szCs w:val="20"/>
        </w:rPr>
      </w:pPr>
      <w:r>
        <w:rPr>
          <w:i/>
          <w:color w:val="000000"/>
          <w:sz w:val="20"/>
          <w:szCs w:val="20"/>
        </w:rPr>
        <w:t>Market Need</w:t>
      </w:r>
    </w:p>
    <w:p w:rsidR="007B0732" w:rsidRDefault="007B0732" w:rsidP="007B0732">
      <w:pPr>
        <w:spacing w:after="240"/>
        <w:ind w:firstLine="720"/>
        <w:rPr>
          <w:color w:val="000000"/>
          <w:sz w:val="20"/>
          <w:szCs w:val="20"/>
        </w:rPr>
      </w:pPr>
      <w:r>
        <w:rPr>
          <w:color w:val="000000"/>
          <w:sz w:val="20"/>
          <w:szCs w:val="20"/>
        </w:rPr>
        <w:t xml:space="preserve">Music teachers are challenged to reach all of their students in the way they passionately desire. The </w:t>
      </w:r>
      <w:proofErr w:type="spellStart"/>
      <w:r>
        <w:rPr>
          <w:color w:val="000000"/>
          <w:sz w:val="20"/>
          <w:szCs w:val="20"/>
        </w:rPr>
        <w:t>SmartMusic</w:t>
      </w:r>
      <w:proofErr w:type="spellEnd"/>
      <w:r>
        <w:rPr>
          <w:color w:val="000000"/>
          <w:sz w:val="20"/>
          <w:szCs w:val="20"/>
        </w:rPr>
        <w:t xml:space="preserve"> technology allows teachers to be more efficient and effective, allowing them to affect more of their students in ways they never imagined. </w:t>
      </w:r>
      <w:proofErr w:type="spellStart"/>
      <w:r>
        <w:rPr>
          <w:color w:val="000000"/>
          <w:sz w:val="20"/>
          <w:szCs w:val="20"/>
        </w:rPr>
        <w:t>SmartMusic</w:t>
      </w:r>
      <w:proofErr w:type="spellEnd"/>
      <w:r>
        <w:rPr>
          <w:color w:val="000000"/>
          <w:sz w:val="20"/>
          <w:szCs w:val="20"/>
        </w:rPr>
        <w:t xml:space="preserve"> also addresses the increasing desire and need of administrators to </w:t>
      </w:r>
      <w:r>
        <w:rPr>
          <w:color w:val="000000"/>
          <w:sz w:val="20"/>
          <w:szCs w:val="20"/>
        </w:rPr>
        <w:lastRenderedPageBreak/>
        <w:t xml:space="preserve">document the assessment of student’s achievement. Assessment standards have become topics of intense interest at the state level of education administrators and </w:t>
      </w:r>
      <w:proofErr w:type="spellStart"/>
      <w:r>
        <w:rPr>
          <w:color w:val="000000"/>
          <w:sz w:val="20"/>
          <w:szCs w:val="20"/>
        </w:rPr>
        <w:t>MakeMusic</w:t>
      </w:r>
      <w:proofErr w:type="spellEnd"/>
      <w:r>
        <w:rPr>
          <w:color w:val="000000"/>
          <w:sz w:val="20"/>
          <w:szCs w:val="20"/>
        </w:rPr>
        <w:t xml:space="preserve"> is becoming recognized as having the technology that allows them to accomplish their goals. Students also find that </w:t>
      </w:r>
      <w:proofErr w:type="spellStart"/>
      <w:r>
        <w:rPr>
          <w:color w:val="000000"/>
          <w:sz w:val="20"/>
          <w:szCs w:val="20"/>
        </w:rPr>
        <w:t>SmartMusic</w:t>
      </w:r>
      <w:proofErr w:type="spellEnd"/>
      <w:r>
        <w:rPr>
          <w:color w:val="000000"/>
          <w:sz w:val="20"/>
          <w:szCs w:val="20"/>
        </w:rPr>
        <w:t xml:space="preserve"> is a more satisfying and helpful way to practice and learn to sing or play a musical instrument. </w:t>
      </w:r>
      <w:proofErr w:type="spellStart"/>
      <w:r>
        <w:rPr>
          <w:color w:val="000000"/>
          <w:sz w:val="20"/>
          <w:szCs w:val="20"/>
        </w:rPr>
        <w:t>SmartMusic</w:t>
      </w:r>
      <w:proofErr w:type="spellEnd"/>
      <w:r>
        <w:rPr>
          <w:color w:val="000000"/>
          <w:sz w:val="20"/>
          <w:szCs w:val="20"/>
        </w:rPr>
        <w:t xml:space="preserve"> allows practice to be more engaging and rewarding, which results in the acceleration of students’ growth and achievement. </w:t>
      </w:r>
    </w:p>
    <w:p w:rsidR="004851D7" w:rsidRDefault="004851D7">
      <w:pPr>
        <w:rPr>
          <w:i/>
          <w:color w:val="000000"/>
          <w:sz w:val="20"/>
          <w:szCs w:val="20"/>
        </w:rPr>
      </w:pPr>
      <w:r>
        <w:rPr>
          <w:i/>
          <w:color w:val="000000"/>
          <w:sz w:val="20"/>
          <w:szCs w:val="20"/>
        </w:rPr>
        <w:t xml:space="preserve">The </w:t>
      </w:r>
      <w:proofErr w:type="spellStart"/>
      <w:r>
        <w:rPr>
          <w:i/>
          <w:color w:val="000000"/>
          <w:sz w:val="20"/>
          <w:szCs w:val="20"/>
        </w:rPr>
        <w:t>SmartMusic</w:t>
      </w:r>
      <w:proofErr w:type="spellEnd"/>
      <w:r>
        <w:rPr>
          <w:i/>
          <w:color w:val="000000"/>
          <w:sz w:val="20"/>
          <w:szCs w:val="20"/>
        </w:rPr>
        <w:t xml:space="preserve"> Solution</w:t>
      </w:r>
    </w:p>
    <w:p w:rsidR="004851D7" w:rsidRDefault="004851D7">
      <w:pPr>
        <w:spacing w:after="240"/>
        <w:ind w:firstLine="720"/>
        <w:rPr>
          <w:color w:val="000000"/>
          <w:sz w:val="20"/>
          <w:szCs w:val="20"/>
        </w:rPr>
      </w:pPr>
      <w:r>
        <w:rPr>
          <w:color w:val="000000"/>
          <w:sz w:val="20"/>
          <w:szCs w:val="20"/>
        </w:rPr>
        <w:t xml:space="preserve"> </w:t>
      </w:r>
      <w:proofErr w:type="spellStart"/>
      <w:r>
        <w:rPr>
          <w:sz w:val="20"/>
          <w:szCs w:val="20"/>
        </w:rPr>
        <w:t>SmartMusic</w:t>
      </w:r>
      <w:proofErr w:type="spellEnd"/>
      <w:r>
        <w:rPr>
          <w:sz w:val="20"/>
          <w:szCs w:val="20"/>
        </w:rPr>
        <w:t xml:space="preserve"> software is a</w:t>
      </w:r>
      <w:r w:rsidR="00F35984">
        <w:rPr>
          <w:sz w:val="20"/>
          <w:szCs w:val="20"/>
        </w:rPr>
        <w:t>n interactive</w:t>
      </w:r>
      <w:r>
        <w:rPr>
          <w:sz w:val="20"/>
          <w:szCs w:val="20"/>
        </w:rPr>
        <w:t xml:space="preserve"> music teaching</w:t>
      </w:r>
      <w:r w:rsidR="007B0732">
        <w:rPr>
          <w:sz w:val="20"/>
          <w:szCs w:val="20"/>
        </w:rPr>
        <w:t>, practicing</w:t>
      </w:r>
      <w:r>
        <w:rPr>
          <w:sz w:val="20"/>
          <w:szCs w:val="20"/>
        </w:rPr>
        <w:t xml:space="preserve"> and learning solution for band, orchestra and vocal </w:t>
      </w:r>
      <w:r w:rsidR="007B0732">
        <w:rPr>
          <w:sz w:val="20"/>
          <w:szCs w:val="20"/>
        </w:rPr>
        <w:t xml:space="preserve">programs, for use in the classroom and in the student’s </w:t>
      </w:r>
      <w:r>
        <w:rPr>
          <w:sz w:val="20"/>
          <w:szCs w:val="20"/>
        </w:rPr>
        <w:t>home.</w:t>
      </w:r>
      <w:r>
        <w:rPr>
          <w:color w:val="000000"/>
          <w:sz w:val="20"/>
          <w:szCs w:val="20"/>
        </w:rPr>
        <w:t xml:space="preserve"> </w:t>
      </w:r>
      <w:proofErr w:type="spellStart"/>
      <w:r>
        <w:rPr>
          <w:color w:val="000000"/>
          <w:sz w:val="20"/>
          <w:szCs w:val="20"/>
        </w:rPr>
        <w:t>SmartMusic</w:t>
      </w:r>
      <w:proofErr w:type="spellEnd"/>
      <w:r>
        <w:rPr>
          <w:color w:val="000000"/>
          <w:sz w:val="20"/>
          <w:szCs w:val="20"/>
        </w:rPr>
        <w:t xml:space="preserve"> enhances and transforms the hours spent practicing by putting students inside a professional band or orchestra, so that they can hear how the music is supposed to be performed and how their part fits in. This makes practicing much more engaging, causing students to practice longer and more often. </w:t>
      </w:r>
      <w:proofErr w:type="spellStart"/>
      <w:r>
        <w:rPr>
          <w:color w:val="000000"/>
          <w:sz w:val="20"/>
          <w:szCs w:val="20"/>
        </w:rPr>
        <w:t>SmartMusic</w:t>
      </w:r>
      <w:proofErr w:type="spellEnd"/>
      <w:r>
        <w:rPr>
          <w:color w:val="000000"/>
          <w:sz w:val="20"/>
          <w:szCs w:val="20"/>
        </w:rPr>
        <w:t xml:space="preserve"> also offers a rich variety of effective practice tools that make practice time more efficient and productive. The combination of making practice time more engaging and productive leads to rapid student skill-development, increased student confidence, higher student retention, and stronger music programs. </w:t>
      </w:r>
    </w:p>
    <w:p w:rsidR="004851D7" w:rsidRDefault="004851D7">
      <w:pPr>
        <w:spacing w:after="240"/>
        <w:ind w:firstLine="720"/>
        <w:rPr>
          <w:color w:val="000000"/>
          <w:sz w:val="20"/>
          <w:szCs w:val="20"/>
        </w:rPr>
      </w:pPr>
      <w:r>
        <w:rPr>
          <w:color w:val="000000"/>
          <w:sz w:val="20"/>
          <w:szCs w:val="20"/>
        </w:rPr>
        <w:t xml:space="preserve">Teachers use </w:t>
      </w:r>
      <w:r w:rsidR="007B0732">
        <w:rPr>
          <w:color w:val="000000"/>
          <w:sz w:val="20"/>
          <w:szCs w:val="20"/>
        </w:rPr>
        <w:t xml:space="preserve">the </w:t>
      </w:r>
      <w:proofErr w:type="spellStart"/>
      <w:r>
        <w:rPr>
          <w:color w:val="000000"/>
          <w:sz w:val="20"/>
          <w:szCs w:val="20"/>
        </w:rPr>
        <w:t>SmartMusic</w:t>
      </w:r>
      <w:proofErr w:type="spellEnd"/>
      <w:r>
        <w:rPr>
          <w:color w:val="000000"/>
          <w:sz w:val="20"/>
          <w:szCs w:val="20"/>
        </w:rPr>
        <w:t xml:space="preserve"> </w:t>
      </w:r>
      <w:proofErr w:type="spellStart"/>
      <w:r>
        <w:rPr>
          <w:color w:val="000000"/>
          <w:sz w:val="20"/>
          <w:szCs w:val="20"/>
        </w:rPr>
        <w:t>Gradebook</w:t>
      </w:r>
      <w:proofErr w:type="spellEnd"/>
      <w:r>
        <w:rPr>
          <w:color w:val="000000"/>
          <w:sz w:val="20"/>
          <w:szCs w:val="20"/>
          <w:vertAlign w:val="superscript"/>
        </w:rPr>
        <w:t>™</w:t>
      </w:r>
      <w:r w:rsidR="007B0732">
        <w:rPr>
          <w:color w:val="000000"/>
          <w:sz w:val="20"/>
          <w:szCs w:val="20"/>
        </w:rPr>
        <w:t xml:space="preserve"> capability of the educator’s</w:t>
      </w:r>
      <w:r>
        <w:rPr>
          <w:color w:val="000000"/>
          <w:sz w:val="20"/>
          <w:szCs w:val="20"/>
        </w:rPr>
        <w:t xml:space="preserve"> subscription</w:t>
      </w:r>
      <w:r w:rsidR="007B0732">
        <w:rPr>
          <w:color w:val="000000"/>
          <w:sz w:val="20"/>
          <w:szCs w:val="20"/>
        </w:rPr>
        <w:t xml:space="preserve"> to issue</w:t>
      </w:r>
      <w:r>
        <w:rPr>
          <w:color w:val="000000"/>
          <w:sz w:val="20"/>
          <w:szCs w:val="20"/>
        </w:rPr>
        <w:t xml:space="preserve"> assignments to students, receive completed assignments from students, assess student achievement, and manage student records. The grade book process works as follows:</w:t>
      </w:r>
    </w:p>
    <w:p w:rsidR="004851D7" w:rsidRDefault="004851D7">
      <w:pPr>
        <w:pStyle w:val="ListParagraph"/>
        <w:numPr>
          <w:ilvl w:val="0"/>
          <w:numId w:val="26"/>
        </w:numPr>
        <w:spacing w:after="240"/>
        <w:ind w:left="720"/>
        <w:contextualSpacing w:val="0"/>
        <w:rPr>
          <w:color w:val="000000"/>
          <w:sz w:val="20"/>
          <w:szCs w:val="20"/>
        </w:rPr>
      </w:pPr>
      <w:r>
        <w:rPr>
          <w:color w:val="000000"/>
          <w:sz w:val="20"/>
          <w:szCs w:val="20"/>
        </w:rPr>
        <w:t xml:space="preserve">Teachers log in to </w:t>
      </w:r>
      <w:proofErr w:type="spellStart"/>
      <w:r>
        <w:rPr>
          <w:color w:val="000000"/>
          <w:sz w:val="20"/>
          <w:szCs w:val="20"/>
        </w:rPr>
        <w:t>SmartMusic</w:t>
      </w:r>
      <w:proofErr w:type="spellEnd"/>
      <w:r>
        <w:rPr>
          <w:color w:val="000000"/>
          <w:sz w:val="20"/>
          <w:szCs w:val="20"/>
        </w:rPr>
        <w:t xml:space="preserve"> </w:t>
      </w:r>
      <w:proofErr w:type="spellStart"/>
      <w:r>
        <w:rPr>
          <w:color w:val="000000"/>
          <w:sz w:val="20"/>
          <w:szCs w:val="20"/>
        </w:rPr>
        <w:t>Gradebook</w:t>
      </w:r>
      <w:proofErr w:type="spellEnd"/>
      <w:r>
        <w:rPr>
          <w:color w:val="000000"/>
          <w:sz w:val="20"/>
          <w:szCs w:val="20"/>
        </w:rPr>
        <w:t xml:space="preserve"> via a web browser</w:t>
      </w:r>
      <w:r w:rsidR="001C0768">
        <w:rPr>
          <w:color w:val="000000"/>
          <w:sz w:val="20"/>
          <w:szCs w:val="20"/>
        </w:rPr>
        <w:t xml:space="preserve"> and</w:t>
      </w:r>
      <w:r w:rsidR="00C50DE7">
        <w:rPr>
          <w:color w:val="000000"/>
          <w:sz w:val="20"/>
          <w:szCs w:val="20"/>
        </w:rPr>
        <w:t xml:space="preserve"> </w:t>
      </w:r>
      <w:r w:rsidR="001C0768">
        <w:rPr>
          <w:color w:val="000000"/>
          <w:sz w:val="20"/>
          <w:szCs w:val="20"/>
        </w:rPr>
        <w:t xml:space="preserve">through Android or </w:t>
      </w:r>
      <w:proofErr w:type="spellStart"/>
      <w:r w:rsidR="001C0768">
        <w:rPr>
          <w:color w:val="000000"/>
          <w:sz w:val="20"/>
          <w:szCs w:val="20"/>
        </w:rPr>
        <w:t>iOS</w:t>
      </w:r>
      <w:proofErr w:type="spellEnd"/>
      <w:r w:rsidR="001C0768">
        <w:rPr>
          <w:color w:val="000000"/>
          <w:sz w:val="20"/>
          <w:szCs w:val="20"/>
        </w:rPr>
        <w:t xml:space="preserve"> </w:t>
      </w:r>
      <w:r w:rsidR="00C50DE7">
        <w:rPr>
          <w:color w:val="000000"/>
          <w:sz w:val="20"/>
          <w:szCs w:val="20"/>
        </w:rPr>
        <w:t>mobile device</w:t>
      </w:r>
      <w:r w:rsidR="001C0768">
        <w:rPr>
          <w:color w:val="000000"/>
          <w:sz w:val="20"/>
          <w:szCs w:val="20"/>
        </w:rPr>
        <w:t>s</w:t>
      </w:r>
      <w:r>
        <w:rPr>
          <w:color w:val="000000"/>
          <w:sz w:val="20"/>
          <w:szCs w:val="20"/>
        </w:rPr>
        <w:t xml:space="preserve">, select the </w:t>
      </w:r>
      <w:r w:rsidR="007B0732">
        <w:rPr>
          <w:color w:val="000000"/>
          <w:sz w:val="20"/>
          <w:szCs w:val="20"/>
        </w:rPr>
        <w:t xml:space="preserve">piece and </w:t>
      </w:r>
      <w:r>
        <w:rPr>
          <w:color w:val="000000"/>
          <w:sz w:val="20"/>
          <w:szCs w:val="20"/>
        </w:rPr>
        <w:t>pre-defined assignment</w:t>
      </w:r>
      <w:r w:rsidR="007B0732">
        <w:rPr>
          <w:color w:val="000000"/>
          <w:sz w:val="20"/>
          <w:szCs w:val="20"/>
        </w:rPr>
        <w:t xml:space="preserve">, </w:t>
      </w:r>
      <w:r>
        <w:rPr>
          <w:color w:val="000000"/>
          <w:sz w:val="20"/>
          <w:szCs w:val="20"/>
        </w:rPr>
        <w:t>set a due date</w:t>
      </w:r>
      <w:r w:rsidR="007B0732">
        <w:rPr>
          <w:color w:val="000000"/>
          <w:sz w:val="20"/>
          <w:szCs w:val="20"/>
        </w:rPr>
        <w:t xml:space="preserve"> and point value and issue</w:t>
      </w:r>
      <w:r>
        <w:rPr>
          <w:color w:val="000000"/>
          <w:sz w:val="20"/>
          <w:szCs w:val="20"/>
        </w:rPr>
        <w:t xml:space="preserve"> the assignment</w:t>
      </w:r>
      <w:r w:rsidR="007B0732">
        <w:rPr>
          <w:color w:val="000000"/>
          <w:sz w:val="20"/>
          <w:szCs w:val="20"/>
        </w:rPr>
        <w:t>.</w:t>
      </w:r>
      <w:r>
        <w:rPr>
          <w:color w:val="000000"/>
          <w:sz w:val="20"/>
          <w:szCs w:val="20"/>
        </w:rPr>
        <w:t xml:space="preserve"> This process takes the teacher about one minute.</w:t>
      </w:r>
    </w:p>
    <w:p w:rsidR="006844FE" w:rsidRDefault="006844FE" w:rsidP="006844FE">
      <w:pPr>
        <w:pStyle w:val="ListParagraph"/>
        <w:numPr>
          <w:ilvl w:val="0"/>
          <w:numId w:val="26"/>
        </w:numPr>
        <w:spacing w:after="240"/>
        <w:ind w:left="720"/>
        <w:contextualSpacing w:val="0"/>
        <w:rPr>
          <w:color w:val="000000"/>
          <w:sz w:val="20"/>
          <w:szCs w:val="20"/>
        </w:rPr>
      </w:pPr>
      <w:r>
        <w:rPr>
          <w:color w:val="000000"/>
          <w:sz w:val="20"/>
          <w:szCs w:val="20"/>
        </w:rPr>
        <w:t xml:space="preserve">Students log in to </w:t>
      </w:r>
      <w:proofErr w:type="spellStart"/>
      <w:r>
        <w:rPr>
          <w:color w:val="000000"/>
          <w:sz w:val="20"/>
          <w:szCs w:val="20"/>
        </w:rPr>
        <w:t>SmartMusic</w:t>
      </w:r>
      <w:proofErr w:type="spellEnd"/>
      <w:r>
        <w:rPr>
          <w:color w:val="000000"/>
          <w:sz w:val="20"/>
          <w:szCs w:val="20"/>
        </w:rPr>
        <w:t xml:space="preserve"> at home or at a school practice room, click on the assignment and see practice instructions. Students can use </w:t>
      </w:r>
      <w:proofErr w:type="spellStart"/>
      <w:r>
        <w:rPr>
          <w:color w:val="000000"/>
          <w:sz w:val="20"/>
          <w:szCs w:val="20"/>
        </w:rPr>
        <w:t>SmartMusic’s</w:t>
      </w:r>
      <w:proofErr w:type="spellEnd"/>
      <w:r>
        <w:rPr>
          <w:color w:val="000000"/>
          <w:sz w:val="20"/>
          <w:szCs w:val="20"/>
        </w:rPr>
        <w:t xml:space="preserve"> practice tools: slow down the tempo, hear how their part is performed, set practice loops, use the tuner, etc. Students’ performances are recorded, visually assessed and scored for note and rhythm. Students can listen to the recordings and visually see which notes and rhythms need to be improved on through the use of a red and green notation assessment for incorrect and correct performance, respectively. Students submit the performance of their choice as their completed assignment and accompanying the performance is the </w:t>
      </w:r>
      <w:proofErr w:type="spellStart"/>
      <w:r>
        <w:rPr>
          <w:color w:val="000000"/>
          <w:sz w:val="20"/>
          <w:szCs w:val="20"/>
        </w:rPr>
        <w:t>SmartMusic</w:t>
      </w:r>
      <w:proofErr w:type="spellEnd"/>
      <w:r>
        <w:rPr>
          <w:color w:val="000000"/>
          <w:sz w:val="20"/>
          <w:szCs w:val="20"/>
        </w:rPr>
        <w:t xml:space="preserve"> assessed score of achievement. </w:t>
      </w:r>
    </w:p>
    <w:p w:rsidR="006844FE" w:rsidRDefault="006844FE" w:rsidP="006844FE">
      <w:pPr>
        <w:pStyle w:val="ListParagraph"/>
        <w:numPr>
          <w:ilvl w:val="0"/>
          <w:numId w:val="26"/>
        </w:numPr>
        <w:spacing w:after="240"/>
        <w:ind w:left="720"/>
        <w:contextualSpacing w:val="0"/>
        <w:rPr>
          <w:color w:val="000000"/>
          <w:sz w:val="20"/>
          <w:szCs w:val="20"/>
        </w:rPr>
      </w:pPr>
      <w:r>
        <w:rPr>
          <w:color w:val="000000"/>
          <w:sz w:val="20"/>
          <w:szCs w:val="20"/>
        </w:rPr>
        <w:t xml:space="preserve">Students submit the performance of their choice as their completed assignment. Accompanying the performance is the </w:t>
      </w:r>
      <w:proofErr w:type="spellStart"/>
      <w:r>
        <w:rPr>
          <w:color w:val="000000"/>
          <w:sz w:val="20"/>
          <w:szCs w:val="20"/>
        </w:rPr>
        <w:t>SmartMusic</w:t>
      </w:r>
      <w:proofErr w:type="spellEnd"/>
      <w:r>
        <w:rPr>
          <w:color w:val="000000"/>
          <w:sz w:val="20"/>
          <w:szCs w:val="20"/>
        </w:rPr>
        <w:t xml:space="preserve"> assessed score of achievement which the teachers’ </w:t>
      </w:r>
      <w:proofErr w:type="spellStart"/>
      <w:r>
        <w:rPr>
          <w:color w:val="000000"/>
          <w:sz w:val="20"/>
          <w:szCs w:val="20"/>
        </w:rPr>
        <w:t>SmartMusic</w:t>
      </w:r>
      <w:proofErr w:type="spellEnd"/>
      <w:r>
        <w:rPr>
          <w:color w:val="000000"/>
          <w:sz w:val="20"/>
          <w:szCs w:val="20"/>
        </w:rPr>
        <w:t xml:space="preserve"> </w:t>
      </w:r>
      <w:proofErr w:type="spellStart"/>
      <w:r>
        <w:rPr>
          <w:color w:val="000000"/>
          <w:sz w:val="20"/>
          <w:szCs w:val="20"/>
        </w:rPr>
        <w:t>Gradebook</w:t>
      </w:r>
      <w:proofErr w:type="spellEnd"/>
      <w:r>
        <w:rPr>
          <w:color w:val="000000"/>
          <w:sz w:val="20"/>
          <w:szCs w:val="20"/>
        </w:rPr>
        <w:t xml:space="preserve"> receives. Students only need an Internet connection to do this, no browser or e-mail program is required.</w:t>
      </w:r>
    </w:p>
    <w:p w:rsidR="006844FE" w:rsidRDefault="006844FE" w:rsidP="006844FE">
      <w:pPr>
        <w:pStyle w:val="ListParagraph"/>
        <w:numPr>
          <w:ilvl w:val="0"/>
          <w:numId w:val="26"/>
        </w:numPr>
        <w:spacing w:after="240"/>
        <w:ind w:left="720"/>
        <w:contextualSpacing w:val="0"/>
        <w:rPr>
          <w:color w:val="000000"/>
          <w:sz w:val="20"/>
          <w:szCs w:val="20"/>
        </w:rPr>
      </w:pPr>
      <w:r>
        <w:rPr>
          <w:color w:val="000000"/>
          <w:sz w:val="20"/>
          <w:szCs w:val="20"/>
        </w:rPr>
        <w:t xml:space="preserve">Teachers receive submitted assessed graded assignments in their </w:t>
      </w:r>
      <w:proofErr w:type="spellStart"/>
      <w:r>
        <w:rPr>
          <w:color w:val="000000"/>
          <w:sz w:val="20"/>
          <w:szCs w:val="20"/>
        </w:rPr>
        <w:t>SmartMusic</w:t>
      </w:r>
      <w:proofErr w:type="spellEnd"/>
      <w:r>
        <w:rPr>
          <w:color w:val="000000"/>
          <w:sz w:val="20"/>
          <w:szCs w:val="20"/>
        </w:rPr>
        <w:t xml:space="preserve"> </w:t>
      </w:r>
      <w:proofErr w:type="spellStart"/>
      <w:r>
        <w:rPr>
          <w:color w:val="000000"/>
          <w:sz w:val="20"/>
          <w:szCs w:val="20"/>
        </w:rPr>
        <w:t>Gradebook</w:t>
      </w:r>
      <w:proofErr w:type="spellEnd"/>
      <w:r>
        <w:rPr>
          <w:color w:val="000000"/>
          <w:sz w:val="20"/>
          <w:szCs w:val="20"/>
        </w:rPr>
        <w:t xml:space="preserve">. If the teacher required students to submit recordings of an assignment, the recordings are also in the </w:t>
      </w:r>
      <w:proofErr w:type="spellStart"/>
      <w:r>
        <w:rPr>
          <w:color w:val="000000"/>
          <w:sz w:val="20"/>
          <w:szCs w:val="20"/>
        </w:rPr>
        <w:t>Gradebook</w:t>
      </w:r>
      <w:proofErr w:type="spellEnd"/>
      <w:r>
        <w:rPr>
          <w:color w:val="000000"/>
          <w:sz w:val="20"/>
          <w:szCs w:val="20"/>
        </w:rPr>
        <w:t xml:space="preserve">. Teachers can listen to recordings with a single click, which facilitates an efficient grading process. In 2011, we released Android and </w:t>
      </w:r>
      <w:proofErr w:type="spellStart"/>
      <w:r>
        <w:rPr>
          <w:color w:val="000000"/>
          <w:sz w:val="20"/>
          <w:szCs w:val="20"/>
        </w:rPr>
        <w:t>iOS</w:t>
      </w:r>
      <w:proofErr w:type="spellEnd"/>
      <w:r>
        <w:rPr>
          <w:color w:val="000000"/>
          <w:sz w:val="20"/>
          <w:szCs w:val="20"/>
        </w:rPr>
        <w:t xml:space="preserve"> apps for mobile use by teachers, enabling them to review, listen to and comment on students’ assignments with ease and mobility. Teachers also find the app extremely useful as an engagement tool with parents during parent teacher conferences. </w:t>
      </w:r>
    </w:p>
    <w:p w:rsidR="006844FE" w:rsidRDefault="006844FE" w:rsidP="006844FE">
      <w:pPr>
        <w:rPr>
          <w:i/>
          <w:color w:val="000000"/>
          <w:sz w:val="20"/>
          <w:szCs w:val="20"/>
        </w:rPr>
      </w:pPr>
      <w:proofErr w:type="spellStart"/>
      <w:r>
        <w:rPr>
          <w:i/>
          <w:color w:val="000000"/>
          <w:sz w:val="20"/>
          <w:szCs w:val="20"/>
        </w:rPr>
        <w:t>SmartMusic</w:t>
      </w:r>
      <w:proofErr w:type="spellEnd"/>
      <w:r>
        <w:rPr>
          <w:i/>
          <w:color w:val="000000"/>
          <w:sz w:val="20"/>
          <w:szCs w:val="20"/>
        </w:rPr>
        <w:t xml:space="preserve"> Assignments</w:t>
      </w:r>
    </w:p>
    <w:p w:rsidR="006844FE" w:rsidRDefault="006844FE" w:rsidP="006844FE">
      <w:pPr>
        <w:rPr>
          <w:i/>
          <w:color w:val="000000"/>
          <w:sz w:val="20"/>
          <w:szCs w:val="20"/>
        </w:rPr>
      </w:pPr>
    </w:p>
    <w:p w:rsidR="006844FE" w:rsidRDefault="006844FE" w:rsidP="006844FE">
      <w:pPr>
        <w:spacing w:after="240"/>
        <w:ind w:firstLine="720"/>
        <w:rPr>
          <w:color w:val="000000"/>
          <w:sz w:val="20"/>
          <w:szCs w:val="20"/>
        </w:rPr>
      </w:pPr>
      <w:r>
        <w:rPr>
          <w:color w:val="000000"/>
          <w:sz w:val="20"/>
          <w:szCs w:val="20"/>
        </w:rPr>
        <w:t xml:space="preserve">With </w:t>
      </w:r>
      <w:proofErr w:type="spellStart"/>
      <w:r>
        <w:rPr>
          <w:color w:val="000000"/>
          <w:sz w:val="20"/>
          <w:szCs w:val="20"/>
        </w:rPr>
        <w:t>SmartMusic</w:t>
      </w:r>
      <w:proofErr w:type="spellEnd"/>
      <w:r>
        <w:rPr>
          <w:color w:val="000000"/>
          <w:sz w:val="20"/>
          <w:szCs w:val="20"/>
        </w:rPr>
        <w:t xml:space="preserve"> and </w:t>
      </w:r>
      <w:proofErr w:type="spellStart"/>
      <w:r>
        <w:rPr>
          <w:color w:val="000000"/>
          <w:sz w:val="20"/>
          <w:szCs w:val="20"/>
        </w:rPr>
        <w:t>SmartMusic</w:t>
      </w:r>
      <w:proofErr w:type="spellEnd"/>
      <w:r>
        <w:rPr>
          <w:color w:val="000000"/>
          <w:sz w:val="20"/>
          <w:szCs w:val="20"/>
        </w:rPr>
        <w:t xml:space="preserve"> </w:t>
      </w:r>
      <w:proofErr w:type="spellStart"/>
      <w:r>
        <w:rPr>
          <w:color w:val="000000"/>
          <w:sz w:val="20"/>
          <w:szCs w:val="20"/>
        </w:rPr>
        <w:t>Gradebook</w:t>
      </w:r>
      <w:proofErr w:type="spellEnd"/>
      <w:r>
        <w:rPr>
          <w:color w:val="000000"/>
          <w:sz w:val="20"/>
          <w:szCs w:val="20"/>
        </w:rPr>
        <w:t xml:space="preserve">, teachers have the assistance of technology to influence students’ home practice time and measure individual student achievement. They are able to use student records in </w:t>
      </w:r>
      <w:proofErr w:type="spellStart"/>
      <w:r>
        <w:rPr>
          <w:color w:val="000000"/>
          <w:sz w:val="20"/>
          <w:szCs w:val="20"/>
        </w:rPr>
        <w:t>SmartMusic</w:t>
      </w:r>
      <w:proofErr w:type="spellEnd"/>
      <w:r>
        <w:rPr>
          <w:color w:val="000000"/>
          <w:sz w:val="20"/>
          <w:szCs w:val="20"/>
        </w:rPr>
        <w:t xml:space="preserve"> </w:t>
      </w:r>
      <w:proofErr w:type="spellStart"/>
      <w:r>
        <w:rPr>
          <w:color w:val="000000"/>
          <w:sz w:val="20"/>
          <w:szCs w:val="20"/>
        </w:rPr>
        <w:t>Gradebook</w:t>
      </w:r>
      <w:proofErr w:type="spellEnd"/>
      <w:r>
        <w:rPr>
          <w:color w:val="000000"/>
          <w:sz w:val="20"/>
          <w:szCs w:val="20"/>
        </w:rPr>
        <w:t xml:space="preserve"> to explain semester grades to students and their parents. </w:t>
      </w:r>
      <w:proofErr w:type="spellStart"/>
      <w:r>
        <w:rPr>
          <w:color w:val="000000"/>
          <w:sz w:val="20"/>
          <w:szCs w:val="20"/>
        </w:rPr>
        <w:t>SmartMusic</w:t>
      </w:r>
      <w:proofErr w:type="spellEnd"/>
      <w:r>
        <w:rPr>
          <w:color w:val="000000"/>
          <w:sz w:val="20"/>
          <w:szCs w:val="20"/>
        </w:rPr>
        <w:t xml:space="preserve"> </w:t>
      </w:r>
      <w:proofErr w:type="spellStart"/>
      <w:r>
        <w:rPr>
          <w:color w:val="000000"/>
          <w:sz w:val="20"/>
          <w:szCs w:val="20"/>
        </w:rPr>
        <w:t>Gradebook</w:t>
      </w:r>
      <w:proofErr w:type="spellEnd"/>
      <w:r>
        <w:rPr>
          <w:color w:val="000000"/>
          <w:sz w:val="20"/>
          <w:szCs w:val="20"/>
        </w:rPr>
        <w:t xml:space="preserve"> also makes it easy for a teacher to share recordings of students’ performance with parents, via email or live in parent teacher conferences. This encourages parents to be more actively involved in their child’s musical education.</w:t>
      </w:r>
    </w:p>
    <w:p w:rsidR="006844FE" w:rsidRDefault="006844FE" w:rsidP="006844FE">
      <w:pPr>
        <w:spacing w:after="240"/>
        <w:ind w:firstLine="720"/>
        <w:rPr>
          <w:color w:val="000000"/>
          <w:sz w:val="20"/>
          <w:szCs w:val="20"/>
        </w:rPr>
      </w:pPr>
      <w:proofErr w:type="spellStart"/>
      <w:r>
        <w:rPr>
          <w:color w:val="000000"/>
          <w:sz w:val="20"/>
          <w:szCs w:val="20"/>
        </w:rPr>
        <w:t>SmartMusic</w:t>
      </w:r>
      <w:proofErr w:type="spellEnd"/>
      <w:r>
        <w:rPr>
          <w:color w:val="000000"/>
          <w:sz w:val="20"/>
          <w:szCs w:val="20"/>
        </w:rPr>
        <w:t xml:space="preserve"> assignments hold students accountable for their practice and mastery, which makes practice time more rewarding and inspiring. Third-party interviews with students have shown that they prefer the autonomy of using </w:t>
      </w:r>
      <w:proofErr w:type="spellStart"/>
      <w:r>
        <w:rPr>
          <w:color w:val="000000"/>
          <w:sz w:val="20"/>
          <w:szCs w:val="20"/>
        </w:rPr>
        <w:t>SmartMusic</w:t>
      </w:r>
      <w:proofErr w:type="spellEnd"/>
      <w:r>
        <w:rPr>
          <w:color w:val="000000"/>
          <w:sz w:val="20"/>
          <w:szCs w:val="20"/>
        </w:rPr>
        <w:t xml:space="preserve"> and </w:t>
      </w:r>
      <w:proofErr w:type="spellStart"/>
      <w:r>
        <w:rPr>
          <w:color w:val="000000"/>
          <w:sz w:val="20"/>
          <w:szCs w:val="20"/>
        </w:rPr>
        <w:t>SmartMusic</w:t>
      </w:r>
      <w:proofErr w:type="spellEnd"/>
      <w:r>
        <w:rPr>
          <w:color w:val="000000"/>
          <w:sz w:val="20"/>
          <w:szCs w:val="20"/>
        </w:rPr>
        <w:t xml:space="preserve"> </w:t>
      </w:r>
      <w:proofErr w:type="spellStart"/>
      <w:r>
        <w:rPr>
          <w:color w:val="000000"/>
          <w:sz w:val="20"/>
          <w:szCs w:val="20"/>
        </w:rPr>
        <w:t>Gradebook</w:t>
      </w:r>
      <w:proofErr w:type="spellEnd"/>
      <w:r>
        <w:rPr>
          <w:color w:val="000000"/>
          <w:sz w:val="20"/>
          <w:szCs w:val="20"/>
        </w:rPr>
        <w:t xml:space="preserve"> to practice and submit completed assignments privately at home, rather than performing in front of their teacher and peers.</w:t>
      </w:r>
    </w:p>
    <w:p w:rsidR="006844FE" w:rsidRDefault="006844FE" w:rsidP="006844FE">
      <w:pPr>
        <w:spacing w:after="240"/>
        <w:ind w:firstLine="720"/>
        <w:rPr>
          <w:color w:val="000000"/>
          <w:sz w:val="20"/>
          <w:szCs w:val="20"/>
        </w:rPr>
      </w:pPr>
      <w:r>
        <w:rPr>
          <w:color w:val="000000"/>
          <w:sz w:val="20"/>
          <w:szCs w:val="20"/>
        </w:rPr>
        <w:lastRenderedPageBreak/>
        <w:t xml:space="preserve">An administrator can audit his or her teachers’ </w:t>
      </w:r>
      <w:proofErr w:type="spellStart"/>
      <w:r>
        <w:rPr>
          <w:color w:val="000000"/>
          <w:sz w:val="20"/>
          <w:szCs w:val="20"/>
        </w:rPr>
        <w:t>SmartMusic</w:t>
      </w:r>
      <w:proofErr w:type="spellEnd"/>
      <w:r>
        <w:rPr>
          <w:color w:val="000000"/>
          <w:sz w:val="20"/>
          <w:szCs w:val="20"/>
        </w:rPr>
        <w:t xml:space="preserve"> </w:t>
      </w:r>
      <w:proofErr w:type="spellStart"/>
      <w:r>
        <w:rPr>
          <w:color w:val="000000"/>
          <w:sz w:val="20"/>
          <w:szCs w:val="20"/>
        </w:rPr>
        <w:t>Gradebook</w:t>
      </w:r>
      <w:proofErr w:type="spellEnd"/>
      <w:r>
        <w:rPr>
          <w:color w:val="000000"/>
          <w:sz w:val="20"/>
          <w:szCs w:val="20"/>
        </w:rPr>
        <w:t xml:space="preserve"> to verify that student achievement is consistently being measured and that students are developing skills and achieving desired competency levels. This provides tangible justification for the music program, which is generally acknowledged as very important to the school district and to the overall growth of the student. </w:t>
      </w:r>
    </w:p>
    <w:p w:rsidR="006844FE" w:rsidRDefault="006844FE" w:rsidP="006844FE">
      <w:pPr>
        <w:rPr>
          <w:i/>
          <w:color w:val="000000"/>
          <w:sz w:val="20"/>
          <w:szCs w:val="20"/>
        </w:rPr>
      </w:pPr>
      <w:r>
        <w:rPr>
          <w:i/>
          <w:color w:val="000000"/>
          <w:sz w:val="20"/>
          <w:szCs w:val="20"/>
        </w:rPr>
        <w:t xml:space="preserve">How Does </w:t>
      </w:r>
      <w:proofErr w:type="spellStart"/>
      <w:r>
        <w:rPr>
          <w:i/>
          <w:color w:val="000000"/>
          <w:sz w:val="20"/>
          <w:szCs w:val="20"/>
        </w:rPr>
        <w:t>SmartMusic</w:t>
      </w:r>
      <w:proofErr w:type="spellEnd"/>
      <w:r>
        <w:rPr>
          <w:i/>
          <w:color w:val="000000"/>
          <w:sz w:val="20"/>
          <w:szCs w:val="20"/>
        </w:rPr>
        <w:t xml:space="preserve"> Develop Skills and Motivate Students?</w:t>
      </w:r>
    </w:p>
    <w:p w:rsidR="006844FE" w:rsidRDefault="006844FE" w:rsidP="006844FE">
      <w:pPr>
        <w:rPr>
          <w:i/>
          <w:color w:val="000000"/>
          <w:sz w:val="20"/>
          <w:szCs w:val="20"/>
        </w:rPr>
      </w:pPr>
    </w:p>
    <w:p w:rsidR="006844FE" w:rsidRDefault="006844FE" w:rsidP="006844FE">
      <w:pPr>
        <w:spacing w:after="80"/>
        <w:rPr>
          <w:color w:val="000000"/>
          <w:sz w:val="20"/>
          <w:szCs w:val="20"/>
        </w:rPr>
      </w:pPr>
      <w:r>
        <w:rPr>
          <w:color w:val="000000"/>
          <w:sz w:val="20"/>
          <w:szCs w:val="20"/>
        </w:rPr>
        <w:tab/>
      </w:r>
      <w:proofErr w:type="spellStart"/>
      <w:r>
        <w:rPr>
          <w:color w:val="000000"/>
          <w:sz w:val="20"/>
          <w:szCs w:val="20"/>
        </w:rPr>
        <w:t>SmartMusic</w:t>
      </w:r>
      <w:proofErr w:type="spellEnd"/>
      <w:r>
        <w:rPr>
          <w:color w:val="000000"/>
          <w:sz w:val="20"/>
          <w:szCs w:val="20"/>
        </w:rPr>
        <w:t xml:space="preserve"> provides a rich combination of features that helps students focus their practice time and master specific skills, contributing to a more engaging and rewarding practice. These features include the following:</w:t>
      </w:r>
    </w:p>
    <w:p w:rsidR="006844FE" w:rsidRDefault="006844FE" w:rsidP="006844FE">
      <w:pPr>
        <w:pStyle w:val="ListParagraph"/>
        <w:numPr>
          <w:ilvl w:val="0"/>
          <w:numId w:val="27"/>
        </w:numPr>
        <w:contextualSpacing w:val="0"/>
        <w:rPr>
          <w:color w:val="000000"/>
          <w:sz w:val="20"/>
          <w:szCs w:val="20"/>
        </w:rPr>
      </w:pPr>
      <w:r>
        <w:rPr>
          <w:color w:val="000000"/>
          <w:sz w:val="20"/>
          <w:szCs w:val="20"/>
          <w:u w:val="single"/>
        </w:rPr>
        <w:t>Assessment.</w:t>
      </w:r>
      <w:r>
        <w:rPr>
          <w:color w:val="000000"/>
          <w:sz w:val="20"/>
          <w:szCs w:val="20"/>
        </w:rPr>
        <w:t xml:space="preserve"> </w:t>
      </w:r>
      <w:proofErr w:type="spellStart"/>
      <w:r>
        <w:rPr>
          <w:color w:val="000000"/>
          <w:sz w:val="20"/>
          <w:szCs w:val="20"/>
        </w:rPr>
        <w:t>SmartMusic</w:t>
      </w:r>
      <w:proofErr w:type="spellEnd"/>
      <w:r>
        <w:rPr>
          <w:color w:val="000000"/>
          <w:sz w:val="20"/>
          <w:szCs w:val="20"/>
        </w:rPr>
        <w:t xml:space="preserve"> assesses student performance. Wrong notes and rhythms turn red while correct notes turn green. </w:t>
      </w:r>
      <w:proofErr w:type="spellStart"/>
      <w:r>
        <w:rPr>
          <w:color w:val="000000"/>
          <w:sz w:val="20"/>
          <w:szCs w:val="20"/>
        </w:rPr>
        <w:t>SmartMusic</w:t>
      </w:r>
      <w:proofErr w:type="spellEnd"/>
      <w:r>
        <w:rPr>
          <w:color w:val="000000"/>
          <w:sz w:val="20"/>
          <w:szCs w:val="20"/>
        </w:rPr>
        <w:t xml:space="preserve"> scores each attempt by the students, giving the student total autonomy in mastering their music.</w:t>
      </w:r>
    </w:p>
    <w:p w:rsidR="006844FE" w:rsidRDefault="006844FE" w:rsidP="006844FE">
      <w:pPr>
        <w:pStyle w:val="ListParagraph"/>
        <w:numPr>
          <w:ilvl w:val="0"/>
          <w:numId w:val="27"/>
        </w:numPr>
        <w:contextualSpacing w:val="0"/>
        <w:rPr>
          <w:color w:val="000000"/>
          <w:sz w:val="20"/>
          <w:szCs w:val="20"/>
        </w:rPr>
      </w:pPr>
      <w:r>
        <w:rPr>
          <w:color w:val="000000"/>
          <w:sz w:val="20"/>
          <w:szCs w:val="20"/>
          <w:u w:val="single"/>
        </w:rPr>
        <w:t>Practice with professional accompaniment.</w:t>
      </w:r>
      <w:r>
        <w:rPr>
          <w:color w:val="000000"/>
          <w:sz w:val="20"/>
          <w:szCs w:val="20"/>
        </w:rPr>
        <w:t xml:space="preserve"> </w:t>
      </w:r>
      <w:proofErr w:type="spellStart"/>
      <w:r>
        <w:rPr>
          <w:color w:val="000000"/>
          <w:sz w:val="20"/>
          <w:szCs w:val="20"/>
        </w:rPr>
        <w:t>SmartMusic</w:t>
      </w:r>
      <w:proofErr w:type="spellEnd"/>
      <w:r>
        <w:rPr>
          <w:color w:val="000000"/>
          <w:sz w:val="20"/>
          <w:szCs w:val="20"/>
        </w:rPr>
        <w:t xml:space="preserve"> puts the student into a professional ensemble through background music. The music comes alive for them as they hear how professional musicians create the drama, excitement and beauty of the music.</w:t>
      </w:r>
    </w:p>
    <w:p w:rsidR="006844FE" w:rsidRDefault="006844FE" w:rsidP="006844FE">
      <w:pPr>
        <w:pStyle w:val="ListParagraph"/>
        <w:numPr>
          <w:ilvl w:val="0"/>
          <w:numId w:val="27"/>
        </w:numPr>
        <w:contextualSpacing w:val="0"/>
        <w:rPr>
          <w:color w:val="000000"/>
          <w:sz w:val="20"/>
          <w:szCs w:val="20"/>
        </w:rPr>
      </w:pPr>
      <w:r>
        <w:rPr>
          <w:color w:val="000000"/>
          <w:sz w:val="20"/>
          <w:szCs w:val="20"/>
          <w:u w:val="single"/>
        </w:rPr>
        <w:t>Practice at slower tempos.</w:t>
      </w:r>
      <w:r>
        <w:rPr>
          <w:color w:val="000000"/>
          <w:sz w:val="20"/>
          <w:szCs w:val="20"/>
        </w:rPr>
        <w:t xml:space="preserve"> Students need to slow music down in order to master the technical challenges. </w:t>
      </w:r>
      <w:proofErr w:type="spellStart"/>
      <w:r>
        <w:rPr>
          <w:color w:val="000000"/>
          <w:sz w:val="20"/>
          <w:szCs w:val="20"/>
        </w:rPr>
        <w:t>SmartMusic</w:t>
      </w:r>
      <w:proofErr w:type="spellEnd"/>
      <w:r>
        <w:rPr>
          <w:color w:val="000000"/>
          <w:sz w:val="20"/>
          <w:szCs w:val="20"/>
        </w:rPr>
        <w:t xml:space="preserve"> allows students to set any tempo and then gradually build up speed.</w:t>
      </w:r>
    </w:p>
    <w:p w:rsidR="006844FE" w:rsidRDefault="006844FE" w:rsidP="006844FE">
      <w:pPr>
        <w:pStyle w:val="ListParagraph"/>
        <w:numPr>
          <w:ilvl w:val="0"/>
          <w:numId w:val="27"/>
        </w:numPr>
        <w:contextualSpacing w:val="0"/>
        <w:rPr>
          <w:color w:val="000000"/>
          <w:sz w:val="20"/>
          <w:szCs w:val="20"/>
        </w:rPr>
      </w:pPr>
      <w:r>
        <w:rPr>
          <w:color w:val="000000"/>
          <w:sz w:val="20"/>
          <w:szCs w:val="20"/>
          <w:u w:val="single"/>
        </w:rPr>
        <w:t>Hear how their part is performed.</w:t>
      </w:r>
      <w:r>
        <w:rPr>
          <w:color w:val="000000"/>
          <w:sz w:val="20"/>
          <w:szCs w:val="20"/>
        </w:rPr>
        <w:t xml:space="preserve"> </w:t>
      </w:r>
      <w:proofErr w:type="spellStart"/>
      <w:r>
        <w:rPr>
          <w:color w:val="000000"/>
          <w:sz w:val="20"/>
          <w:szCs w:val="20"/>
        </w:rPr>
        <w:t>SmartMusic</w:t>
      </w:r>
      <w:proofErr w:type="spellEnd"/>
      <w:r>
        <w:rPr>
          <w:color w:val="000000"/>
          <w:sz w:val="20"/>
          <w:szCs w:val="20"/>
        </w:rPr>
        <w:t xml:space="preserve"> can play each student’s part so that they can hear how a professional would perform it. </w:t>
      </w:r>
    </w:p>
    <w:p w:rsidR="006844FE" w:rsidRDefault="006844FE" w:rsidP="006844FE">
      <w:pPr>
        <w:pStyle w:val="ListParagraph"/>
        <w:numPr>
          <w:ilvl w:val="0"/>
          <w:numId w:val="27"/>
        </w:numPr>
        <w:contextualSpacing w:val="0"/>
        <w:rPr>
          <w:color w:val="000000"/>
          <w:sz w:val="20"/>
          <w:szCs w:val="20"/>
        </w:rPr>
      </w:pPr>
      <w:r>
        <w:rPr>
          <w:color w:val="000000"/>
          <w:sz w:val="20"/>
          <w:szCs w:val="20"/>
          <w:u w:val="single"/>
        </w:rPr>
        <w:t>Record.</w:t>
      </w:r>
      <w:r>
        <w:rPr>
          <w:color w:val="000000"/>
          <w:sz w:val="20"/>
          <w:szCs w:val="20"/>
        </w:rPr>
        <w:t xml:space="preserve"> Students often cannot hear what they are doing wrong as they sing or play. </w:t>
      </w:r>
      <w:proofErr w:type="spellStart"/>
      <w:r>
        <w:rPr>
          <w:color w:val="000000"/>
          <w:sz w:val="20"/>
          <w:szCs w:val="20"/>
        </w:rPr>
        <w:t>SmartMusic</w:t>
      </w:r>
      <w:proofErr w:type="spellEnd"/>
      <w:r>
        <w:rPr>
          <w:color w:val="000000"/>
          <w:sz w:val="20"/>
          <w:szCs w:val="20"/>
        </w:rPr>
        <w:t xml:space="preserve"> allows them to record themselves so that they can instantly hear what needs to be corrected.</w:t>
      </w:r>
    </w:p>
    <w:p w:rsidR="006844FE" w:rsidRDefault="006844FE" w:rsidP="006844FE">
      <w:pPr>
        <w:pStyle w:val="ListParagraph"/>
        <w:numPr>
          <w:ilvl w:val="0"/>
          <w:numId w:val="27"/>
        </w:numPr>
        <w:contextualSpacing w:val="0"/>
        <w:rPr>
          <w:color w:val="000000"/>
          <w:sz w:val="20"/>
          <w:szCs w:val="20"/>
        </w:rPr>
      </w:pPr>
      <w:r>
        <w:rPr>
          <w:color w:val="000000"/>
          <w:sz w:val="20"/>
          <w:szCs w:val="20"/>
          <w:u w:val="single"/>
        </w:rPr>
        <w:t>Follow me feature.</w:t>
      </w:r>
      <w:r>
        <w:rPr>
          <w:color w:val="000000"/>
          <w:sz w:val="20"/>
          <w:szCs w:val="20"/>
        </w:rPr>
        <w:t xml:space="preserve"> When practicing solo literature that requires expressive interpretation, </w:t>
      </w:r>
      <w:proofErr w:type="spellStart"/>
      <w:r>
        <w:rPr>
          <w:color w:val="000000"/>
          <w:sz w:val="20"/>
          <w:szCs w:val="20"/>
        </w:rPr>
        <w:t>SmartMusic</w:t>
      </w:r>
      <w:proofErr w:type="spellEnd"/>
      <w:r>
        <w:rPr>
          <w:color w:val="000000"/>
          <w:sz w:val="20"/>
          <w:szCs w:val="20"/>
        </w:rPr>
        <w:t xml:space="preserve"> listens to the students as they speed up or slow down and the accompaniment follows their tempo changes. Students are free to experiment with phrasing, learning to project their personalities into the music and make it their own.</w:t>
      </w:r>
    </w:p>
    <w:p w:rsidR="006844FE" w:rsidRDefault="006844FE" w:rsidP="006844FE">
      <w:pPr>
        <w:pStyle w:val="ListParagraph"/>
        <w:numPr>
          <w:ilvl w:val="0"/>
          <w:numId w:val="27"/>
        </w:numPr>
        <w:contextualSpacing w:val="0"/>
        <w:rPr>
          <w:color w:val="000000"/>
          <w:sz w:val="20"/>
          <w:szCs w:val="20"/>
        </w:rPr>
      </w:pPr>
      <w:r>
        <w:rPr>
          <w:color w:val="000000"/>
          <w:sz w:val="20"/>
          <w:szCs w:val="20"/>
          <w:u w:val="single"/>
        </w:rPr>
        <w:t>Practice performing in tune.</w:t>
      </w:r>
      <w:r>
        <w:rPr>
          <w:color w:val="000000"/>
          <w:sz w:val="20"/>
          <w:szCs w:val="20"/>
        </w:rPr>
        <w:t xml:space="preserve"> The </w:t>
      </w:r>
      <w:proofErr w:type="spellStart"/>
      <w:r>
        <w:rPr>
          <w:color w:val="000000"/>
          <w:sz w:val="20"/>
          <w:szCs w:val="20"/>
        </w:rPr>
        <w:t>SmartMusic</w:t>
      </w:r>
      <w:proofErr w:type="spellEnd"/>
      <w:r>
        <w:rPr>
          <w:color w:val="000000"/>
          <w:sz w:val="20"/>
          <w:szCs w:val="20"/>
        </w:rPr>
        <w:t xml:space="preserve"> tuner is built in and helps students hear where the pitch should be.</w:t>
      </w:r>
    </w:p>
    <w:p w:rsidR="006844FE" w:rsidRDefault="006844FE" w:rsidP="006844FE">
      <w:pPr>
        <w:pStyle w:val="ListParagraph"/>
        <w:numPr>
          <w:ilvl w:val="0"/>
          <w:numId w:val="27"/>
        </w:numPr>
        <w:contextualSpacing w:val="0"/>
        <w:rPr>
          <w:color w:val="000000"/>
          <w:sz w:val="20"/>
          <w:szCs w:val="20"/>
        </w:rPr>
      </w:pPr>
      <w:r>
        <w:rPr>
          <w:color w:val="000000"/>
          <w:sz w:val="20"/>
          <w:szCs w:val="20"/>
          <w:u w:val="single"/>
        </w:rPr>
        <w:t>Fingering charts.</w:t>
      </w:r>
      <w:r>
        <w:rPr>
          <w:color w:val="000000"/>
          <w:sz w:val="20"/>
          <w:szCs w:val="20"/>
        </w:rPr>
        <w:t xml:space="preserve"> When students do not know how to finger a note, they can just click on it to see its fingering chart. </w:t>
      </w:r>
      <w:proofErr w:type="spellStart"/>
      <w:r>
        <w:rPr>
          <w:color w:val="000000"/>
          <w:sz w:val="20"/>
          <w:szCs w:val="20"/>
        </w:rPr>
        <w:t>SmartMusic</w:t>
      </w:r>
      <w:proofErr w:type="spellEnd"/>
      <w:r>
        <w:rPr>
          <w:color w:val="000000"/>
          <w:sz w:val="20"/>
          <w:szCs w:val="20"/>
        </w:rPr>
        <w:t xml:space="preserve"> automatically provides the right chart for the instrument that the student is playing. </w:t>
      </w:r>
    </w:p>
    <w:p w:rsidR="006844FE" w:rsidRDefault="006844FE" w:rsidP="006844FE">
      <w:pPr>
        <w:pStyle w:val="ListParagraph"/>
        <w:numPr>
          <w:ilvl w:val="0"/>
          <w:numId w:val="27"/>
        </w:numPr>
        <w:contextualSpacing w:val="0"/>
        <w:rPr>
          <w:color w:val="000000"/>
          <w:sz w:val="20"/>
          <w:szCs w:val="20"/>
        </w:rPr>
      </w:pPr>
      <w:r>
        <w:rPr>
          <w:color w:val="000000"/>
          <w:sz w:val="20"/>
          <w:szCs w:val="20"/>
          <w:u w:val="single"/>
        </w:rPr>
        <w:t>Practice loops.</w:t>
      </w:r>
      <w:r>
        <w:rPr>
          <w:color w:val="000000"/>
          <w:sz w:val="20"/>
          <w:szCs w:val="20"/>
        </w:rPr>
        <w:t xml:space="preserve"> Students can isolate difficult measures for concentrated practice.</w:t>
      </w:r>
    </w:p>
    <w:p w:rsidR="006844FE" w:rsidRDefault="006844FE" w:rsidP="006844FE">
      <w:pPr>
        <w:pStyle w:val="ListParagraph"/>
        <w:numPr>
          <w:ilvl w:val="0"/>
          <w:numId w:val="27"/>
        </w:numPr>
        <w:contextualSpacing w:val="0"/>
        <w:rPr>
          <w:color w:val="000000"/>
          <w:sz w:val="20"/>
          <w:szCs w:val="20"/>
        </w:rPr>
      </w:pPr>
      <w:r>
        <w:rPr>
          <w:color w:val="000000"/>
          <w:sz w:val="20"/>
          <w:szCs w:val="20"/>
          <w:u w:val="single"/>
        </w:rPr>
        <w:t>Skill-development exercises in all keys.</w:t>
      </w:r>
      <w:r>
        <w:rPr>
          <w:color w:val="000000"/>
          <w:sz w:val="20"/>
          <w:szCs w:val="20"/>
        </w:rPr>
        <w:t xml:space="preserve"> </w:t>
      </w:r>
      <w:proofErr w:type="spellStart"/>
      <w:r>
        <w:rPr>
          <w:color w:val="000000"/>
          <w:sz w:val="20"/>
          <w:szCs w:val="20"/>
        </w:rPr>
        <w:t>SmartMusic</w:t>
      </w:r>
      <w:proofErr w:type="spellEnd"/>
      <w:r>
        <w:rPr>
          <w:color w:val="000000"/>
          <w:sz w:val="20"/>
          <w:szCs w:val="20"/>
        </w:rPr>
        <w:t xml:space="preserve"> includes a large library of exercises that foster skills related to scales, intervals, arpeggios, rhythms, playing by ear and jazz improvisation.</w:t>
      </w:r>
    </w:p>
    <w:p w:rsidR="006844FE" w:rsidRDefault="006844FE" w:rsidP="006844FE">
      <w:pPr>
        <w:pStyle w:val="ListParagraph"/>
        <w:numPr>
          <w:ilvl w:val="0"/>
          <w:numId w:val="27"/>
        </w:numPr>
        <w:spacing w:after="240"/>
        <w:contextualSpacing w:val="0"/>
        <w:rPr>
          <w:color w:val="000000"/>
          <w:sz w:val="20"/>
          <w:szCs w:val="20"/>
        </w:rPr>
      </w:pPr>
      <w:r>
        <w:rPr>
          <w:color w:val="000000"/>
          <w:sz w:val="20"/>
          <w:szCs w:val="20"/>
          <w:u w:val="single"/>
        </w:rPr>
        <w:t>Wide range of repertoire.</w:t>
      </w:r>
      <w:r>
        <w:rPr>
          <w:color w:val="000000"/>
          <w:sz w:val="20"/>
          <w:szCs w:val="20"/>
        </w:rPr>
        <w:t xml:space="preserve"> The </w:t>
      </w:r>
      <w:proofErr w:type="spellStart"/>
      <w:r>
        <w:rPr>
          <w:color w:val="000000"/>
          <w:sz w:val="20"/>
          <w:szCs w:val="20"/>
        </w:rPr>
        <w:t>SmartMusic</w:t>
      </w:r>
      <w:proofErr w:type="spellEnd"/>
      <w:r>
        <w:rPr>
          <w:color w:val="000000"/>
          <w:sz w:val="20"/>
          <w:szCs w:val="20"/>
        </w:rPr>
        <w:t xml:space="preserve"> accompaniment library includes classical, jazz, opera, worship, musical theater, </w:t>
      </w:r>
      <w:proofErr w:type="gramStart"/>
      <w:r>
        <w:rPr>
          <w:color w:val="000000"/>
          <w:sz w:val="20"/>
          <w:szCs w:val="20"/>
        </w:rPr>
        <w:t>classic</w:t>
      </w:r>
      <w:proofErr w:type="gramEnd"/>
      <w:r>
        <w:rPr>
          <w:color w:val="000000"/>
          <w:sz w:val="20"/>
          <w:szCs w:val="20"/>
        </w:rPr>
        <w:t xml:space="preserve"> rock, pop and other genres. The accompaniments, made by professionals, are stylistic, authentic and fun to practice with. </w:t>
      </w:r>
    </w:p>
    <w:p w:rsidR="006844FE" w:rsidRDefault="006844FE" w:rsidP="006844FE">
      <w:pPr>
        <w:rPr>
          <w:i/>
          <w:color w:val="000000"/>
          <w:sz w:val="20"/>
          <w:szCs w:val="20"/>
        </w:rPr>
      </w:pPr>
      <w:r>
        <w:rPr>
          <w:i/>
          <w:color w:val="000000"/>
          <w:sz w:val="20"/>
          <w:szCs w:val="20"/>
        </w:rPr>
        <w:t>Licensing, Publisher Relations and Content Development</w:t>
      </w:r>
    </w:p>
    <w:p w:rsidR="006844FE" w:rsidRDefault="006844FE" w:rsidP="006844FE">
      <w:pPr>
        <w:rPr>
          <w:i/>
          <w:color w:val="000000"/>
          <w:sz w:val="20"/>
          <w:szCs w:val="20"/>
        </w:rPr>
      </w:pPr>
    </w:p>
    <w:p w:rsidR="006844FE" w:rsidRDefault="006844FE" w:rsidP="006844FE">
      <w:pPr>
        <w:spacing w:after="240"/>
        <w:ind w:firstLine="720"/>
        <w:rPr>
          <w:color w:val="000000"/>
          <w:sz w:val="20"/>
          <w:szCs w:val="20"/>
        </w:rPr>
      </w:pPr>
      <w:r>
        <w:rPr>
          <w:color w:val="000000"/>
          <w:sz w:val="20"/>
          <w:szCs w:val="20"/>
        </w:rPr>
        <w:t xml:space="preserve">Content is critical to </w:t>
      </w:r>
      <w:proofErr w:type="spellStart"/>
      <w:r>
        <w:rPr>
          <w:color w:val="000000"/>
          <w:sz w:val="20"/>
          <w:szCs w:val="20"/>
        </w:rPr>
        <w:t>SmartMusic’s</w:t>
      </w:r>
      <w:proofErr w:type="spellEnd"/>
      <w:r>
        <w:rPr>
          <w:color w:val="000000"/>
          <w:sz w:val="20"/>
          <w:szCs w:val="20"/>
        </w:rPr>
        <w:t xml:space="preserve"> success. We determine teachers’ preferred titles by studying published lists of titles such as 1) state contest approved lists, 2) most often performed lists, 3) best-selling lists, 4) basic library lists and 5) most teacher-requested lists. Additionally, publisher requests, input from subscribers and information from JW Pepper, the largest sheet music retailer, are factors considered to determine content. </w:t>
      </w:r>
    </w:p>
    <w:p w:rsidR="006844FE" w:rsidRDefault="006844FE" w:rsidP="006844FE">
      <w:pPr>
        <w:spacing w:after="240"/>
        <w:ind w:firstLine="720"/>
        <w:rPr>
          <w:color w:val="000000"/>
          <w:sz w:val="20"/>
          <w:szCs w:val="20"/>
        </w:rPr>
      </w:pPr>
      <w:r>
        <w:rPr>
          <w:color w:val="000000"/>
          <w:sz w:val="20"/>
          <w:szCs w:val="20"/>
        </w:rPr>
        <w:t xml:space="preserve">While the </w:t>
      </w:r>
      <w:proofErr w:type="spellStart"/>
      <w:r>
        <w:rPr>
          <w:color w:val="000000"/>
          <w:sz w:val="20"/>
          <w:szCs w:val="20"/>
        </w:rPr>
        <w:t>SmartMusic</w:t>
      </w:r>
      <w:proofErr w:type="spellEnd"/>
      <w:r>
        <w:rPr>
          <w:color w:val="000000"/>
          <w:sz w:val="20"/>
          <w:szCs w:val="20"/>
        </w:rPr>
        <w:t xml:space="preserve"> library contains many titles and exercises that are either in the public domain or copyrighted by </w:t>
      </w:r>
      <w:proofErr w:type="spellStart"/>
      <w:r>
        <w:rPr>
          <w:color w:val="000000"/>
          <w:sz w:val="20"/>
          <w:szCs w:val="20"/>
        </w:rPr>
        <w:t>MakeMusic</w:t>
      </w:r>
      <w:proofErr w:type="spellEnd"/>
      <w:r>
        <w:rPr>
          <w:color w:val="000000"/>
          <w:sz w:val="20"/>
          <w:szCs w:val="20"/>
        </w:rPr>
        <w:t xml:space="preserve">, the vast majority of </w:t>
      </w:r>
      <w:proofErr w:type="spellStart"/>
      <w:r>
        <w:rPr>
          <w:color w:val="000000"/>
          <w:sz w:val="20"/>
          <w:szCs w:val="20"/>
        </w:rPr>
        <w:t>SmartMusic</w:t>
      </w:r>
      <w:proofErr w:type="spellEnd"/>
      <w:r>
        <w:rPr>
          <w:color w:val="000000"/>
          <w:sz w:val="20"/>
          <w:szCs w:val="20"/>
        </w:rPr>
        <w:t xml:space="preserve"> content is licensed. Licenses for band, orchestra and vocal titles typically cover three usages: 1) the right to include the title in </w:t>
      </w:r>
      <w:proofErr w:type="spellStart"/>
      <w:r>
        <w:rPr>
          <w:color w:val="000000"/>
          <w:sz w:val="20"/>
          <w:szCs w:val="20"/>
        </w:rPr>
        <w:t>SmartMusic</w:t>
      </w:r>
      <w:proofErr w:type="spellEnd"/>
      <w:r>
        <w:rPr>
          <w:color w:val="000000"/>
          <w:sz w:val="20"/>
          <w:szCs w:val="20"/>
        </w:rPr>
        <w:t>, 2) the right to display the music notation (and lyrics if applicable) on-screen, and 3) the right to use an audio recording of the title.</w:t>
      </w:r>
    </w:p>
    <w:p w:rsidR="006844FE" w:rsidRDefault="006844FE" w:rsidP="006844FE">
      <w:pPr>
        <w:spacing w:after="240"/>
        <w:ind w:firstLine="720"/>
        <w:rPr>
          <w:color w:val="000000"/>
          <w:sz w:val="20"/>
          <w:szCs w:val="20"/>
        </w:rPr>
      </w:pPr>
      <w:r>
        <w:rPr>
          <w:color w:val="000000"/>
          <w:sz w:val="20"/>
          <w:szCs w:val="20"/>
        </w:rPr>
        <w:t xml:space="preserve">These rights are licensed from a wide range of music publishers, including industry leaders such as Hal Leonard Corporation, Alfred Publishing and Music Sales, Ltd. </w:t>
      </w:r>
      <w:proofErr w:type="spellStart"/>
      <w:r>
        <w:rPr>
          <w:color w:val="000000"/>
          <w:sz w:val="20"/>
          <w:szCs w:val="20"/>
        </w:rPr>
        <w:t>MakeMusic</w:t>
      </w:r>
      <w:proofErr w:type="spellEnd"/>
      <w:r>
        <w:rPr>
          <w:color w:val="000000"/>
          <w:sz w:val="20"/>
          <w:szCs w:val="20"/>
        </w:rPr>
        <w:t xml:space="preserve"> has been successful at licensing titles for use within </w:t>
      </w:r>
      <w:proofErr w:type="spellStart"/>
      <w:r>
        <w:rPr>
          <w:color w:val="000000"/>
          <w:sz w:val="20"/>
          <w:szCs w:val="20"/>
        </w:rPr>
        <w:t>SmartMusic</w:t>
      </w:r>
      <w:proofErr w:type="spellEnd"/>
      <w:r>
        <w:rPr>
          <w:color w:val="000000"/>
          <w:sz w:val="20"/>
          <w:szCs w:val="20"/>
        </w:rPr>
        <w:t xml:space="preserve"> and believes it has good relations with the publishing community at large. However, there is no guarantee that licensing efforts will continue to be successful in the future.</w:t>
      </w:r>
    </w:p>
    <w:p w:rsidR="006844FE" w:rsidRDefault="006844FE" w:rsidP="006844FE">
      <w:pPr>
        <w:spacing w:after="240"/>
        <w:ind w:firstLine="720"/>
        <w:rPr>
          <w:color w:val="000000"/>
          <w:sz w:val="20"/>
          <w:szCs w:val="20"/>
        </w:rPr>
      </w:pPr>
      <w:r>
        <w:rPr>
          <w:color w:val="000000"/>
          <w:sz w:val="20"/>
          <w:szCs w:val="20"/>
        </w:rPr>
        <w:lastRenderedPageBreak/>
        <w:t xml:space="preserve">The content development process for </w:t>
      </w:r>
      <w:proofErr w:type="spellStart"/>
      <w:r>
        <w:rPr>
          <w:color w:val="000000"/>
          <w:sz w:val="20"/>
          <w:szCs w:val="20"/>
        </w:rPr>
        <w:t>SmartMusic</w:t>
      </w:r>
      <w:proofErr w:type="spellEnd"/>
      <w:r>
        <w:rPr>
          <w:color w:val="000000"/>
          <w:sz w:val="20"/>
          <w:szCs w:val="20"/>
        </w:rPr>
        <w:t xml:space="preserve"> includes the following: 1) editing Finale notation files supplied by publishers or engraving the files with Finale and modeling the result on the published music, 2) synchronizing the audio recording file with the Finale notation file, 3) marking the audio file as needed for use within </w:t>
      </w:r>
      <w:proofErr w:type="spellStart"/>
      <w:r>
        <w:rPr>
          <w:color w:val="000000"/>
          <w:sz w:val="20"/>
          <w:szCs w:val="20"/>
        </w:rPr>
        <w:t>SmartMusic</w:t>
      </w:r>
      <w:proofErr w:type="spellEnd"/>
      <w:r>
        <w:rPr>
          <w:color w:val="000000"/>
          <w:sz w:val="20"/>
          <w:szCs w:val="20"/>
        </w:rPr>
        <w:t xml:space="preserve">, 4) defining assignments for all large ensemble titles, and 5) testing the final file. Once this process is complete, the file is added to the library database and posted for available download to subscribers. The development costs for each title added into </w:t>
      </w:r>
      <w:proofErr w:type="spellStart"/>
      <w:r>
        <w:rPr>
          <w:color w:val="000000"/>
          <w:sz w:val="20"/>
          <w:szCs w:val="20"/>
        </w:rPr>
        <w:t>SmartMusic</w:t>
      </w:r>
      <w:proofErr w:type="spellEnd"/>
      <w:r>
        <w:rPr>
          <w:color w:val="000000"/>
          <w:sz w:val="20"/>
          <w:szCs w:val="20"/>
        </w:rPr>
        <w:t xml:space="preserve"> are capitalized and when added to the library database, amortized over a five-year period. The costs for band titles are more expensive than vocal and orchestra titles due to their complexity and number of parts required. Development costs will vary depending upon the complexity of each title. </w:t>
      </w:r>
    </w:p>
    <w:p w:rsidR="006844FE" w:rsidRDefault="006844FE" w:rsidP="006844FE">
      <w:pPr>
        <w:spacing w:after="240"/>
        <w:ind w:firstLine="720"/>
        <w:rPr>
          <w:color w:val="000000"/>
          <w:sz w:val="20"/>
          <w:szCs w:val="20"/>
        </w:rPr>
      </w:pPr>
      <w:r>
        <w:rPr>
          <w:color w:val="000000"/>
          <w:sz w:val="20"/>
          <w:szCs w:val="20"/>
        </w:rPr>
        <w:t xml:space="preserve">As of December 31, 2011, </w:t>
      </w:r>
      <w:proofErr w:type="spellStart"/>
      <w:r>
        <w:rPr>
          <w:sz w:val="20"/>
          <w:szCs w:val="20"/>
        </w:rPr>
        <w:t>SmartMusic</w:t>
      </w:r>
      <w:proofErr w:type="spellEnd"/>
      <w:r>
        <w:rPr>
          <w:sz w:val="20"/>
          <w:szCs w:val="20"/>
        </w:rPr>
        <w:t xml:space="preserve"> had 1,960 titles available for band, 202 for jazz ensemble and 725 titles available</w:t>
      </w:r>
      <w:r>
        <w:rPr>
          <w:color w:val="000000"/>
          <w:sz w:val="20"/>
          <w:szCs w:val="20"/>
        </w:rPr>
        <w:t xml:space="preserve"> for orchestra. These band and orchestra titles are in addition to the thousands of titles in </w:t>
      </w:r>
      <w:proofErr w:type="spellStart"/>
      <w:r>
        <w:rPr>
          <w:color w:val="000000"/>
          <w:sz w:val="20"/>
          <w:szCs w:val="20"/>
        </w:rPr>
        <w:t>SmartMusic</w:t>
      </w:r>
      <w:proofErr w:type="spellEnd"/>
      <w:r>
        <w:rPr>
          <w:color w:val="000000"/>
          <w:sz w:val="20"/>
          <w:szCs w:val="20"/>
        </w:rPr>
        <w:t xml:space="preserve"> of solo literature, numerous beginning methods and skill-development exercises including sight reading and sight singing.</w:t>
      </w:r>
    </w:p>
    <w:p w:rsidR="006844FE" w:rsidRDefault="006844FE" w:rsidP="006844FE">
      <w:pPr>
        <w:spacing w:after="240"/>
        <w:rPr>
          <w:i/>
          <w:color w:val="000000"/>
          <w:sz w:val="20"/>
          <w:szCs w:val="20"/>
        </w:rPr>
      </w:pPr>
      <w:r>
        <w:rPr>
          <w:color w:val="000000"/>
          <w:sz w:val="20"/>
          <w:szCs w:val="20"/>
        </w:rPr>
        <w:t xml:space="preserve"> </w:t>
      </w:r>
      <w:proofErr w:type="spellStart"/>
      <w:r>
        <w:rPr>
          <w:i/>
          <w:color w:val="000000"/>
          <w:sz w:val="20"/>
          <w:szCs w:val="20"/>
        </w:rPr>
        <w:t>SmartMusic</w:t>
      </w:r>
      <w:proofErr w:type="spellEnd"/>
      <w:r>
        <w:rPr>
          <w:i/>
          <w:color w:val="000000"/>
          <w:sz w:val="20"/>
          <w:szCs w:val="20"/>
        </w:rPr>
        <w:t xml:space="preserve"> Application Development</w:t>
      </w:r>
    </w:p>
    <w:p w:rsidR="006844FE" w:rsidRDefault="006844FE" w:rsidP="006844FE">
      <w:pPr>
        <w:spacing w:after="240"/>
        <w:ind w:firstLine="720"/>
        <w:rPr>
          <w:color w:val="000000"/>
          <w:sz w:val="20"/>
          <w:szCs w:val="20"/>
        </w:rPr>
      </w:pPr>
      <w:r>
        <w:rPr>
          <w:color w:val="000000"/>
          <w:sz w:val="20"/>
          <w:szCs w:val="20"/>
        </w:rPr>
        <w:t xml:space="preserve">The </w:t>
      </w:r>
      <w:proofErr w:type="spellStart"/>
      <w:r>
        <w:rPr>
          <w:color w:val="000000"/>
          <w:sz w:val="20"/>
          <w:szCs w:val="20"/>
        </w:rPr>
        <w:t>SmartMusic</w:t>
      </w:r>
      <w:proofErr w:type="spellEnd"/>
      <w:r>
        <w:rPr>
          <w:color w:val="000000"/>
          <w:sz w:val="20"/>
          <w:szCs w:val="20"/>
        </w:rPr>
        <w:t xml:space="preserve"> application is developed by an internal team of software programmers and testers. Certain technologies are licensed from third parties and then adapted for use within </w:t>
      </w:r>
      <w:proofErr w:type="spellStart"/>
      <w:r>
        <w:rPr>
          <w:color w:val="000000"/>
          <w:sz w:val="20"/>
          <w:szCs w:val="20"/>
        </w:rPr>
        <w:t>SmartMusic</w:t>
      </w:r>
      <w:proofErr w:type="spellEnd"/>
      <w:r>
        <w:rPr>
          <w:color w:val="000000"/>
          <w:sz w:val="20"/>
          <w:szCs w:val="20"/>
        </w:rPr>
        <w:t xml:space="preserve">. Development priorities are set by researching how teachers and students use </w:t>
      </w:r>
      <w:proofErr w:type="spellStart"/>
      <w:r>
        <w:rPr>
          <w:color w:val="000000"/>
          <w:sz w:val="20"/>
          <w:szCs w:val="20"/>
        </w:rPr>
        <w:t>SmartMusic</w:t>
      </w:r>
      <w:proofErr w:type="spellEnd"/>
      <w:r>
        <w:rPr>
          <w:color w:val="000000"/>
          <w:sz w:val="20"/>
          <w:szCs w:val="20"/>
        </w:rPr>
        <w:t>, noting what improvements and additions are required.</w:t>
      </w:r>
    </w:p>
    <w:p w:rsidR="006844FE" w:rsidRDefault="006844FE" w:rsidP="006844FE">
      <w:pPr>
        <w:spacing w:after="240"/>
        <w:ind w:firstLine="720"/>
        <w:rPr>
          <w:color w:val="000000"/>
          <w:sz w:val="20"/>
          <w:szCs w:val="20"/>
        </w:rPr>
      </w:pPr>
      <w:r>
        <w:rPr>
          <w:color w:val="000000"/>
          <w:sz w:val="20"/>
          <w:szCs w:val="20"/>
        </w:rPr>
        <w:t xml:space="preserve">The </w:t>
      </w:r>
      <w:proofErr w:type="spellStart"/>
      <w:r>
        <w:rPr>
          <w:color w:val="000000"/>
          <w:sz w:val="20"/>
          <w:szCs w:val="20"/>
        </w:rPr>
        <w:t>SmartMusic</w:t>
      </w:r>
      <w:proofErr w:type="spellEnd"/>
      <w:r>
        <w:rPr>
          <w:color w:val="000000"/>
          <w:sz w:val="20"/>
          <w:szCs w:val="20"/>
        </w:rPr>
        <w:t xml:space="preserve"> application coordinates a complex web of interacting technologies that include 1) playback of music, either synthesized or audio, 2) display of music notation on-screen with Finale technology, 3) use of a microphone attachment to record a student’s performance, 4) recognition of notes and rhythms and comparison of a student’s performance to what is notated, 5) communication of errors and correction techniques to students, and 6) the support of a growing selection of skill-development features that accelerate student learning. In addition, the application has features, such as “Follow Me” which allow students to develop their skills of expression for solo literature.</w:t>
      </w:r>
    </w:p>
    <w:p w:rsidR="006844FE" w:rsidRDefault="006844FE" w:rsidP="006844FE">
      <w:pPr>
        <w:spacing w:after="240"/>
        <w:ind w:firstLine="720"/>
        <w:rPr>
          <w:color w:val="000000"/>
          <w:sz w:val="20"/>
          <w:szCs w:val="20"/>
        </w:rPr>
      </w:pPr>
      <w:r>
        <w:rPr>
          <w:color w:val="000000"/>
          <w:sz w:val="20"/>
          <w:szCs w:val="20"/>
        </w:rPr>
        <w:t xml:space="preserve">Most importantly, the </w:t>
      </w:r>
      <w:proofErr w:type="spellStart"/>
      <w:r>
        <w:rPr>
          <w:color w:val="000000"/>
          <w:sz w:val="20"/>
          <w:szCs w:val="20"/>
        </w:rPr>
        <w:t>SmartMusic</w:t>
      </w:r>
      <w:proofErr w:type="spellEnd"/>
      <w:r>
        <w:rPr>
          <w:color w:val="000000"/>
          <w:sz w:val="20"/>
          <w:szCs w:val="20"/>
        </w:rPr>
        <w:t xml:space="preserve"> application communicates directly with the </w:t>
      </w:r>
      <w:proofErr w:type="spellStart"/>
      <w:r>
        <w:rPr>
          <w:color w:val="000000"/>
          <w:sz w:val="20"/>
          <w:szCs w:val="20"/>
        </w:rPr>
        <w:t>SmartMusic</w:t>
      </w:r>
      <w:proofErr w:type="spellEnd"/>
      <w:r>
        <w:rPr>
          <w:color w:val="000000"/>
          <w:sz w:val="20"/>
          <w:szCs w:val="20"/>
        </w:rPr>
        <w:t xml:space="preserve"> </w:t>
      </w:r>
      <w:proofErr w:type="spellStart"/>
      <w:r>
        <w:rPr>
          <w:color w:val="000000"/>
          <w:sz w:val="20"/>
          <w:szCs w:val="20"/>
        </w:rPr>
        <w:t>Gradebook</w:t>
      </w:r>
      <w:proofErr w:type="spellEnd"/>
      <w:r>
        <w:rPr>
          <w:color w:val="000000"/>
          <w:sz w:val="20"/>
          <w:szCs w:val="20"/>
        </w:rPr>
        <w:t>, making the posting and submitting of assignments automatic and problem-free. It also manages aspects of the subscription service as well as content updates.</w:t>
      </w:r>
    </w:p>
    <w:p w:rsidR="006844FE" w:rsidRDefault="006844FE" w:rsidP="006844FE">
      <w:pPr>
        <w:rPr>
          <w:i/>
          <w:color w:val="000000"/>
          <w:sz w:val="20"/>
          <w:szCs w:val="20"/>
        </w:rPr>
      </w:pPr>
      <w:r>
        <w:rPr>
          <w:i/>
          <w:color w:val="000000"/>
          <w:sz w:val="20"/>
          <w:szCs w:val="20"/>
        </w:rPr>
        <w:t>Licensed Technology</w:t>
      </w:r>
    </w:p>
    <w:p w:rsidR="006844FE" w:rsidRDefault="006844FE" w:rsidP="006844FE">
      <w:pPr>
        <w:rPr>
          <w:i/>
          <w:color w:val="000000"/>
          <w:sz w:val="20"/>
          <w:szCs w:val="20"/>
        </w:rPr>
      </w:pPr>
    </w:p>
    <w:p w:rsidR="006844FE" w:rsidRDefault="006844FE" w:rsidP="006844FE">
      <w:pPr>
        <w:spacing w:after="240"/>
        <w:ind w:firstLine="720"/>
        <w:rPr>
          <w:color w:val="000000"/>
          <w:sz w:val="20"/>
          <w:szCs w:val="20"/>
        </w:rPr>
      </w:pPr>
      <w:r>
        <w:rPr>
          <w:color w:val="000000"/>
          <w:sz w:val="20"/>
          <w:szCs w:val="20"/>
        </w:rPr>
        <w:t xml:space="preserve">Certain pitch recognition software incorporated into </w:t>
      </w:r>
      <w:proofErr w:type="spellStart"/>
      <w:r>
        <w:rPr>
          <w:color w:val="000000"/>
          <w:sz w:val="20"/>
          <w:szCs w:val="20"/>
        </w:rPr>
        <w:t>SmartMusic</w:t>
      </w:r>
      <w:proofErr w:type="spellEnd"/>
      <w:r>
        <w:rPr>
          <w:color w:val="000000"/>
          <w:sz w:val="20"/>
          <w:szCs w:val="20"/>
        </w:rPr>
        <w:t xml:space="preserve"> for purposes of music performance assessment is licensed from </w:t>
      </w:r>
      <w:proofErr w:type="spellStart"/>
      <w:r>
        <w:rPr>
          <w:color w:val="000000"/>
          <w:sz w:val="20"/>
          <w:szCs w:val="20"/>
        </w:rPr>
        <w:t>Institut</w:t>
      </w:r>
      <w:proofErr w:type="spellEnd"/>
      <w:r>
        <w:rPr>
          <w:color w:val="000000"/>
          <w:sz w:val="20"/>
          <w:szCs w:val="20"/>
        </w:rPr>
        <w:t xml:space="preserve"> de </w:t>
      </w:r>
      <w:proofErr w:type="spellStart"/>
      <w:r>
        <w:rPr>
          <w:color w:val="000000"/>
          <w:sz w:val="20"/>
          <w:szCs w:val="20"/>
        </w:rPr>
        <w:t>Recherche</w:t>
      </w:r>
      <w:proofErr w:type="spellEnd"/>
      <w:r>
        <w:rPr>
          <w:color w:val="000000"/>
          <w:sz w:val="20"/>
          <w:szCs w:val="20"/>
        </w:rPr>
        <w:t xml:space="preserve"> </w:t>
      </w:r>
      <w:proofErr w:type="gramStart"/>
      <w:r>
        <w:rPr>
          <w:color w:val="000000"/>
          <w:sz w:val="20"/>
          <w:szCs w:val="20"/>
        </w:rPr>
        <w:t>et</w:t>
      </w:r>
      <w:proofErr w:type="gramEnd"/>
      <w:r>
        <w:rPr>
          <w:color w:val="000000"/>
          <w:sz w:val="20"/>
          <w:szCs w:val="20"/>
        </w:rPr>
        <w:t xml:space="preserve"> Coordination </w:t>
      </w:r>
      <w:proofErr w:type="spellStart"/>
      <w:r>
        <w:rPr>
          <w:color w:val="000000"/>
          <w:sz w:val="20"/>
          <w:szCs w:val="20"/>
        </w:rPr>
        <w:t>Acoustique</w:t>
      </w:r>
      <w:proofErr w:type="spellEnd"/>
      <w:r>
        <w:rPr>
          <w:color w:val="000000"/>
          <w:sz w:val="20"/>
          <w:szCs w:val="20"/>
        </w:rPr>
        <w:t>/</w:t>
      </w:r>
      <w:proofErr w:type="spellStart"/>
      <w:r>
        <w:rPr>
          <w:color w:val="000000"/>
          <w:sz w:val="20"/>
          <w:szCs w:val="20"/>
        </w:rPr>
        <w:t>Musique</w:t>
      </w:r>
      <w:proofErr w:type="spellEnd"/>
      <w:r>
        <w:rPr>
          <w:color w:val="000000"/>
          <w:sz w:val="20"/>
          <w:szCs w:val="20"/>
        </w:rPr>
        <w:t xml:space="preserve"> (IRCAM) which is based in Paris, France. The license agreement continues in perpetuity and was exclusive to </w:t>
      </w:r>
      <w:proofErr w:type="spellStart"/>
      <w:r>
        <w:rPr>
          <w:color w:val="000000"/>
          <w:sz w:val="20"/>
          <w:szCs w:val="20"/>
        </w:rPr>
        <w:t>SmartMusic</w:t>
      </w:r>
      <w:proofErr w:type="spellEnd"/>
      <w:r>
        <w:rPr>
          <w:color w:val="000000"/>
          <w:sz w:val="20"/>
          <w:szCs w:val="20"/>
        </w:rPr>
        <w:t xml:space="preserve"> through November 24, 2009. In light of the constantly changing environment of music technology, coupled with an increase in alternative technology sources, we do not believe the expiration of this license exclusivity has had a material impact on </w:t>
      </w:r>
      <w:proofErr w:type="spellStart"/>
      <w:r>
        <w:rPr>
          <w:color w:val="000000"/>
          <w:sz w:val="20"/>
          <w:szCs w:val="20"/>
        </w:rPr>
        <w:t>SmartMusic</w:t>
      </w:r>
      <w:proofErr w:type="spellEnd"/>
      <w:r>
        <w:rPr>
          <w:color w:val="000000"/>
          <w:sz w:val="20"/>
          <w:szCs w:val="20"/>
        </w:rPr>
        <w:t>.</w:t>
      </w:r>
    </w:p>
    <w:p w:rsidR="006844FE" w:rsidRDefault="006844FE" w:rsidP="006844FE">
      <w:pPr>
        <w:rPr>
          <w:i/>
          <w:color w:val="000000"/>
          <w:sz w:val="20"/>
          <w:szCs w:val="20"/>
        </w:rPr>
      </w:pPr>
      <w:proofErr w:type="spellStart"/>
      <w:r>
        <w:rPr>
          <w:i/>
          <w:color w:val="000000"/>
          <w:sz w:val="20"/>
          <w:szCs w:val="20"/>
        </w:rPr>
        <w:t>SmartMusic</w:t>
      </w:r>
      <w:proofErr w:type="spellEnd"/>
      <w:r>
        <w:rPr>
          <w:i/>
          <w:color w:val="000000"/>
          <w:sz w:val="20"/>
          <w:szCs w:val="20"/>
        </w:rPr>
        <w:t xml:space="preserve"> Patents</w:t>
      </w:r>
    </w:p>
    <w:p w:rsidR="006844FE" w:rsidRDefault="006844FE" w:rsidP="006844FE">
      <w:pPr>
        <w:rPr>
          <w:i/>
          <w:color w:val="000000"/>
          <w:sz w:val="20"/>
          <w:szCs w:val="20"/>
        </w:rPr>
      </w:pPr>
    </w:p>
    <w:p w:rsidR="006844FE" w:rsidRDefault="006844FE" w:rsidP="006844FE">
      <w:pPr>
        <w:spacing w:after="240"/>
        <w:ind w:firstLine="720"/>
        <w:rPr>
          <w:color w:val="000000"/>
          <w:sz w:val="20"/>
          <w:szCs w:val="20"/>
        </w:rPr>
      </w:pPr>
      <w:r>
        <w:rPr>
          <w:color w:val="000000"/>
          <w:sz w:val="20"/>
          <w:szCs w:val="20"/>
        </w:rPr>
        <w:t xml:space="preserve">We licensed, from Carnegie Mellon University (“CMU”) on a worldwide basis for the life of the patent, the use of the U.S. patent that covers the automated accompaniment developed by </w:t>
      </w:r>
      <w:proofErr w:type="spellStart"/>
      <w:r>
        <w:rPr>
          <w:color w:val="000000"/>
          <w:sz w:val="20"/>
          <w:szCs w:val="20"/>
        </w:rPr>
        <w:t>MakeMusic</w:t>
      </w:r>
      <w:proofErr w:type="spellEnd"/>
      <w:r>
        <w:rPr>
          <w:color w:val="000000"/>
          <w:sz w:val="20"/>
          <w:szCs w:val="20"/>
        </w:rPr>
        <w:t xml:space="preserve"> that listens to and follows tempo changes from a live performance. Although this patent expired in 2005, we have further developed this technology and patented additional features. We have obtained five additional patents that protect improvements to the user control of the software and that contain certain aspects of the repertoire file that enhance the software’s algorithms, accompaniment controls and repertoire data file capabilities and expand miscellaneous interface features of the product. As a result of the additional patented features we have developed, strong synergy with our Finale notation product and continuing development of an extensive library of licensed repertoire, we do not believe that </w:t>
      </w:r>
      <w:proofErr w:type="spellStart"/>
      <w:r>
        <w:rPr>
          <w:color w:val="000000"/>
          <w:sz w:val="20"/>
          <w:szCs w:val="20"/>
        </w:rPr>
        <w:t>SmartMusic</w:t>
      </w:r>
      <w:proofErr w:type="spellEnd"/>
      <w:r>
        <w:rPr>
          <w:color w:val="000000"/>
          <w:sz w:val="20"/>
          <w:szCs w:val="20"/>
        </w:rPr>
        <w:t xml:space="preserve"> has been or will be materially affected by the expiration in 2005 of the CMU patent.</w:t>
      </w:r>
    </w:p>
    <w:p w:rsidR="0065111F" w:rsidRDefault="0065111F" w:rsidP="006844FE">
      <w:pPr>
        <w:spacing w:after="240"/>
        <w:ind w:firstLine="720"/>
        <w:rPr>
          <w:color w:val="000000"/>
          <w:sz w:val="20"/>
          <w:szCs w:val="20"/>
        </w:rPr>
      </w:pPr>
    </w:p>
    <w:p w:rsidR="006844FE" w:rsidRDefault="006844FE" w:rsidP="006844FE">
      <w:pPr>
        <w:rPr>
          <w:i/>
          <w:color w:val="000000"/>
          <w:sz w:val="20"/>
          <w:szCs w:val="20"/>
        </w:rPr>
      </w:pPr>
      <w:proofErr w:type="spellStart"/>
      <w:r>
        <w:rPr>
          <w:i/>
          <w:color w:val="000000"/>
          <w:sz w:val="20"/>
          <w:szCs w:val="20"/>
        </w:rPr>
        <w:lastRenderedPageBreak/>
        <w:t>SmartMusic</w:t>
      </w:r>
      <w:proofErr w:type="spellEnd"/>
      <w:r>
        <w:rPr>
          <w:i/>
          <w:color w:val="000000"/>
          <w:sz w:val="20"/>
          <w:szCs w:val="20"/>
        </w:rPr>
        <w:t xml:space="preserve"> Website and Back Office Development</w:t>
      </w:r>
    </w:p>
    <w:p w:rsidR="006844FE" w:rsidRDefault="006844FE" w:rsidP="006844FE">
      <w:pPr>
        <w:rPr>
          <w:i/>
          <w:color w:val="000000"/>
          <w:sz w:val="20"/>
          <w:szCs w:val="20"/>
        </w:rPr>
      </w:pPr>
    </w:p>
    <w:p w:rsidR="006844FE" w:rsidRDefault="006844FE" w:rsidP="006844FE">
      <w:pPr>
        <w:spacing w:after="240"/>
        <w:ind w:firstLine="720"/>
        <w:rPr>
          <w:color w:val="000000"/>
          <w:sz w:val="20"/>
          <w:szCs w:val="20"/>
        </w:rPr>
      </w:pPr>
      <w:r>
        <w:rPr>
          <w:color w:val="000000"/>
          <w:sz w:val="20"/>
          <w:szCs w:val="20"/>
        </w:rPr>
        <w:t xml:space="preserve">The </w:t>
      </w:r>
      <w:proofErr w:type="spellStart"/>
      <w:r>
        <w:rPr>
          <w:color w:val="000000"/>
          <w:sz w:val="20"/>
          <w:szCs w:val="20"/>
        </w:rPr>
        <w:t>SmartMusic</w:t>
      </w:r>
      <w:proofErr w:type="spellEnd"/>
      <w:r>
        <w:rPr>
          <w:color w:val="000000"/>
          <w:sz w:val="20"/>
          <w:szCs w:val="20"/>
        </w:rPr>
        <w:t xml:space="preserve"> </w:t>
      </w:r>
      <w:proofErr w:type="spellStart"/>
      <w:r>
        <w:rPr>
          <w:color w:val="000000"/>
          <w:sz w:val="20"/>
          <w:szCs w:val="20"/>
        </w:rPr>
        <w:t>Gradebook</w:t>
      </w:r>
      <w:proofErr w:type="spellEnd"/>
      <w:r>
        <w:rPr>
          <w:color w:val="000000"/>
          <w:sz w:val="20"/>
          <w:szCs w:val="20"/>
        </w:rPr>
        <w:t xml:space="preserve"> is the most visible aspect of the web support provided to the </w:t>
      </w:r>
      <w:proofErr w:type="spellStart"/>
      <w:r>
        <w:rPr>
          <w:color w:val="000000"/>
          <w:sz w:val="20"/>
          <w:szCs w:val="20"/>
        </w:rPr>
        <w:t>SmartMusic</w:t>
      </w:r>
      <w:proofErr w:type="spellEnd"/>
      <w:r>
        <w:rPr>
          <w:color w:val="000000"/>
          <w:sz w:val="20"/>
          <w:szCs w:val="20"/>
        </w:rPr>
        <w:t xml:space="preserve"> application. We use another layer of interacting technologies, databases and services to support the </w:t>
      </w:r>
      <w:proofErr w:type="spellStart"/>
      <w:r>
        <w:rPr>
          <w:color w:val="000000"/>
          <w:sz w:val="20"/>
          <w:szCs w:val="20"/>
        </w:rPr>
        <w:t>Gradebook</w:t>
      </w:r>
      <w:proofErr w:type="spellEnd"/>
      <w:r>
        <w:rPr>
          <w:color w:val="000000"/>
          <w:sz w:val="20"/>
          <w:szCs w:val="20"/>
        </w:rPr>
        <w:t xml:space="preserve">. This ensures that the </w:t>
      </w:r>
      <w:proofErr w:type="spellStart"/>
      <w:r>
        <w:rPr>
          <w:color w:val="000000"/>
          <w:sz w:val="20"/>
          <w:szCs w:val="20"/>
        </w:rPr>
        <w:t>SmartMusic</w:t>
      </w:r>
      <w:proofErr w:type="spellEnd"/>
      <w:r>
        <w:rPr>
          <w:color w:val="000000"/>
          <w:sz w:val="20"/>
          <w:szCs w:val="20"/>
        </w:rPr>
        <w:t xml:space="preserve"> solution is comprehensive and that the </w:t>
      </w:r>
      <w:proofErr w:type="spellStart"/>
      <w:r>
        <w:rPr>
          <w:color w:val="000000"/>
          <w:sz w:val="20"/>
          <w:szCs w:val="20"/>
        </w:rPr>
        <w:t>SmartMusic</w:t>
      </w:r>
      <w:proofErr w:type="spellEnd"/>
      <w:r>
        <w:rPr>
          <w:color w:val="000000"/>
          <w:sz w:val="20"/>
          <w:szCs w:val="20"/>
        </w:rPr>
        <w:t xml:space="preserve"> experience is logical, efficient and enjoyable. </w:t>
      </w:r>
    </w:p>
    <w:p w:rsidR="006844FE" w:rsidRDefault="006844FE" w:rsidP="006844FE">
      <w:pPr>
        <w:spacing w:after="240"/>
        <w:ind w:firstLine="720"/>
        <w:rPr>
          <w:color w:val="000000"/>
          <w:sz w:val="20"/>
          <w:szCs w:val="20"/>
        </w:rPr>
      </w:pPr>
      <w:r>
        <w:rPr>
          <w:color w:val="000000"/>
          <w:sz w:val="20"/>
          <w:szCs w:val="20"/>
        </w:rPr>
        <w:t xml:space="preserve">The website and back-office services are also developed by an internal team of programmers and testers. Certain aspects of this development are sometimes handled by external contractors with any development remaining the property of </w:t>
      </w:r>
      <w:proofErr w:type="spellStart"/>
      <w:r>
        <w:rPr>
          <w:color w:val="000000"/>
          <w:sz w:val="20"/>
          <w:szCs w:val="20"/>
        </w:rPr>
        <w:t>MakeMusic</w:t>
      </w:r>
      <w:proofErr w:type="spellEnd"/>
      <w:r>
        <w:rPr>
          <w:color w:val="000000"/>
          <w:sz w:val="20"/>
          <w:szCs w:val="20"/>
        </w:rPr>
        <w:t>.</w:t>
      </w:r>
    </w:p>
    <w:p w:rsidR="006844FE" w:rsidRDefault="006844FE" w:rsidP="006844FE">
      <w:pPr>
        <w:rPr>
          <w:i/>
          <w:color w:val="000000"/>
          <w:sz w:val="20"/>
          <w:szCs w:val="20"/>
        </w:rPr>
      </w:pPr>
      <w:proofErr w:type="spellStart"/>
      <w:r>
        <w:rPr>
          <w:i/>
          <w:color w:val="000000"/>
          <w:sz w:val="20"/>
          <w:szCs w:val="20"/>
        </w:rPr>
        <w:t>SmartMusic</w:t>
      </w:r>
      <w:proofErr w:type="spellEnd"/>
      <w:r>
        <w:rPr>
          <w:i/>
          <w:color w:val="000000"/>
          <w:sz w:val="20"/>
          <w:szCs w:val="20"/>
        </w:rPr>
        <w:t xml:space="preserve"> Accessories</w:t>
      </w:r>
    </w:p>
    <w:p w:rsidR="006844FE" w:rsidRDefault="006844FE" w:rsidP="006844FE">
      <w:pPr>
        <w:rPr>
          <w:i/>
          <w:color w:val="000000"/>
          <w:sz w:val="20"/>
          <w:szCs w:val="20"/>
        </w:rPr>
      </w:pPr>
    </w:p>
    <w:p w:rsidR="006844FE" w:rsidRDefault="006844FE" w:rsidP="006844FE">
      <w:pPr>
        <w:spacing w:after="240"/>
        <w:ind w:right="-90" w:firstLine="720"/>
        <w:rPr>
          <w:color w:val="000000"/>
          <w:sz w:val="20"/>
          <w:szCs w:val="20"/>
        </w:rPr>
      </w:pPr>
      <w:r>
        <w:rPr>
          <w:color w:val="000000"/>
          <w:sz w:val="20"/>
          <w:szCs w:val="20"/>
        </w:rPr>
        <w:t xml:space="preserve">The primary </w:t>
      </w:r>
      <w:proofErr w:type="spellStart"/>
      <w:r>
        <w:rPr>
          <w:color w:val="000000"/>
          <w:sz w:val="20"/>
          <w:szCs w:val="20"/>
        </w:rPr>
        <w:t>SmartMusic</w:t>
      </w:r>
      <w:proofErr w:type="spellEnd"/>
      <w:r>
        <w:rPr>
          <w:color w:val="000000"/>
          <w:sz w:val="20"/>
          <w:szCs w:val="20"/>
        </w:rPr>
        <w:t xml:space="preserve"> accessories are the instrumental microphone and the vocal microphone headset. These microphones are inserted into the microphone input of the computer and their audio signal is routed to the </w:t>
      </w:r>
      <w:proofErr w:type="spellStart"/>
      <w:r>
        <w:rPr>
          <w:color w:val="000000"/>
          <w:sz w:val="20"/>
          <w:szCs w:val="20"/>
        </w:rPr>
        <w:t>SmartMusic</w:t>
      </w:r>
      <w:proofErr w:type="spellEnd"/>
      <w:r>
        <w:rPr>
          <w:color w:val="000000"/>
          <w:sz w:val="20"/>
          <w:szCs w:val="20"/>
        </w:rPr>
        <w:t xml:space="preserve"> software for recording and assessment analysis. The instrumental microphone has a plastic-coated tip that allows it to be clipped onto a musical instrument or the student’s clothing. We outsource the microphone manufacturing to suppliers who can meet the specifications at competitive pricing. During 2011, the suggested retail price of the </w:t>
      </w:r>
      <w:proofErr w:type="spellStart"/>
      <w:r>
        <w:rPr>
          <w:color w:val="000000"/>
          <w:sz w:val="20"/>
          <w:szCs w:val="20"/>
        </w:rPr>
        <w:t>SmartMusic</w:t>
      </w:r>
      <w:proofErr w:type="spellEnd"/>
      <w:r>
        <w:rPr>
          <w:color w:val="000000"/>
          <w:sz w:val="20"/>
          <w:szCs w:val="20"/>
        </w:rPr>
        <w:t xml:space="preserve"> microphones was $19.95 and the USB microphone for Macintosh users retailed for $29.95. </w:t>
      </w:r>
    </w:p>
    <w:p w:rsidR="006844FE" w:rsidRDefault="006844FE" w:rsidP="006844FE">
      <w:pPr>
        <w:rPr>
          <w:i/>
          <w:color w:val="000000"/>
          <w:sz w:val="20"/>
          <w:szCs w:val="20"/>
        </w:rPr>
      </w:pPr>
      <w:proofErr w:type="spellStart"/>
      <w:r>
        <w:rPr>
          <w:i/>
          <w:color w:val="000000"/>
          <w:sz w:val="20"/>
          <w:szCs w:val="20"/>
        </w:rPr>
        <w:t>SmartMusic</w:t>
      </w:r>
      <w:proofErr w:type="spellEnd"/>
      <w:r>
        <w:rPr>
          <w:i/>
          <w:color w:val="000000"/>
          <w:sz w:val="20"/>
          <w:szCs w:val="20"/>
        </w:rPr>
        <w:t xml:space="preserve"> Subscription Business</w:t>
      </w:r>
    </w:p>
    <w:p w:rsidR="006844FE" w:rsidRDefault="006844FE" w:rsidP="006844FE">
      <w:pPr>
        <w:rPr>
          <w:i/>
          <w:color w:val="000000"/>
          <w:sz w:val="20"/>
          <w:szCs w:val="20"/>
        </w:rPr>
      </w:pPr>
    </w:p>
    <w:p w:rsidR="006844FE" w:rsidRDefault="006844FE" w:rsidP="006844FE">
      <w:pPr>
        <w:spacing w:after="240"/>
        <w:ind w:firstLine="720"/>
        <w:rPr>
          <w:color w:val="000000"/>
          <w:sz w:val="20"/>
          <w:szCs w:val="20"/>
        </w:rPr>
      </w:pPr>
      <w:proofErr w:type="spellStart"/>
      <w:r>
        <w:rPr>
          <w:color w:val="000000"/>
          <w:sz w:val="20"/>
          <w:szCs w:val="20"/>
        </w:rPr>
        <w:t>SmartMusic</w:t>
      </w:r>
      <w:proofErr w:type="spellEnd"/>
      <w:r>
        <w:rPr>
          <w:color w:val="000000"/>
          <w:sz w:val="20"/>
          <w:szCs w:val="20"/>
        </w:rPr>
        <w:t xml:space="preserve"> is sold as an annual subscription. Currently, teacher subscriptions, which include the </w:t>
      </w:r>
      <w:proofErr w:type="spellStart"/>
      <w:r>
        <w:rPr>
          <w:color w:val="000000"/>
          <w:sz w:val="20"/>
          <w:szCs w:val="20"/>
        </w:rPr>
        <w:t>SmartMusic</w:t>
      </w:r>
      <w:proofErr w:type="spellEnd"/>
      <w:r>
        <w:rPr>
          <w:color w:val="000000"/>
          <w:sz w:val="20"/>
          <w:szCs w:val="20"/>
        </w:rPr>
        <w:t xml:space="preserve"> </w:t>
      </w:r>
      <w:proofErr w:type="spellStart"/>
      <w:r>
        <w:rPr>
          <w:color w:val="000000"/>
          <w:sz w:val="20"/>
          <w:szCs w:val="20"/>
        </w:rPr>
        <w:t>Gradebook</w:t>
      </w:r>
      <w:proofErr w:type="spellEnd"/>
      <w:r>
        <w:rPr>
          <w:color w:val="000000"/>
          <w:sz w:val="20"/>
          <w:szCs w:val="20"/>
        </w:rPr>
        <w:t>, are priced at $140. Additional subscriptions for school computers and student home subscriptions are priced at $36. Multi-year subscriptions are also available. We evaluate our pricing on an annual basis and changes may occur in the future.</w:t>
      </w:r>
    </w:p>
    <w:p w:rsidR="006844FE" w:rsidRDefault="006844FE" w:rsidP="006844FE">
      <w:pPr>
        <w:spacing w:after="240"/>
        <w:ind w:firstLine="720"/>
        <w:rPr>
          <w:color w:val="000000"/>
          <w:sz w:val="20"/>
          <w:szCs w:val="20"/>
        </w:rPr>
      </w:pPr>
      <w:r>
        <w:rPr>
          <w:color w:val="000000"/>
          <w:sz w:val="20"/>
          <w:szCs w:val="20"/>
        </w:rPr>
        <w:t xml:space="preserve">We believe that teachers’ greater reliance on </w:t>
      </w:r>
      <w:proofErr w:type="spellStart"/>
      <w:r>
        <w:rPr>
          <w:color w:val="000000"/>
          <w:sz w:val="20"/>
          <w:szCs w:val="20"/>
        </w:rPr>
        <w:t>SmartMusic</w:t>
      </w:r>
      <w:proofErr w:type="spellEnd"/>
      <w:r>
        <w:rPr>
          <w:color w:val="000000"/>
          <w:sz w:val="20"/>
          <w:szCs w:val="20"/>
        </w:rPr>
        <w:t xml:space="preserve"> to prepare concert music and develop student skills, together with ongoing emphasis on documented assessment of achievement, will result in greater utilization of </w:t>
      </w:r>
      <w:proofErr w:type="spellStart"/>
      <w:r>
        <w:rPr>
          <w:color w:val="000000"/>
          <w:sz w:val="20"/>
          <w:szCs w:val="20"/>
        </w:rPr>
        <w:t>SmartMusic</w:t>
      </w:r>
      <w:proofErr w:type="spellEnd"/>
      <w:r>
        <w:rPr>
          <w:color w:val="000000"/>
          <w:sz w:val="20"/>
          <w:szCs w:val="20"/>
        </w:rPr>
        <w:t xml:space="preserve"> </w:t>
      </w:r>
      <w:proofErr w:type="spellStart"/>
      <w:r>
        <w:rPr>
          <w:color w:val="000000"/>
          <w:sz w:val="20"/>
          <w:szCs w:val="20"/>
        </w:rPr>
        <w:t>Gradebook</w:t>
      </w:r>
      <w:proofErr w:type="spellEnd"/>
      <w:r>
        <w:rPr>
          <w:color w:val="000000"/>
          <w:sz w:val="20"/>
          <w:szCs w:val="20"/>
        </w:rPr>
        <w:t xml:space="preserve"> and assignments. Because </w:t>
      </w:r>
      <w:proofErr w:type="spellStart"/>
      <w:r>
        <w:rPr>
          <w:color w:val="000000"/>
          <w:sz w:val="20"/>
          <w:szCs w:val="20"/>
        </w:rPr>
        <w:t>SmartMusic</w:t>
      </w:r>
      <w:proofErr w:type="spellEnd"/>
      <w:r>
        <w:rPr>
          <w:color w:val="000000"/>
          <w:sz w:val="20"/>
          <w:szCs w:val="20"/>
        </w:rPr>
        <w:t xml:space="preserve"> assesses and grades automatically, teachers can quickly issue all assignments related to scales, intervals, arpeggios, rhythms and solo repertoire as well as their concert music. As teachers post a greater number of </w:t>
      </w:r>
      <w:proofErr w:type="spellStart"/>
      <w:r>
        <w:rPr>
          <w:color w:val="000000"/>
          <w:sz w:val="20"/>
          <w:szCs w:val="20"/>
        </w:rPr>
        <w:t>SmartMusic</w:t>
      </w:r>
      <w:proofErr w:type="spellEnd"/>
      <w:r>
        <w:rPr>
          <w:color w:val="000000"/>
          <w:sz w:val="20"/>
          <w:szCs w:val="20"/>
        </w:rPr>
        <w:t xml:space="preserve"> assignments, we expect that more students will be motivated to have </w:t>
      </w:r>
      <w:proofErr w:type="spellStart"/>
      <w:r>
        <w:rPr>
          <w:color w:val="000000"/>
          <w:sz w:val="20"/>
          <w:szCs w:val="20"/>
        </w:rPr>
        <w:t>SmartMusic</w:t>
      </w:r>
      <w:proofErr w:type="spellEnd"/>
      <w:r>
        <w:rPr>
          <w:color w:val="000000"/>
          <w:sz w:val="20"/>
          <w:szCs w:val="20"/>
        </w:rPr>
        <w:t xml:space="preserve"> at home and that our student subscription rates will increase. </w:t>
      </w:r>
    </w:p>
    <w:p w:rsidR="006844FE" w:rsidRDefault="006844FE" w:rsidP="006844FE">
      <w:pPr>
        <w:spacing w:after="80"/>
        <w:ind w:firstLine="720"/>
        <w:rPr>
          <w:color w:val="000000"/>
          <w:sz w:val="20"/>
          <w:szCs w:val="20"/>
        </w:rPr>
      </w:pPr>
      <w:r>
        <w:rPr>
          <w:color w:val="000000"/>
          <w:sz w:val="20"/>
          <w:szCs w:val="20"/>
        </w:rPr>
        <w:t xml:space="preserve">Among the statistics by which investors can evaluate </w:t>
      </w:r>
      <w:proofErr w:type="spellStart"/>
      <w:r>
        <w:rPr>
          <w:color w:val="000000"/>
          <w:sz w:val="20"/>
          <w:szCs w:val="20"/>
        </w:rPr>
        <w:t>SmartMusic</w:t>
      </w:r>
      <w:proofErr w:type="spellEnd"/>
      <w:r>
        <w:rPr>
          <w:color w:val="000000"/>
          <w:sz w:val="20"/>
          <w:szCs w:val="20"/>
        </w:rPr>
        <w:t xml:space="preserve"> growth are the following:</w:t>
      </w:r>
    </w:p>
    <w:p w:rsidR="006844FE" w:rsidRDefault="006844FE" w:rsidP="006844FE">
      <w:pPr>
        <w:pStyle w:val="ListParagraph"/>
        <w:numPr>
          <w:ilvl w:val="0"/>
          <w:numId w:val="27"/>
        </w:numPr>
        <w:contextualSpacing w:val="0"/>
        <w:rPr>
          <w:color w:val="000000"/>
          <w:sz w:val="20"/>
          <w:szCs w:val="20"/>
        </w:rPr>
      </w:pPr>
      <w:r>
        <w:rPr>
          <w:color w:val="000000"/>
          <w:sz w:val="20"/>
          <w:szCs w:val="20"/>
        </w:rPr>
        <w:t xml:space="preserve">Number of </w:t>
      </w:r>
      <w:proofErr w:type="spellStart"/>
      <w:r>
        <w:rPr>
          <w:color w:val="000000"/>
          <w:sz w:val="20"/>
          <w:szCs w:val="20"/>
        </w:rPr>
        <w:t>SmartMusic</w:t>
      </w:r>
      <w:proofErr w:type="spellEnd"/>
      <w:r>
        <w:rPr>
          <w:color w:val="000000"/>
          <w:sz w:val="20"/>
          <w:szCs w:val="20"/>
        </w:rPr>
        <w:t xml:space="preserve"> educator accounts</w:t>
      </w:r>
    </w:p>
    <w:p w:rsidR="006844FE" w:rsidRDefault="006844FE" w:rsidP="006844FE">
      <w:pPr>
        <w:pStyle w:val="ListParagraph"/>
        <w:numPr>
          <w:ilvl w:val="0"/>
          <w:numId w:val="27"/>
        </w:numPr>
        <w:contextualSpacing w:val="0"/>
        <w:rPr>
          <w:color w:val="000000"/>
          <w:sz w:val="20"/>
          <w:szCs w:val="20"/>
        </w:rPr>
      </w:pPr>
      <w:r>
        <w:rPr>
          <w:color w:val="000000"/>
          <w:sz w:val="20"/>
          <w:szCs w:val="20"/>
        </w:rPr>
        <w:t xml:space="preserve">Total number of </w:t>
      </w:r>
      <w:proofErr w:type="spellStart"/>
      <w:r>
        <w:rPr>
          <w:color w:val="000000"/>
          <w:sz w:val="20"/>
          <w:szCs w:val="20"/>
        </w:rPr>
        <w:t>SmartMusic</w:t>
      </w:r>
      <w:proofErr w:type="spellEnd"/>
      <w:r>
        <w:rPr>
          <w:color w:val="000000"/>
          <w:sz w:val="20"/>
          <w:szCs w:val="20"/>
        </w:rPr>
        <w:t xml:space="preserve"> subscriptions </w:t>
      </w:r>
    </w:p>
    <w:p w:rsidR="006844FE" w:rsidRDefault="006844FE" w:rsidP="006844FE">
      <w:pPr>
        <w:pStyle w:val="ListParagraph"/>
        <w:numPr>
          <w:ilvl w:val="0"/>
          <w:numId w:val="27"/>
        </w:numPr>
        <w:contextualSpacing w:val="0"/>
        <w:rPr>
          <w:color w:val="000000"/>
          <w:sz w:val="20"/>
          <w:szCs w:val="20"/>
        </w:rPr>
      </w:pPr>
      <w:r>
        <w:rPr>
          <w:color w:val="000000"/>
          <w:sz w:val="20"/>
          <w:szCs w:val="20"/>
        </w:rPr>
        <w:t>Subscriptions purchased during the period</w:t>
      </w:r>
    </w:p>
    <w:p w:rsidR="006844FE" w:rsidRDefault="006844FE" w:rsidP="006844FE">
      <w:pPr>
        <w:pStyle w:val="ListParagraph"/>
        <w:numPr>
          <w:ilvl w:val="0"/>
          <w:numId w:val="27"/>
        </w:numPr>
        <w:spacing w:after="120"/>
        <w:contextualSpacing w:val="0"/>
        <w:rPr>
          <w:color w:val="000000"/>
          <w:sz w:val="20"/>
          <w:szCs w:val="20"/>
        </w:rPr>
      </w:pPr>
      <w:r>
        <w:rPr>
          <w:color w:val="000000"/>
          <w:sz w:val="20"/>
          <w:szCs w:val="20"/>
        </w:rPr>
        <w:t>Educator subscription renewal rates</w:t>
      </w:r>
    </w:p>
    <w:p w:rsidR="006844FE" w:rsidRDefault="006844FE" w:rsidP="006844FE">
      <w:pPr>
        <w:spacing w:after="240"/>
        <w:ind w:firstLine="720"/>
        <w:rPr>
          <w:color w:val="000000"/>
          <w:sz w:val="20"/>
          <w:szCs w:val="20"/>
        </w:rPr>
      </w:pPr>
      <w:proofErr w:type="spellStart"/>
      <w:r>
        <w:rPr>
          <w:color w:val="000000"/>
          <w:sz w:val="20"/>
          <w:szCs w:val="20"/>
        </w:rPr>
        <w:t>SmartMusic</w:t>
      </w:r>
      <w:proofErr w:type="spellEnd"/>
      <w:r>
        <w:rPr>
          <w:color w:val="000000"/>
          <w:sz w:val="20"/>
          <w:szCs w:val="20"/>
        </w:rPr>
        <w:t xml:space="preserve"> subscriptions are sold directly to teachers, parents and students. Marketing communications consist primarily of presentations, clinics and exhibits at music educator state conferences, e-mail and on-line. Direct sales efforts are typically aimed at the 17,000 schools who match our ideal demographic profile. We are also focusing dedicated business development efforts on key music education states and states with Race to the Top funds.</w:t>
      </w:r>
    </w:p>
    <w:p w:rsidR="006844FE" w:rsidRDefault="006844FE" w:rsidP="006844FE">
      <w:pPr>
        <w:rPr>
          <w:i/>
          <w:color w:val="000000"/>
          <w:sz w:val="20"/>
          <w:szCs w:val="20"/>
        </w:rPr>
      </w:pPr>
      <w:proofErr w:type="spellStart"/>
      <w:r>
        <w:rPr>
          <w:i/>
          <w:color w:val="000000"/>
          <w:sz w:val="20"/>
          <w:szCs w:val="20"/>
        </w:rPr>
        <w:t>SmartMusic</w:t>
      </w:r>
      <w:proofErr w:type="spellEnd"/>
      <w:r>
        <w:rPr>
          <w:i/>
          <w:color w:val="000000"/>
          <w:sz w:val="20"/>
          <w:szCs w:val="20"/>
        </w:rPr>
        <w:t xml:space="preserve"> Site Agreements</w:t>
      </w:r>
    </w:p>
    <w:p w:rsidR="006844FE" w:rsidRDefault="006844FE" w:rsidP="006844FE">
      <w:pPr>
        <w:rPr>
          <w:i/>
          <w:color w:val="000000"/>
          <w:sz w:val="20"/>
          <w:szCs w:val="20"/>
        </w:rPr>
      </w:pPr>
    </w:p>
    <w:p w:rsidR="006844FE" w:rsidRDefault="006844FE" w:rsidP="006844FE">
      <w:pPr>
        <w:spacing w:after="240"/>
        <w:ind w:firstLine="720"/>
        <w:rPr>
          <w:color w:val="000000"/>
          <w:sz w:val="20"/>
          <w:szCs w:val="20"/>
        </w:rPr>
      </w:pPr>
      <w:proofErr w:type="spellStart"/>
      <w:r>
        <w:rPr>
          <w:color w:val="000000"/>
          <w:sz w:val="20"/>
          <w:szCs w:val="20"/>
        </w:rPr>
        <w:t>SmartMusic</w:t>
      </w:r>
      <w:proofErr w:type="spellEnd"/>
      <w:r>
        <w:rPr>
          <w:color w:val="000000"/>
          <w:sz w:val="20"/>
          <w:szCs w:val="20"/>
        </w:rPr>
        <w:t xml:space="preserve"> site agreements are intended to encourage large deployments of </w:t>
      </w:r>
      <w:proofErr w:type="spellStart"/>
      <w:r>
        <w:rPr>
          <w:color w:val="000000"/>
          <w:sz w:val="20"/>
          <w:szCs w:val="20"/>
        </w:rPr>
        <w:t>SmartMusic</w:t>
      </w:r>
      <w:proofErr w:type="spellEnd"/>
      <w:r>
        <w:rPr>
          <w:color w:val="000000"/>
          <w:sz w:val="20"/>
          <w:szCs w:val="20"/>
        </w:rPr>
        <w:t xml:space="preserve"> student subscriptions. The site agreements provide schools with coterminous subscriptions for all students and teachers and discounted pricing is available. The special site agreement pricing reduces all prices by 15% for 100 or more subscriptions and 8% for 50 or more subscriptions. We offer reasonably priced teacher training to support these larger installations. As of December 31, 2011, there </w:t>
      </w:r>
      <w:r>
        <w:rPr>
          <w:sz w:val="20"/>
          <w:szCs w:val="20"/>
        </w:rPr>
        <w:t>were 600 site agreements</w:t>
      </w:r>
      <w:r>
        <w:rPr>
          <w:color w:val="000000"/>
          <w:sz w:val="20"/>
          <w:szCs w:val="20"/>
        </w:rPr>
        <w:t xml:space="preserve"> for </w:t>
      </w:r>
      <w:proofErr w:type="spellStart"/>
      <w:r>
        <w:rPr>
          <w:color w:val="000000"/>
          <w:sz w:val="20"/>
          <w:szCs w:val="20"/>
        </w:rPr>
        <w:t>SmartMusic</w:t>
      </w:r>
      <w:proofErr w:type="spellEnd"/>
      <w:r>
        <w:rPr>
          <w:color w:val="000000"/>
          <w:sz w:val="20"/>
          <w:szCs w:val="20"/>
        </w:rPr>
        <w:t xml:space="preserve"> at the over 100 subscription level and 101 at the over 50 subscription level. </w:t>
      </w:r>
    </w:p>
    <w:p w:rsidR="006844FE" w:rsidRDefault="006844FE" w:rsidP="006844FE">
      <w:pPr>
        <w:rPr>
          <w:color w:val="000000"/>
          <w:sz w:val="20"/>
          <w:szCs w:val="20"/>
        </w:rPr>
      </w:pPr>
      <w:proofErr w:type="spellStart"/>
      <w:r>
        <w:rPr>
          <w:bCs/>
          <w:i/>
          <w:color w:val="000000"/>
          <w:sz w:val="20"/>
          <w:szCs w:val="20"/>
        </w:rPr>
        <w:lastRenderedPageBreak/>
        <w:t>SmartMusic</w:t>
      </w:r>
      <w:proofErr w:type="spellEnd"/>
      <w:r>
        <w:rPr>
          <w:bCs/>
          <w:i/>
          <w:color w:val="000000"/>
          <w:sz w:val="20"/>
          <w:szCs w:val="20"/>
        </w:rPr>
        <w:t xml:space="preserve"> Sales and Marketing</w:t>
      </w:r>
    </w:p>
    <w:p w:rsidR="006844FE" w:rsidRDefault="006844FE" w:rsidP="006844FE">
      <w:pPr>
        <w:spacing w:after="240"/>
        <w:ind w:firstLine="720"/>
        <w:rPr>
          <w:color w:val="000000"/>
          <w:sz w:val="20"/>
          <w:szCs w:val="20"/>
        </w:rPr>
      </w:pPr>
      <w:r>
        <w:rPr>
          <w:color w:val="000000"/>
          <w:sz w:val="20"/>
          <w:szCs w:val="20"/>
        </w:rPr>
        <w:t xml:space="preserve">The market for </w:t>
      </w:r>
      <w:proofErr w:type="spellStart"/>
      <w:r>
        <w:rPr>
          <w:color w:val="000000"/>
          <w:sz w:val="20"/>
          <w:szCs w:val="20"/>
        </w:rPr>
        <w:t>SmartMusic</w:t>
      </w:r>
      <w:proofErr w:type="spellEnd"/>
      <w:r>
        <w:rPr>
          <w:color w:val="000000"/>
          <w:sz w:val="20"/>
          <w:szCs w:val="20"/>
        </w:rPr>
        <w:t xml:space="preserve"> is large, with student use being the largest potential market. It is estimated that approximately 55,000 school buildings offer instrumental programs and over 17,000 of these schools match our ideal demographic profile. Recent independent research suggests that an estimated 6,000,000 students participate in music programs in our target market. We believe the key to expanding the number of subscriptions for students is producing a compelling reason for educators to make </w:t>
      </w:r>
      <w:proofErr w:type="spellStart"/>
      <w:r>
        <w:rPr>
          <w:color w:val="000000"/>
          <w:sz w:val="20"/>
          <w:szCs w:val="20"/>
        </w:rPr>
        <w:t>SmartMusic</w:t>
      </w:r>
      <w:proofErr w:type="spellEnd"/>
      <w:r>
        <w:rPr>
          <w:color w:val="000000"/>
          <w:sz w:val="20"/>
          <w:szCs w:val="20"/>
        </w:rPr>
        <w:t xml:space="preserve"> an integral part of their curriculum and the basis for how they assess student achievement. Further, we believe that the majority of students will prefer the convenience and enhanced practice experience of completing </w:t>
      </w:r>
      <w:proofErr w:type="spellStart"/>
      <w:r>
        <w:rPr>
          <w:color w:val="000000"/>
          <w:sz w:val="20"/>
          <w:szCs w:val="20"/>
        </w:rPr>
        <w:t>SmartMusic</w:t>
      </w:r>
      <w:proofErr w:type="spellEnd"/>
      <w:r>
        <w:rPr>
          <w:color w:val="000000"/>
          <w:sz w:val="20"/>
          <w:szCs w:val="20"/>
        </w:rPr>
        <w:t xml:space="preserve"> assignments at home with the use of technology and it is this dynamic that will drive subscription growth. </w:t>
      </w:r>
    </w:p>
    <w:p w:rsidR="006844FE" w:rsidRDefault="006844FE" w:rsidP="006844FE">
      <w:pPr>
        <w:spacing w:after="240"/>
        <w:ind w:firstLine="720"/>
        <w:rPr>
          <w:color w:val="000000"/>
          <w:sz w:val="20"/>
          <w:szCs w:val="20"/>
        </w:rPr>
      </w:pPr>
      <w:r>
        <w:rPr>
          <w:color w:val="000000"/>
          <w:sz w:val="20"/>
          <w:szCs w:val="20"/>
        </w:rPr>
        <w:t xml:space="preserve">As of December 31, 2011, </w:t>
      </w:r>
      <w:proofErr w:type="spellStart"/>
      <w:r>
        <w:rPr>
          <w:color w:val="000000"/>
          <w:sz w:val="20"/>
          <w:szCs w:val="20"/>
        </w:rPr>
        <w:t>MakeMusic</w:t>
      </w:r>
      <w:proofErr w:type="spellEnd"/>
      <w:r>
        <w:rPr>
          <w:color w:val="000000"/>
          <w:sz w:val="20"/>
          <w:szCs w:val="20"/>
        </w:rPr>
        <w:t xml:space="preserve"> had more than 10,500 teacher accounts with active </w:t>
      </w:r>
      <w:proofErr w:type="spellStart"/>
      <w:r>
        <w:rPr>
          <w:color w:val="000000"/>
          <w:sz w:val="20"/>
          <w:szCs w:val="20"/>
        </w:rPr>
        <w:t>SmartMusic</w:t>
      </w:r>
      <w:proofErr w:type="spellEnd"/>
      <w:r>
        <w:rPr>
          <w:color w:val="000000"/>
          <w:sz w:val="20"/>
          <w:szCs w:val="20"/>
        </w:rPr>
        <w:t xml:space="preserve"> subscriptions. Since these teachers are already using </w:t>
      </w:r>
      <w:proofErr w:type="spellStart"/>
      <w:r>
        <w:rPr>
          <w:color w:val="000000"/>
          <w:sz w:val="20"/>
          <w:szCs w:val="20"/>
        </w:rPr>
        <w:t>SmartMusic</w:t>
      </w:r>
      <w:proofErr w:type="spellEnd"/>
      <w:r>
        <w:rPr>
          <w:color w:val="000000"/>
          <w:sz w:val="20"/>
          <w:szCs w:val="20"/>
        </w:rPr>
        <w:t xml:space="preserve">, they will likely be the first to adopt </w:t>
      </w:r>
      <w:proofErr w:type="spellStart"/>
      <w:r>
        <w:rPr>
          <w:color w:val="000000"/>
          <w:sz w:val="20"/>
          <w:szCs w:val="20"/>
        </w:rPr>
        <w:t>SmartMusic</w:t>
      </w:r>
      <w:proofErr w:type="spellEnd"/>
      <w:r>
        <w:rPr>
          <w:color w:val="000000"/>
          <w:sz w:val="20"/>
          <w:szCs w:val="20"/>
        </w:rPr>
        <w:t xml:space="preserve"> </w:t>
      </w:r>
      <w:proofErr w:type="spellStart"/>
      <w:r>
        <w:rPr>
          <w:color w:val="000000"/>
          <w:sz w:val="20"/>
          <w:szCs w:val="20"/>
        </w:rPr>
        <w:t>Gradebook</w:t>
      </w:r>
      <w:proofErr w:type="spellEnd"/>
      <w:r>
        <w:rPr>
          <w:color w:val="000000"/>
          <w:sz w:val="20"/>
          <w:szCs w:val="20"/>
        </w:rPr>
        <w:t xml:space="preserve"> and embrace the concept of requiring students to submit frequent </w:t>
      </w:r>
      <w:proofErr w:type="spellStart"/>
      <w:r>
        <w:rPr>
          <w:color w:val="000000"/>
          <w:sz w:val="20"/>
          <w:szCs w:val="20"/>
        </w:rPr>
        <w:t>SmartMusic</w:t>
      </w:r>
      <w:proofErr w:type="spellEnd"/>
      <w:r>
        <w:rPr>
          <w:color w:val="000000"/>
          <w:sz w:val="20"/>
          <w:szCs w:val="20"/>
        </w:rPr>
        <w:t xml:space="preserve"> assignments. Therefore, this group of users represents one of our most important target segments. We are able to track when each teacher creates a </w:t>
      </w:r>
      <w:proofErr w:type="spellStart"/>
      <w:r>
        <w:rPr>
          <w:color w:val="000000"/>
          <w:sz w:val="20"/>
          <w:szCs w:val="20"/>
        </w:rPr>
        <w:t>SmartMusic</w:t>
      </w:r>
      <w:proofErr w:type="spellEnd"/>
      <w:r>
        <w:rPr>
          <w:color w:val="000000"/>
          <w:sz w:val="20"/>
          <w:szCs w:val="20"/>
        </w:rPr>
        <w:t xml:space="preserve"> </w:t>
      </w:r>
      <w:proofErr w:type="spellStart"/>
      <w:r>
        <w:rPr>
          <w:color w:val="000000"/>
          <w:sz w:val="20"/>
          <w:szCs w:val="20"/>
        </w:rPr>
        <w:t>Gradebook</w:t>
      </w:r>
      <w:proofErr w:type="spellEnd"/>
      <w:r>
        <w:rPr>
          <w:color w:val="000000"/>
          <w:sz w:val="20"/>
          <w:szCs w:val="20"/>
        </w:rPr>
        <w:t xml:space="preserve"> account, when they set up a class and the number of students enrolled. As a result, we have the ability to tailor our direct marketing messages.</w:t>
      </w:r>
    </w:p>
    <w:p w:rsidR="006844FE" w:rsidRDefault="006844FE" w:rsidP="006844FE">
      <w:pPr>
        <w:spacing w:after="240"/>
        <w:ind w:firstLine="720"/>
        <w:rPr>
          <w:color w:val="000000"/>
          <w:sz w:val="20"/>
          <w:szCs w:val="20"/>
        </w:rPr>
      </w:pPr>
      <w:r>
        <w:rPr>
          <w:color w:val="000000"/>
          <w:sz w:val="20"/>
          <w:szCs w:val="20"/>
        </w:rPr>
        <w:t xml:space="preserve">The </w:t>
      </w:r>
      <w:proofErr w:type="spellStart"/>
      <w:r>
        <w:rPr>
          <w:color w:val="000000"/>
          <w:sz w:val="20"/>
          <w:szCs w:val="20"/>
        </w:rPr>
        <w:t>SmartMusic</w:t>
      </w:r>
      <w:proofErr w:type="spellEnd"/>
      <w:r>
        <w:rPr>
          <w:color w:val="000000"/>
          <w:sz w:val="20"/>
          <w:szCs w:val="20"/>
        </w:rPr>
        <w:t xml:space="preserve"> solution provides administrators with the ability to easily measure individual student achievement and </w:t>
      </w:r>
      <w:proofErr w:type="gramStart"/>
      <w:r>
        <w:rPr>
          <w:color w:val="000000"/>
          <w:sz w:val="20"/>
          <w:szCs w:val="20"/>
        </w:rPr>
        <w:t>growth,</w:t>
      </w:r>
      <w:proofErr w:type="gramEnd"/>
      <w:r>
        <w:rPr>
          <w:color w:val="000000"/>
          <w:sz w:val="20"/>
          <w:szCs w:val="20"/>
        </w:rPr>
        <w:t xml:space="preserve"> create and deliver district-wide curriculum and provide parents with secure on-line access to student assignments and grades. Based on this solution, </w:t>
      </w:r>
      <w:proofErr w:type="spellStart"/>
      <w:r>
        <w:rPr>
          <w:color w:val="000000"/>
          <w:sz w:val="20"/>
          <w:szCs w:val="20"/>
        </w:rPr>
        <w:t>MakeMusic</w:t>
      </w:r>
      <w:proofErr w:type="spellEnd"/>
      <w:r>
        <w:rPr>
          <w:color w:val="000000"/>
          <w:sz w:val="20"/>
          <w:szCs w:val="20"/>
        </w:rPr>
        <w:t xml:space="preserve"> has established a direct sales organization. The field sales representatives have an objective of calling on district decision-makers and individual band, orchestra and choral directors.</w:t>
      </w:r>
    </w:p>
    <w:p w:rsidR="006844FE" w:rsidRDefault="006844FE" w:rsidP="006844FE">
      <w:pPr>
        <w:spacing w:after="240"/>
        <w:rPr>
          <w:color w:val="000000"/>
          <w:sz w:val="20"/>
          <w:szCs w:val="20"/>
        </w:rPr>
      </w:pPr>
      <w:r>
        <w:rPr>
          <w:color w:val="000000"/>
          <w:sz w:val="20"/>
          <w:szCs w:val="20"/>
        </w:rPr>
        <w:tab/>
        <w:t>Prospecting efforts are largely based on ranking school districts in target states based on student population, average household income and geography. Priorities are established by identifying current users in target districts and requesting their assistance in setting up a meeting and presentation with district decision-makers and other music educators within the district and in neighboring districts.</w:t>
      </w:r>
    </w:p>
    <w:p w:rsidR="006844FE" w:rsidRDefault="006844FE" w:rsidP="006844FE">
      <w:pPr>
        <w:spacing w:after="240"/>
        <w:ind w:firstLine="720"/>
        <w:rPr>
          <w:color w:val="000000"/>
          <w:sz w:val="20"/>
          <w:szCs w:val="20"/>
        </w:rPr>
      </w:pPr>
      <w:r>
        <w:rPr>
          <w:color w:val="000000"/>
          <w:sz w:val="20"/>
          <w:szCs w:val="20"/>
        </w:rPr>
        <w:t xml:space="preserve">Our </w:t>
      </w:r>
      <w:proofErr w:type="spellStart"/>
      <w:r>
        <w:rPr>
          <w:color w:val="000000"/>
          <w:sz w:val="20"/>
          <w:szCs w:val="20"/>
        </w:rPr>
        <w:t>SmartMusic</w:t>
      </w:r>
      <w:proofErr w:type="spellEnd"/>
      <w:r>
        <w:rPr>
          <w:color w:val="000000"/>
          <w:sz w:val="20"/>
          <w:szCs w:val="20"/>
        </w:rPr>
        <w:t xml:space="preserve"> marketing efforts are exclusively focused on the U.S. and Canadian markets and directed primarily at public and private school music administrators, instrumental music and choral educators and their students. In addition to aggressive direct marketing programs, </w:t>
      </w:r>
      <w:proofErr w:type="spellStart"/>
      <w:r>
        <w:rPr>
          <w:color w:val="000000"/>
          <w:sz w:val="20"/>
          <w:szCs w:val="20"/>
        </w:rPr>
        <w:t>MakeMusic</w:t>
      </w:r>
      <w:proofErr w:type="spellEnd"/>
      <w:r>
        <w:rPr>
          <w:color w:val="000000"/>
          <w:sz w:val="20"/>
          <w:szCs w:val="20"/>
        </w:rPr>
        <w:t xml:space="preserve"> participates in more than 40 annual music educator conventions and presents </w:t>
      </w:r>
      <w:proofErr w:type="spellStart"/>
      <w:r>
        <w:rPr>
          <w:color w:val="000000"/>
          <w:sz w:val="20"/>
          <w:szCs w:val="20"/>
        </w:rPr>
        <w:t>SmartMusic</w:t>
      </w:r>
      <w:proofErr w:type="spellEnd"/>
      <w:r>
        <w:rPr>
          <w:color w:val="000000"/>
          <w:sz w:val="20"/>
          <w:szCs w:val="20"/>
        </w:rPr>
        <w:t xml:space="preserve"> clinics in a variety of settings to cultivate demand. </w:t>
      </w:r>
    </w:p>
    <w:p w:rsidR="006844FE" w:rsidRDefault="006844FE" w:rsidP="006844FE">
      <w:pPr>
        <w:spacing w:after="240"/>
        <w:ind w:firstLine="720"/>
        <w:rPr>
          <w:color w:val="000000"/>
          <w:sz w:val="20"/>
          <w:szCs w:val="20"/>
        </w:rPr>
      </w:pPr>
      <w:r>
        <w:rPr>
          <w:color w:val="000000"/>
          <w:sz w:val="20"/>
          <w:szCs w:val="20"/>
        </w:rPr>
        <w:t xml:space="preserve">The primary distribution for </w:t>
      </w:r>
      <w:proofErr w:type="spellStart"/>
      <w:r>
        <w:rPr>
          <w:color w:val="000000"/>
          <w:sz w:val="20"/>
          <w:szCs w:val="20"/>
        </w:rPr>
        <w:t>SmartMusic</w:t>
      </w:r>
      <w:proofErr w:type="spellEnd"/>
      <w:r>
        <w:rPr>
          <w:color w:val="000000"/>
          <w:sz w:val="20"/>
          <w:szCs w:val="20"/>
        </w:rPr>
        <w:t xml:space="preserve"> subscriptions is via our direct sales organization and the </w:t>
      </w:r>
      <w:r>
        <w:rPr>
          <w:color w:val="0000FF"/>
          <w:sz w:val="20"/>
          <w:szCs w:val="20"/>
          <w:u w:val="single"/>
        </w:rPr>
        <w:t>www.smartmusic.com</w:t>
      </w:r>
      <w:r>
        <w:rPr>
          <w:color w:val="000000"/>
          <w:sz w:val="20"/>
          <w:szCs w:val="20"/>
        </w:rPr>
        <w:t xml:space="preserve"> website (linked with </w:t>
      </w:r>
      <w:r>
        <w:rPr>
          <w:color w:val="0000FF"/>
          <w:sz w:val="20"/>
          <w:szCs w:val="20"/>
          <w:u w:val="single"/>
        </w:rPr>
        <w:t>www.makemusic.com</w:t>
      </w:r>
      <w:r>
        <w:rPr>
          <w:color w:val="000000"/>
          <w:sz w:val="20"/>
          <w:szCs w:val="20"/>
        </w:rPr>
        <w:t xml:space="preserve"> and </w:t>
      </w:r>
      <w:hyperlink r:id="rId10" w:history="1">
        <w:r>
          <w:rPr>
            <w:rStyle w:val="Hyperlink"/>
            <w:sz w:val="20"/>
            <w:szCs w:val="20"/>
          </w:rPr>
          <w:t>www.finalemusic.com</w:t>
        </w:r>
      </w:hyperlink>
      <w:r>
        <w:rPr>
          <w:color w:val="000000"/>
          <w:sz w:val="20"/>
          <w:szCs w:val="20"/>
        </w:rPr>
        <w:t xml:space="preserve">). School orders are normally processed directly through the </w:t>
      </w:r>
      <w:proofErr w:type="spellStart"/>
      <w:r>
        <w:rPr>
          <w:color w:val="000000"/>
          <w:sz w:val="20"/>
          <w:szCs w:val="20"/>
        </w:rPr>
        <w:t>MakeMusic</w:t>
      </w:r>
      <w:proofErr w:type="spellEnd"/>
      <w:r>
        <w:rPr>
          <w:color w:val="000000"/>
          <w:sz w:val="20"/>
          <w:szCs w:val="20"/>
        </w:rPr>
        <w:t xml:space="preserve"> customer support department. </w:t>
      </w:r>
    </w:p>
    <w:p w:rsidR="006844FE" w:rsidRDefault="006844FE" w:rsidP="006844FE">
      <w:pPr>
        <w:rPr>
          <w:i/>
          <w:color w:val="000000"/>
          <w:sz w:val="20"/>
          <w:szCs w:val="20"/>
        </w:rPr>
      </w:pPr>
      <w:proofErr w:type="spellStart"/>
      <w:r>
        <w:rPr>
          <w:i/>
          <w:color w:val="000000"/>
          <w:sz w:val="20"/>
          <w:szCs w:val="20"/>
        </w:rPr>
        <w:t>SmartMusic</w:t>
      </w:r>
      <w:proofErr w:type="spellEnd"/>
      <w:r>
        <w:rPr>
          <w:i/>
          <w:color w:val="000000"/>
          <w:sz w:val="20"/>
          <w:szCs w:val="20"/>
        </w:rPr>
        <w:t xml:space="preserve"> Competition</w:t>
      </w:r>
    </w:p>
    <w:p w:rsidR="006844FE" w:rsidRDefault="006844FE" w:rsidP="006844FE">
      <w:pPr>
        <w:rPr>
          <w:i/>
          <w:color w:val="000000"/>
          <w:sz w:val="20"/>
          <w:szCs w:val="20"/>
        </w:rPr>
      </w:pPr>
    </w:p>
    <w:p w:rsidR="006844FE" w:rsidRDefault="006844FE" w:rsidP="006844FE">
      <w:pPr>
        <w:spacing w:after="240"/>
        <w:ind w:firstLine="720"/>
        <w:rPr>
          <w:color w:val="000000"/>
          <w:sz w:val="20"/>
          <w:szCs w:val="20"/>
        </w:rPr>
      </w:pPr>
      <w:proofErr w:type="spellStart"/>
      <w:r>
        <w:rPr>
          <w:color w:val="000000"/>
          <w:sz w:val="20"/>
          <w:szCs w:val="20"/>
        </w:rPr>
        <w:t>SmartMusic</w:t>
      </w:r>
      <w:proofErr w:type="spellEnd"/>
      <w:r>
        <w:rPr>
          <w:color w:val="000000"/>
          <w:sz w:val="20"/>
          <w:szCs w:val="20"/>
        </w:rPr>
        <w:t xml:space="preserve"> is a revolutionary concept that created a new product category for teaching and learning music. As such, it entered the market with no direct competitors and no major competitors exist today. </w:t>
      </w:r>
    </w:p>
    <w:p w:rsidR="006844FE" w:rsidRDefault="006844FE" w:rsidP="006844FE">
      <w:pPr>
        <w:spacing w:after="240"/>
        <w:ind w:firstLine="720"/>
        <w:rPr>
          <w:color w:val="000000"/>
          <w:sz w:val="20"/>
          <w:szCs w:val="20"/>
        </w:rPr>
      </w:pPr>
      <w:r>
        <w:rPr>
          <w:color w:val="000000"/>
          <w:sz w:val="20"/>
          <w:szCs w:val="20"/>
        </w:rPr>
        <w:t xml:space="preserve">At this time, no competitor has a library of content comparable to </w:t>
      </w:r>
      <w:proofErr w:type="spellStart"/>
      <w:r>
        <w:rPr>
          <w:color w:val="000000"/>
          <w:sz w:val="20"/>
          <w:szCs w:val="20"/>
        </w:rPr>
        <w:t>SmartMusic</w:t>
      </w:r>
      <w:proofErr w:type="spellEnd"/>
      <w:r>
        <w:rPr>
          <w:color w:val="000000"/>
          <w:sz w:val="20"/>
          <w:szCs w:val="20"/>
        </w:rPr>
        <w:t xml:space="preserve">. Nor does any competitor have </w:t>
      </w:r>
      <w:proofErr w:type="spellStart"/>
      <w:r>
        <w:rPr>
          <w:color w:val="000000"/>
          <w:sz w:val="20"/>
          <w:szCs w:val="20"/>
        </w:rPr>
        <w:t>SmartMusic</w:t>
      </w:r>
      <w:proofErr w:type="spellEnd"/>
      <w:r>
        <w:rPr>
          <w:color w:val="000000"/>
          <w:sz w:val="20"/>
          <w:szCs w:val="20"/>
        </w:rPr>
        <w:t xml:space="preserve"> </w:t>
      </w:r>
      <w:proofErr w:type="spellStart"/>
      <w:r>
        <w:rPr>
          <w:color w:val="000000"/>
          <w:sz w:val="20"/>
          <w:szCs w:val="20"/>
        </w:rPr>
        <w:t>Gradebook</w:t>
      </w:r>
      <w:proofErr w:type="spellEnd"/>
      <w:r>
        <w:rPr>
          <w:color w:val="000000"/>
          <w:sz w:val="20"/>
          <w:szCs w:val="20"/>
        </w:rPr>
        <w:t xml:space="preserve"> functionality, the follow me feature, or the ability to utilize Finale files for user-created content. We believe these features, as well as our long-standing relationships with major industry partners, comprehensive repertoire and our competitive pricing strategies, represent significant competitive barriers, but we can make no assurances that </w:t>
      </w:r>
      <w:proofErr w:type="spellStart"/>
      <w:r>
        <w:rPr>
          <w:color w:val="000000"/>
          <w:sz w:val="20"/>
          <w:szCs w:val="20"/>
        </w:rPr>
        <w:t>SmartMusic</w:t>
      </w:r>
      <w:proofErr w:type="spellEnd"/>
      <w:r>
        <w:rPr>
          <w:color w:val="000000"/>
          <w:sz w:val="20"/>
          <w:szCs w:val="20"/>
        </w:rPr>
        <w:t xml:space="preserve"> will not face challenging competition in the future. </w:t>
      </w:r>
    </w:p>
    <w:p w:rsidR="006844FE" w:rsidRDefault="006844FE" w:rsidP="006844FE">
      <w:pPr>
        <w:spacing w:after="240"/>
        <w:rPr>
          <w:b/>
          <w:color w:val="000000"/>
          <w:sz w:val="20"/>
          <w:szCs w:val="20"/>
        </w:rPr>
      </w:pPr>
      <w:r>
        <w:rPr>
          <w:b/>
          <w:color w:val="000000"/>
          <w:sz w:val="20"/>
          <w:szCs w:val="20"/>
        </w:rPr>
        <w:t>Finale family of notation products</w:t>
      </w:r>
    </w:p>
    <w:p w:rsidR="006844FE" w:rsidRDefault="006844FE" w:rsidP="006844FE">
      <w:pPr>
        <w:spacing w:after="240"/>
        <w:ind w:firstLine="720"/>
        <w:rPr>
          <w:color w:val="000000"/>
          <w:sz w:val="20"/>
          <w:szCs w:val="20"/>
        </w:rPr>
      </w:pPr>
      <w:r>
        <w:rPr>
          <w:color w:val="000000"/>
          <w:sz w:val="20"/>
          <w:szCs w:val="20"/>
        </w:rPr>
        <w:t>We are a market leader in music notation software with our Finale family of products for use with Macintosh</w:t>
      </w:r>
      <w:r>
        <w:rPr>
          <w:color w:val="000000"/>
          <w:sz w:val="20"/>
          <w:szCs w:val="20"/>
          <w:vertAlign w:val="superscript"/>
        </w:rPr>
        <w:t>®</w:t>
      </w:r>
      <w:r>
        <w:rPr>
          <w:color w:val="000000"/>
          <w:sz w:val="20"/>
          <w:szCs w:val="20"/>
        </w:rPr>
        <w:t xml:space="preserve"> and Windows</w:t>
      </w:r>
      <w:r>
        <w:rPr>
          <w:color w:val="000000"/>
          <w:sz w:val="20"/>
          <w:szCs w:val="20"/>
          <w:vertAlign w:val="superscript"/>
        </w:rPr>
        <w:t xml:space="preserve">® </w:t>
      </w:r>
      <w:r>
        <w:rPr>
          <w:color w:val="000000"/>
          <w:sz w:val="20"/>
          <w:szCs w:val="20"/>
        </w:rPr>
        <w:t xml:space="preserve">PC operating systems. Music notation software enables a musician to enter musical data into a computer using either the computer </w:t>
      </w:r>
      <w:proofErr w:type="gramStart"/>
      <w:r>
        <w:rPr>
          <w:color w:val="000000"/>
          <w:sz w:val="20"/>
          <w:szCs w:val="20"/>
        </w:rPr>
        <w:t>keyboard,</w:t>
      </w:r>
      <w:proofErr w:type="gramEnd"/>
      <w:r>
        <w:rPr>
          <w:color w:val="000000"/>
          <w:sz w:val="20"/>
          <w:szCs w:val="20"/>
        </w:rPr>
        <w:t xml:space="preserve"> a MIDI- (Musical Instrument Digital Interface) equipped electronic music keyboard or other MIDI-equipped instruments and contemporaneously display the data on a computer screen as a musical score. We are one of the dominant methods for composers, arrangers, publishers and </w:t>
      </w:r>
      <w:r>
        <w:rPr>
          <w:color w:val="000000"/>
          <w:sz w:val="20"/>
          <w:szCs w:val="20"/>
        </w:rPr>
        <w:lastRenderedPageBreak/>
        <w:t>music teachers to create printed music. With the growth in portable computer display technologies, Finale also makes it possible for customers to share digital scores for review and performance.</w:t>
      </w:r>
    </w:p>
    <w:p w:rsidR="006844FE" w:rsidRDefault="006844FE" w:rsidP="006844FE">
      <w:pPr>
        <w:spacing w:after="240"/>
        <w:ind w:firstLine="720"/>
        <w:rPr>
          <w:color w:val="000000"/>
          <w:sz w:val="20"/>
          <w:szCs w:val="20"/>
        </w:rPr>
      </w:pPr>
      <w:r>
        <w:rPr>
          <w:color w:val="000000"/>
          <w:sz w:val="20"/>
          <w:szCs w:val="20"/>
        </w:rPr>
        <w:t>The Finale product is a powerful and comprehensive notation software product which is sold worldwide. Finale music notation software has a suggested retail price of $600. Finale software is differentiated from other music notation software by its breadth and depth of features and the highest quality printing required for professional use, customizable music education worksheets and inclusion of world class sounds.</w:t>
      </w:r>
    </w:p>
    <w:p w:rsidR="006844FE" w:rsidRDefault="006844FE" w:rsidP="006844FE">
      <w:pPr>
        <w:spacing w:after="240"/>
        <w:ind w:firstLine="720"/>
        <w:rPr>
          <w:color w:val="000000"/>
          <w:sz w:val="20"/>
          <w:szCs w:val="20"/>
        </w:rPr>
      </w:pPr>
      <w:r>
        <w:rPr>
          <w:color w:val="000000"/>
          <w:sz w:val="20"/>
          <w:szCs w:val="20"/>
        </w:rPr>
        <w:t>We also produce an Academic/Theological Edition of the Finale product that is sold exclusively to schools, teachers, college students and religious organizations at a suggested retail price of $350. This edition has been a key source of revenue and registered user-base growth. In addition, it reaches a market that is continuously replenished with new student users.</w:t>
      </w:r>
    </w:p>
    <w:p w:rsidR="006844FE" w:rsidRDefault="006844FE" w:rsidP="006844FE">
      <w:pPr>
        <w:spacing w:after="240"/>
        <w:ind w:firstLine="720"/>
        <w:rPr>
          <w:color w:val="000000"/>
          <w:sz w:val="20"/>
          <w:szCs w:val="20"/>
        </w:rPr>
      </w:pPr>
      <w:r>
        <w:rPr>
          <w:color w:val="000000"/>
          <w:sz w:val="20"/>
          <w:szCs w:val="20"/>
        </w:rPr>
        <w:t>The Finale product is currently translated into German, French, Italian, Swedish and Japanese. All transactions with our international customers are completed in US currency.</w:t>
      </w:r>
    </w:p>
    <w:p w:rsidR="006844FE" w:rsidRDefault="006844FE" w:rsidP="006844FE">
      <w:pPr>
        <w:spacing w:after="240"/>
        <w:ind w:firstLine="720"/>
        <w:rPr>
          <w:color w:val="000000"/>
          <w:sz w:val="20"/>
          <w:szCs w:val="20"/>
        </w:rPr>
      </w:pPr>
      <w:r>
        <w:rPr>
          <w:color w:val="000000"/>
          <w:sz w:val="20"/>
          <w:szCs w:val="20"/>
        </w:rPr>
        <w:t xml:space="preserve">Finale </w:t>
      </w:r>
      <w:proofErr w:type="spellStart"/>
      <w:r>
        <w:rPr>
          <w:color w:val="000000"/>
          <w:sz w:val="20"/>
          <w:szCs w:val="20"/>
        </w:rPr>
        <w:t>PrintMusic</w:t>
      </w:r>
      <w:proofErr w:type="spellEnd"/>
      <w:r>
        <w:rPr>
          <w:color w:val="000000"/>
          <w:sz w:val="20"/>
          <w:szCs w:val="20"/>
          <w:vertAlign w:val="superscript"/>
        </w:rPr>
        <w:t>®</w:t>
      </w:r>
      <w:r>
        <w:rPr>
          <w:color w:val="000000"/>
          <w:sz w:val="20"/>
          <w:szCs w:val="20"/>
        </w:rPr>
        <w:t xml:space="preserve"> and Finale </w:t>
      </w:r>
      <w:proofErr w:type="spellStart"/>
      <w:r>
        <w:rPr>
          <w:color w:val="000000"/>
          <w:sz w:val="20"/>
          <w:szCs w:val="20"/>
        </w:rPr>
        <w:t>SongWriter</w:t>
      </w:r>
      <w:proofErr w:type="spellEnd"/>
      <w:r>
        <w:rPr>
          <w:color w:val="000000"/>
          <w:sz w:val="20"/>
          <w:szCs w:val="20"/>
          <w:vertAlign w:val="superscript"/>
        </w:rPr>
        <w:t>®</w:t>
      </w:r>
      <w:r>
        <w:rPr>
          <w:color w:val="000000"/>
          <w:sz w:val="20"/>
          <w:szCs w:val="20"/>
        </w:rPr>
        <w:t xml:space="preserve"> are entry-level music notation software products, retailing for $119.95 and $49.95, respectively. Each contains a subset of the notation tools contained in the Finale product. These products allow us to offer entry-level products to the retail customer, thereby expanding the base of registered users and increasing the potential for sales of notation software upgrades. These products are targeted to a broad audience in the education and general consumer marketplace. They are both available th</w:t>
      </w:r>
      <w:r w:rsidR="0065111F">
        <w:rPr>
          <w:color w:val="000000"/>
          <w:sz w:val="20"/>
          <w:szCs w:val="20"/>
        </w:rPr>
        <w:t>r</w:t>
      </w:r>
      <w:r>
        <w:rPr>
          <w:color w:val="000000"/>
          <w:sz w:val="20"/>
          <w:szCs w:val="20"/>
        </w:rPr>
        <w:t xml:space="preserve">ough our reseller network as well via download directly from </w:t>
      </w:r>
      <w:proofErr w:type="spellStart"/>
      <w:r>
        <w:rPr>
          <w:color w:val="000000"/>
          <w:sz w:val="20"/>
          <w:szCs w:val="20"/>
        </w:rPr>
        <w:t>MakeMusic</w:t>
      </w:r>
      <w:proofErr w:type="spellEnd"/>
      <w:r>
        <w:rPr>
          <w:color w:val="000000"/>
          <w:sz w:val="20"/>
          <w:szCs w:val="20"/>
        </w:rPr>
        <w:t>. In addition they are also sold internationally and available in German, French, Dutch, Italian and Japanese.</w:t>
      </w:r>
    </w:p>
    <w:p w:rsidR="006844FE" w:rsidRDefault="006844FE" w:rsidP="006844FE">
      <w:pPr>
        <w:pStyle w:val="NormalWeb"/>
        <w:ind w:firstLine="720"/>
        <w:rPr>
          <w:sz w:val="20"/>
          <w:szCs w:val="20"/>
        </w:rPr>
      </w:pPr>
      <w:r>
        <w:rPr>
          <w:color w:val="000000"/>
          <w:sz w:val="20"/>
          <w:szCs w:val="20"/>
        </w:rPr>
        <w:t xml:space="preserve">Finale </w:t>
      </w:r>
      <w:proofErr w:type="spellStart"/>
      <w:r>
        <w:rPr>
          <w:color w:val="000000"/>
          <w:sz w:val="20"/>
          <w:szCs w:val="20"/>
        </w:rPr>
        <w:t>NotePad</w:t>
      </w:r>
      <w:proofErr w:type="spellEnd"/>
      <w:r>
        <w:rPr>
          <w:color w:val="000000"/>
          <w:sz w:val="20"/>
          <w:szCs w:val="20"/>
          <w:vertAlign w:val="superscript"/>
        </w:rPr>
        <w:t>®</w:t>
      </w:r>
      <w:r>
        <w:rPr>
          <w:color w:val="000000"/>
          <w:sz w:val="20"/>
          <w:szCs w:val="20"/>
        </w:rPr>
        <w:t xml:space="preserve"> is sold as an introduction to the Finale notation family and provides a quick and easy method to transform musical ideas into printed music. Finale </w:t>
      </w:r>
      <w:proofErr w:type="spellStart"/>
      <w:r>
        <w:rPr>
          <w:color w:val="000000"/>
          <w:sz w:val="20"/>
          <w:szCs w:val="20"/>
        </w:rPr>
        <w:t>NotePad</w:t>
      </w:r>
      <w:proofErr w:type="spellEnd"/>
      <w:r>
        <w:rPr>
          <w:color w:val="000000"/>
          <w:sz w:val="20"/>
          <w:szCs w:val="20"/>
        </w:rPr>
        <w:t xml:space="preserve"> was available via download for $9.95 in 2011, but beginning on February 15, 2012, it is free of charge. Finale Reader</w:t>
      </w:r>
      <w:r>
        <w:rPr>
          <w:color w:val="000000"/>
          <w:sz w:val="20"/>
          <w:szCs w:val="20"/>
          <w:vertAlign w:val="superscript"/>
        </w:rPr>
        <w:t xml:space="preserve">™ </w:t>
      </w:r>
      <w:r>
        <w:rPr>
          <w:color w:val="000000"/>
          <w:sz w:val="20"/>
          <w:szCs w:val="20"/>
        </w:rPr>
        <w:t>was introduced in 2008 and is a free download to view, play and print Finale files.</w:t>
      </w:r>
      <w:r>
        <w:rPr>
          <w:rFonts w:ascii="Verdana" w:hAnsi="Verdana"/>
          <w:sz w:val="17"/>
          <w:szCs w:val="17"/>
        </w:rPr>
        <w:t xml:space="preserve"> </w:t>
      </w:r>
    </w:p>
    <w:p w:rsidR="006844FE" w:rsidRDefault="006844FE" w:rsidP="006844FE">
      <w:pPr>
        <w:rPr>
          <w:i/>
          <w:color w:val="000000"/>
          <w:sz w:val="20"/>
          <w:szCs w:val="20"/>
        </w:rPr>
      </w:pPr>
      <w:r>
        <w:rPr>
          <w:i/>
          <w:color w:val="000000"/>
          <w:sz w:val="20"/>
          <w:szCs w:val="20"/>
        </w:rPr>
        <w:t>Finale Sales and Marketing</w:t>
      </w:r>
    </w:p>
    <w:p w:rsidR="006844FE" w:rsidRDefault="006844FE" w:rsidP="006844FE">
      <w:pPr>
        <w:rPr>
          <w:i/>
          <w:color w:val="000000"/>
          <w:sz w:val="20"/>
          <w:szCs w:val="20"/>
        </w:rPr>
      </w:pPr>
    </w:p>
    <w:p w:rsidR="006844FE" w:rsidRDefault="006844FE" w:rsidP="006844FE">
      <w:pPr>
        <w:spacing w:after="240"/>
        <w:ind w:firstLine="720"/>
        <w:rPr>
          <w:color w:val="000000"/>
          <w:sz w:val="20"/>
          <w:szCs w:val="20"/>
        </w:rPr>
      </w:pPr>
      <w:r>
        <w:rPr>
          <w:color w:val="000000"/>
          <w:sz w:val="20"/>
          <w:szCs w:val="20"/>
        </w:rPr>
        <w:t>As of December 31, 2011, Finale notation products were sold through approximately 50 distributors serving countries world-wide. In the United States and Canada, the Finale family of notation products is sold by channel-specific distributors and retailers in the musical instrument, educational and consumer electronic channels, as well as directly from our website. Our products are merchandised through a combination of websites, catalogs and in-store displays. We support these efforts with a modest co-op advertising program. We have a domestic distribution agreement with Hal Leonard Corporation, the largest music publisher in the world, to provide our products to U.S. and Canadian musical instrument and print music retailers. Additionally, Finale 2012 was offered for sale via download from our website in 2011.</w:t>
      </w:r>
    </w:p>
    <w:p w:rsidR="006844FE" w:rsidRDefault="006844FE" w:rsidP="006844FE">
      <w:pPr>
        <w:spacing w:after="240"/>
        <w:ind w:firstLine="720"/>
        <w:rPr>
          <w:color w:val="000000"/>
          <w:sz w:val="20"/>
          <w:szCs w:val="20"/>
        </w:rPr>
      </w:pPr>
      <w:r>
        <w:rPr>
          <w:color w:val="000000"/>
          <w:sz w:val="20"/>
          <w:szCs w:val="20"/>
        </w:rPr>
        <w:t xml:space="preserve">Upgrades and trade-ups are marketed and sold exclusively by </w:t>
      </w:r>
      <w:proofErr w:type="spellStart"/>
      <w:r>
        <w:rPr>
          <w:color w:val="000000"/>
          <w:sz w:val="20"/>
          <w:szCs w:val="20"/>
        </w:rPr>
        <w:t>MakeMusic</w:t>
      </w:r>
      <w:proofErr w:type="spellEnd"/>
      <w:r>
        <w:rPr>
          <w:color w:val="000000"/>
          <w:sz w:val="20"/>
          <w:szCs w:val="20"/>
        </w:rPr>
        <w:t xml:space="preserve"> in North America. </w:t>
      </w:r>
      <w:proofErr w:type="spellStart"/>
      <w:r>
        <w:rPr>
          <w:color w:val="000000"/>
          <w:sz w:val="20"/>
          <w:szCs w:val="20"/>
        </w:rPr>
        <w:t>MakeMusic</w:t>
      </w:r>
      <w:proofErr w:type="spellEnd"/>
      <w:r>
        <w:rPr>
          <w:color w:val="000000"/>
          <w:sz w:val="20"/>
          <w:szCs w:val="20"/>
        </w:rPr>
        <w:t xml:space="preserve"> requires all notation products sold in North America to be registered and we regularly market upgrades and trade-ups to the registered user database. Each campaign is evaluated based on the return on investment and against original projections. All Finale products operate on both the Windows and Macintosh platforms. </w:t>
      </w:r>
    </w:p>
    <w:p w:rsidR="006844FE" w:rsidRDefault="006844FE" w:rsidP="006844FE">
      <w:pPr>
        <w:spacing w:after="240"/>
        <w:ind w:firstLine="720"/>
        <w:rPr>
          <w:color w:val="000000"/>
          <w:sz w:val="20"/>
          <w:szCs w:val="20"/>
        </w:rPr>
      </w:pPr>
      <w:r>
        <w:rPr>
          <w:color w:val="000000"/>
          <w:sz w:val="20"/>
          <w:szCs w:val="20"/>
        </w:rPr>
        <w:t xml:space="preserve">Internationally, Finale notation products are represented by key distributors in many overseas territories. Finale is translated into German, French, Japanese, Swedish and Italian. </w:t>
      </w:r>
      <w:proofErr w:type="spellStart"/>
      <w:r>
        <w:rPr>
          <w:color w:val="000000"/>
          <w:sz w:val="20"/>
          <w:szCs w:val="20"/>
        </w:rPr>
        <w:t>MakeMusic</w:t>
      </w:r>
      <w:proofErr w:type="spellEnd"/>
      <w:r>
        <w:rPr>
          <w:color w:val="000000"/>
          <w:sz w:val="20"/>
          <w:szCs w:val="20"/>
        </w:rPr>
        <w:t xml:space="preserve"> markets a variety of Finale notation education offerings to schools, students and other qualified institutions including the Finale Academic edition, the Finale lab pack and the Finale site license. The Finale lab pack and Finale site license provide educational discounts for volume purchases. Education sales have steadily increased, although the mix is shifting towards site licenses indicating wider acceptance and use of Finale notation software</w:t>
      </w:r>
    </w:p>
    <w:p w:rsidR="006844FE" w:rsidRDefault="006844FE" w:rsidP="006844FE">
      <w:pPr>
        <w:spacing w:after="240"/>
        <w:ind w:firstLine="720"/>
        <w:rPr>
          <w:color w:val="000000"/>
          <w:sz w:val="20"/>
          <w:szCs w:val="20"/>
        </w:rPr>
      </w:pPr>
      <w:r>
        <w:rPr>
          <w:color w:val="000000"/>
          <w:sz w:val="20"/>
          <w:szCs w:val="20"/>
        </w:rPr>
        <w:t xml:space="preserve">Customers can also utilize Finale software to create accompaniments for use with </w:t>
      </w:r>
      <w:proofErr w:type="spellStart"/>
      <w:r>
        <w:rPr>
          <w:color w:val="000000"/>
          <w:sz w:val="20"/>
          <w:szCs w:val="20"/>
        </w:rPr>
        <w:t>SmartMusic</w:t>
      </w:r>
      <w:proofErr w:type="spellEnd"/>
      <w:r>
        <w:rPr>
          <w:color w:val="000000"/>
          <w:sz w:val="20"/>
          <w:szCs w:val="20"/>
        </w:rPr>
        <w:t xml:space="preserve">. A Finale file is saved as a </w:t>
      </w:r>
      <w:proofErr w:type="spellStart"/>
      <w:r>
        <w:rPr>
          <w:color w:val="000000"/>
          <w:sz w:val="20"/>
          <w:szCs w:val="20"/>
        </w:rPr>
        <w:t>SmartMusic</w:t>
      </w:r>
      <w:proofErr w:type="spellEnd"/>
      <w:r>
        <w:rPr>
          <w:color w:val="000000"/>
          <w:sz w:val="20"/>
          <w:szCs w:val="20"/>
        </w:rPr>
        <w:t xml:space="preserve"> accompaniment and becomes part of the </w:t>
      </w:r>
      <w:proofErr w:type="spellStart"/>
      <w:r>
        <w:rPr>
          <w:color w:val="000000"/>
          <w:sz w:val="20"/>
          <w:szCs w:val="20"/>
        </w:rPr>
        <w:t>SmartMusic</w:t>
      </w:r>
      <w:proofErr w:type="spellEnd"/>
      <w:r>
        <w:rPr>
          <w:color w:val="000000"/>
          <w:sz w:val="20"/>
          <w:szCs w:val="20"/>
        </w:rPr>
        <w:t xml:space="preserve"> solution. This interplay provides </w:t>
      </w:r>
      <w:proofErr w:type="spellStart"/>
      <w:r>
        <w:rPr>
          <w:color w:val="000000"/>
          <w:sz w:val="20"/>
          <w:szCs w:val="20"/>
        </w:rPr>
        <w:lastRenderedPageBreak/>
        <w:t>MakeMusic</w:t>
      </w:r>
      <w:proofErr w:type="spellEnd"/>
      <w:r>
        <w:rPr>
          <w:color w:val="000000"/>
          <w:sz w:val="20"/>
          <w:szCs w:val="20"/>
        </w:rPr>
        <w:t xml:space="preserve"> with cross-marketing opportunities between Finale and </w:t>
      </w:r>
      <w:proofErr w:type="spellStart"/>
      <w:r>
        <w:rPr>
          <w:color w:val="000000"/>
          <w:sz w:val="20"/>
          <w:szCs w:val="20"/>
        </w:rPr>
        <w:t>SmartMusic</w:t>
      </w:r>
      <w:proofErr w:type="spellEnd"/>
      <w:r>
        <w:rPr>
          <w:color w:val="000000"/>
          <w:sz w:val="20"/>
          <w:szCs w:val="20"/>
        </w:rPr>
        <w:t xml:space="preserve"> users and products and also provides a unique differentiator in the marketplace.</w:t>
      </w:r>
    </w:p>
    <w:p w:rsidR="006844FE" w:rsidRDefault="006844FE" w:rsidP="006844FE">
      <w:pPr>
        <w:spacing w:after="240"/>
        <w:ind w:firstLine="720"/>
        <w:rPr>
          <w:color w:val="000000"/>
          <w:sz w:val="20"/>
          <w:szCs w:val="20"/>
        </w:rPr>
      </w:pPr>
      <w:r>
        <w:rPr>
          <w:color w:val="000000"/>
          <w:sz w:val="20"/>
          <w:szCs w:val="20"/>
        </w:rPr>
        <w:t xml:space="preserve">As more products are increasingly purchased on-line and software specifically is increasingly downloaded, or in the case of mobile devices, downloaded only, we expect to see a continued shift towards direct downloaded notation sales and lower sales through our distribution channel.  In 2011, we began to make significant investments in modernizing our Finale engine, which drives all the Finale notation products and the </w:t>
      </w:r>
      <w:proofErr w:type="spellStart"/>
      <w:r>
        <w:rPr>
          <w:color w:val="000000"/>
          <w:sz w:val="20"/>
          <w:szCs w:val="20"/>
        </w:rPr>
        <w:t>SmartMusic</w:t>
      </w:r>
      <w:proofErr w:type="spellEnd"/>
      <w:r>
        <w:rPr>
          <w:color w:val="000000"/>
          <w:sz w:val="20"/>
          <w:szCs w:val="20"/>
        </w:rPr>
        <w:t xml:space="preserve"> product. We also intend to invest in improving user experience, as standards of expectation of the interface have become well established. These investments are required to leverage the capabilities of newer operating systems and the devices and delivery that customers expect to be able to use with software. We believe that continued investments in our Finale engine and user experience will ensure the long-term health and viability of our business. </w:t>
      </w:r>
    </w:p>
    <w:p w:rsidR="006844FE" w:rsidRDefault="006844FE" w:rsidP="006844FE">
      <w:pPr>
        <w:rPr>
          <w:i/>
          <w:color w:val="000000"/>
          <w:sz w:val="20"/>
          <w:szCs w:val="20"/>
        </w:rPr>
      </w:pPr>
      <w:r>
        <w:rPr>
          <w:i/>
          <w:color w:val="000000"/>
          <w:sz w:val="20"/>
          <w:szCs w:val="20"/>
        </w:rPr>
        <w:t>Finale Competition</w:t>
      </w:r>
    </w:p>
    <w:p w:rsidR="006844FE" w:rsidRDefault="006844FE" w:rsidP="006844FE">
      <w:pPr>
        <w:rPr>
          <w:i/>
          <w:color w:val="000000"/>
          <w:sz w:val="20"/>
          <w:szCs w:val="20"/>
        </w:rPr>
      </w:pPr>
    </w:p>
    <w:p w:rsidR="006844FE" w:rsidRDefault="006844FE" w:rsidP="006844FE">
      <w:pPr>
        <w:keepNext/>
        <w:spacing w:after="240"/>
        <w:ind w:firstLine="720"/>
        <w:rPr>
          <w:color w:val="000000"/>
          <w:sz w:val="20"/>
          <w:szCs w:val="20"/>
        </w:rPr>
      </w:pPr>
      <w:r>
        <w:rPr>
          <w:color w:val="000000"/>
          <w:sz w:val="20"/>
          <w:szCs w:val="20"/>
        </w:rPr>
        <w:t xml:space="preserve">The notation market is highly competitive and includes competitors such as, Avid/Sibelius Software, NOTION Music, Inc., </w:t>
      </w:r>
      <w:proofErr w:type="spellStart"/>
      <w:r>
        <w:rPr>
          <w:color w:val="000000"/>
          <w:sz w:val="20"/>
          <w:szCs w:val="20"/>
        </w:rPr>
        <w:t>Gvox</w:t>
      </w:r>
      <w:proofErr w:type="spellEnd"/>
      <w:r>
        <w:rPr>
          <w:color w:val="000000"/>
          <w:sz w:val="20"/>
          <w:szCs w:val="20"/>
        </w:rPr>
        <w:t xml:space="preserve">/Encore, </w:t>
      </w:r>
      <w:proofErr w:type="spellStart"/>
      <w:r>
        <w:rPr>
          <w:color w:val="000000"/>
          <w:sz w:val="20"/>
          <w:szCs w:val="20"/>
        </w:rPr>
        <w:t>MusScore</w:t>
      </w:r>
      <w:proofErr w:type="spellEnd"/>
      <w:r>
        <w:rPr>
          <w:color w:val="000000"/>
          <w:sz w:val="20"/>
          <w:szCs w:val="20"/>
        </w:rPr>
        <w:t xml:space="preserve">, </w:t>
      </w:r>
      <w:proofErr w:type="spellStart"/>
      <w:r>
        <w:rPr>
          <w:color w:val="000000"/>
          <w:sz w:val="20"/>
          <w:szCs w:val="20"/>
        </w:rPr>
        <w:t>Noteflight</w:t>
      </w:r>
      <w:proofErr w:type="spellEnd"/>
      <w:r>
        <w:rPr>
          <w:color w:val="000000"/>
          <w:sz w:val="20"/>
          <w:szCs w:val="20"/>
        </w:rPr>
        <w:t xml:space="preserve"> and </w:t>
      </w:r>
      <w:proofErr w:type="spellStart"/>
      <w:r>
        <w:rPr>
          <w:color w:val="000000"/>
          <w:sz w:val="20"/>
          <w:szCs w:val="20"/>
        </w:rPr>
        <w:t>Capella</w:t>
      </w:r>
      <w:proofErr w:type="spellEnd"/>
      <w:r>
        <w:rPr>
          <w:color w:val="000000"/>
          <w:sz w:val="20"/>
          <w:szCs w:val="20"/>
        </w:rPr>
        <w:t xml:space="preserve"> Software. Competitive factors in marketing Finale products include product features, quality, </w:t>
      </w:r>
      <w:proofErr w:type="gramStart"/>
      <w:r>
        <w:rPr>
          <w:color w:val="000000"/>
          <w:sz w:val="20"/>
          <w:szCs w:val="20"/>
        </w:rPr>
        <w:t>brand</w:t>
      </w:r>
      <w:proofErr w:type="gramEnd"/>
      <w:r>
        <w:rPr>
          <w:color w:val="000000"/>
          <w:sz w:val="20"/>
          <w:szCs w:val="20"/>
        </w:rPr>
        <w:t xml:space="preserve"> recognition, ease of use, customer support, merchandising, distribution channels, retail shelf space and price. We believe we compete effectively through regular upgrades and marketing initiatives and continue to maintain dominant market share. </w:t>
      </w:r>
    </w:p>
    <w:p w:rsidR="006844FE" w:rsidRDefault="006844FE" w:rsidP="006844FE">
      <w:pPr>
        <w:keepNext/>
        <w:spacing w:after="240"/>
        <w:rPr>
          <w:b/>
          <w:bCs/>
          <w:color w:val="000000"/>
          <w:sz w:val="20"/>
          <w:szCs w:val="20"/>
        </w:rPr>
      </w:pPr>
      <w:r>
        <w:rPr>
          <w:b/>
          <w:bCs/>
          <w:color w:val="000000"/>
          <w:sz w:val="20"/>
          <w:szCs w:val="20"/>
        </w:rPr>
        <w:t xml:space="preserve">Synergies between </w:t>
      </w:r>
      <w:proofErr w:type="spellStart"/>
      <w:r>
        <w:rPr>
          <w:b/>
          <w:bCs/>
          <w:color w:val="000000"/>
          <w:sz w:val="20"/>
          <w:szCs w:val="20"/>
        </w:rPr>
        <w:t>SmartMusic</w:t>
      </w:r>
      <w:proofErr w:type="spellEnd"/>
      <w:r>
        <w:rPr>
          <w:b/>
          <w:bCs/>
          <w:color w:val="000000"/>
          <w:sz w:val="20"/>
          <w:szCs w:val="20"/>
        </w:rPr>
        <w:t xml:space="preserve"> and Finale products</w:t>
      </w:r>
    </w:p>
    <w:p w:rsidR="006844FE" w:rsidRDefault="006844FE" w:rsidP="006844FE">
      <w:pPr>
        <w:spacing w:after="240"/>
        <w:ind w:firstLine="720"/>
        <w:rPr>
          <w:color w:val="000000"/>
          <w:sz w:val="20"/>
          <w:szCs w:val="20"/>
        </w:rPr>
      </w:pPr>
      <w:r>
        <w:rPr>
          <w:color w:val="000000"/>
          <w:sz w:val="20"/>
          <w:szCs w:val="20"/>
        </w:rPr>
        <w:t xml:space="preserve">From a technology perspective, there are considerable synergies between the </w:t>
      </w:r>
      <w:proofErr w:type="spellStart"/>
      <w:r>
        <w:rPr>
          <w:color w:val="000000"/>
          <w:sz w:val="20"/>
          <w:szCs w:val="20"/>
        </w:rPr>
        <w:t>SmartMusic</w:t>
      </w:r>
      <w:proofErr w:type="spellEnd"/>
      <w:r>
        <w:rPr>
          <w:color w:val="000000"/>
          <w:sz w:val="20"/>
          <w:szCs w:val="20"/>
        </w:rPr>
        <w:t xml:space="preserve"> business and the Finale notation business because the products benefit from shared technologies. The Finale notation technology, for example, is used within </w:t>
      </w:r>
      <w:proofErr w:type="spellStart"/>
      <w:r>
        <w:rPr>
          <w:color w:val="000000"/>
          <w:sz w:val="20"/>
          <w:szCs w:val="20"/>
        </w:rPr>
        <w:t>SmartMusic</w:t>
      </w:r>
      <w:proofErr w:type="spellEnd"/>
      <w:r>
        <w:rPr>
          <w:color w:val="000000"/>
          <w:sz w:val="20"/>
          <w:szCs w:val="20"/>
        </w:rPr>
        <w:t xml:space="preserve"> to display, among other things, sheet music, exercises and beginning band method songs. It is this technology that puts red and green notes on the screen to show </w:t>
      </w:r>
      <w:proofErr w:type="spellStart"/>
      <w:r>
        <w:rPr>
          <w:color w:val="000000"/>
          <w:sz w:val="20"/>
          <w:szCs w:val="20"/>
        </w:rPr>
        <w:t>SmartMusic</w:t>
      </w:r>
      <w:proofErr w:type="spellEnd"/>
      <w:r>
        <w:rPr>
          <w:color w:val="000000"/>
          <w:sz w:val="20"/>
          <w:szCs w:val="20"/>
        </w:rPr>
        <w:t xml:space="preserve"> students what they played incorrectly and how to correct their mistakes. The synergistic integration between </w:t>
      </w:r>
      <w:proofErr w:type="spellStart"/>
      <w:r>
        <w:rPr>
          <w:color w:val="000000"/>
          <w:sz w:val="20"/>
          <w:szCs w:val="20"/>
        </w:rPr>
        <w:t>SmartMusic</w:t>
      </w:r>
      <w:proofErr w:type="spellEnd"/>
      <w:r>
        <w:rPr>
          <w:color w:val="000000"/>
          <w:sz w:val="20"/>
          <w:szCs w:val="20"/>
        </w:rPr>
        <w:t xml:space="preserve"> and Finale notation products represents a differentiator for our notation products and provides a barrier to entry into the marketplace. Likewise, the ability to create </w:t>
      </w:r>
      <w:proofErr w:type="spellStart"/>
      <w:r>
        <w:rPr>
          <w:color w:val="000000"/>
          <w:sz w:val="20"/>
          <w:szCs w:val="20"/>
        </w:rPr>
        <w:t>SmartMusic</w:t>
      </w:r>
      <w:proofErr w:type="spellEnd"/>
      <w:r>
        <w:rPr>
          <w:color w:val="000000"/>
          <w:sz w:val="20"/>
          <w:szCs w:val="20"/>
        </w:rPr>
        <w:t xml:space="preserve"> repertoire using the Finale product is a major benefit for </w:t>
      </w:r>
      <w:proofErr w:type="spellStart"/>
      <w:r>
        <w:rPr>
          <w:color w:val="000000"/>
          <w:sz w:val="20"/>
          <w:szCs w:val="20"/>
        </w:rPr>
        <w:t>SmartMusic</w:t>
      </w:r>
      <w:proofErr w:type="spellEnd"/>
      <w:r>
        <w:rPr>
          <w:color w:val="000000"/>
          <w:sz w:val="20"/>
          <w:szCs w:val="20"/>
        </w:rPr>
        <w:t xml:space="preserve"> customers.</w:t>
      </w:r>
    </w:p>
    <w:p w:rsidR="006844FE" w:rsidRDefault="006844FE" w:rsidP="006844FE">
      <w:pPr>
        <w:keepNext/>
        <w:spacing w:after="240"/>
        <w:rPr>
          <w:b/>
          <w:bCs/>
          <w:color w:val="000000"/>
          <w:sz w:val="20"/>
          <w:szCs w:val="20"/>
        </w:rPr>
      </w:pPr>
      <w:r>
        <w:rPr>
          <w:b/>
          <w:bCs/>
          <w:color w:val="000000"/>
          <w:sz w:val="20"/>
          <w:szCs w:val="20"/>
        </w:rPr>
        <w:t>General Information</w:t>
      </w:r>
    </w:p>
    <w:p w:rsidR="006844FE" w:rsidRDefault="006844FE" w:rsidP="006844FE">
      <w:pPr>
        <w:rPr>
          <w:i/>
          <w:color w:val="000000"/>
          <w:sz w:val="20"/>
          <w:szCs w:val="20"/>
        </w:rPr>
      </w:pPr>
      <w:r>
        <w:rPr>
          <w:i/>
          <w:color w:val="000000"/>
          <w:sz w:val="20"/>
          <w:szCs w:val="20"/>
        </w:rPr>
        <w:t>Customer Support</w:t>
      </w:r>
    </w:p>
    <w:p w:rsidR="006844FE" w:rsidRDefault="006844FE" w:rsidP="006844FE">
      <w:pPr>
        <w:rPr>
          <w:i/>
          <w:color w:val="000000"/>
          <w:sz w:val="20"/>
          <w:szCs w:val="20"/>
        </w:rPr>
      </w:pPr>
    </w:p>
    <w:p w:rsidR="006844FE" w:rsidRDefault="006844FE" w:rsidP="006844FE">
      <w:pPr>
        <w:spacing w:after="240"/>
        <w:ind w:firstLine="720"/>
        <w:rPr>
          <w:sz w:val="20"/>
          <w:szCs w:val="20"/>
        </w:rPr>
      </w:pPr>
      <w:r>
        <w:rPr>
          <w:sz w:val="20"/>
          <w:szCs w:val="20"/>
        </w:rPr>
        <w:t xml:space="preserve">As of December 31, 2011, customer support for all products is handled by 21 employees and as of December 31, 2010, our customer support staff totaled 22. They are supported by knowledge-based software that allows customers to ask questions on-line at </w:t>
      </w:r>
      <w:hyperlink r:id="rId11" w:history="1">
        <w:r>
          <w:rPr>
            <w:rStyle w:val="Hyperlink"/>
            <w:sz w:val="20"/>
            <w:szCs w:val="20"/>
          </w:rPr>
          <w:t>www.finalemusic.com</w:t>
        </w:r>
      </w:hyperlink>
      <w:r>
        <w:rPr>
          <w:sz w:val="20"/>
          <w:szCs w:val="20"/>
        </w:rPr>
        <w:t xml:space="preserve"> , </w:t>
      </w:r>
      <w:hyperlink r:id="rId12" w:history="1">
        <w:r>
          <w:rPr>
            <w:rStyle w:val="Hyperlink"/>
            <w:sz w:val="20"/>
            <w:szCs w:val="20"/>
          </w:rPr>
          <w:t>www.smartmusic.com</w:t>
        </w:r>
      </w:hyperlink>
      <w:r>
        <w:rPr>
          <w:sz w:val="20"/>
          <w:szCs w:val="20"/>
        </w:rPr>
        <w:t xml:space="preserve"> and </w:t>
      </w:r>
      <w:hyperlink r:id="rId13" w:history="1">
        <w:r>
          <w:rPr>
            <w:rStyle w:val="Hyperlink"/>
            <w:sz w:val="20"/>
            <w:szCs w:val="20"/>
          </w:rPr>
          <w:t>www.garritan.com</w:t>
        </w:r>
      </w:hyperlink>
      <w:r>
        <w:rPr>
          <w:sz w:val="20"/>
          <w:szCs w:val="20"/>
        </w:rPr>
        <w:t xml:space="preserve"> and then presents them with answers. As new questions are asked by customers, the database of questions and answers is expanded. This software reduces the number of contacts reaching customer support employees and thus enhances efficiency, reduces cost and provides a better experience for customers.</w:t>
      </w:r>
    </w:p>
    <w:p w:rsidR="006844FE" w:rsidRDefault="006844FE" w:rsidP="006844FE">
      <w:pPr>
        <w:rPr>
          <w:i/>
          <w:color w:val="000000"/>
          <w:sz w:val="20"/>
          <w:szCs w:val="20"/>
        </w:rPr>
      </w:pPr>
      <w:r>
        <w:rPr>
          <w:i/>
          <w:color w:val="000000"/>
          <w:sz w:val="20"/>
          <w:szCs w:val="20"/>
        </w:rPr>
        <w:t>Principal Sources and Suppliers</w:t>
      </w:r>
    </w:p>
    <w:p w:rsidR="006844FE" w:rsidRDefault="006844FE" w:rsidP="006844FE">
      <w:pPr>
        <w:rPr>
          <w:i/>
          <w:color w:val="000000"/>
          <w:sz w:val="20"/>
          <w:szCs w:val="20"/>
        </w:rPr>
      </w:pPr>
    </w:p>
    <w:p w:rsidR="006844FE" w:rsidRDefault="006844FE" w:rsidP="006844FE">
      <w:pPr>
        <w:spacing w:after="240"/>
        <w:ind w:firstLine="720"/>
        <w:rPr>
          <w:color w:val="000000"/>
          <w:sz w:val="20"/>
          <w:szCs w:val="20"/>
        </w:rPr>
      </w:pPr>
      <w:r>
        <w:rPr>
          <w:color w:val="000000"/>
          <w:sz w:val="20"/>
          <w:szCs w:val="20"/>
        </w:rPr>
        <w:t>Printing of user manuals, packaging and the manufacture of related materials are performed to our specifications by outside subcontractors. We currently use one subcontractor to perform standard copying and assembling services, including copying software DVD and CD-ROM discs and assembling the product manuals, discs and other product literature into packages. If this subcontractor is unable to perform, there are alternative vendors that we could use for this service. Our instrumental and vocal microphones are each currently provided by two separate vendors that are sole source suppliers. We believe there are alternative vendors available if our subcontractors are unable to supply microphones.</w:t>
      </w:r>
    </w:p>
    <w:p w:rsidR="006844FE" w:rsidRDefault="006844FE" w:rsidP="006844FE">
      <w:pPr>
        <w:rPr>
          <w:i/>
          <w:color w:val="000000"/>
          <w:sz w:val="20"/>
          <w:szCs w:val="20"/>
        </w:rPr>
      </w:pPr>
      <w:r>
        <w:rPr>
          <w:i/>
          <w:color w:val="000000"/>
          <w:sz w:val="20"/>
          <w:szCs w:val="20"/>
        </w:rPr>
        <w:t>Dependence on Major Customers</w:t>
      </w:r>
    </w:p>
    <w:p w:rsidR="006844FE" w:rsidRDefault="006844FE" w:rsidP="006844FE">
      <w:pPr>
        <w:rPr>
          <w:i/>
          <w:color w:val="000000"/>
          <w:sz w:val="20"/>
          <w:szCs w:val="20"/>
        </w:rPr>
      </w:pPr>
    </w:p>
    <w:p w:rsidR="006844FE" w:rsidRDefault="006844FE" w:rsidP="006844FE">
      <w:pPr>
        <w:spacing w:after="240"/>
        <w:ind w:firstLine="720"/>
        <w:rPr>
          <w:sz w:val="20"/>
          <w:szCs w:val="20"/>
        </w:rPr>
      </w:pPr>
      <w:r>
        <w:rPr>
          <w:sz w:val="20"/>
          <w:szCs w:val="20"/>
        </w:rPr>
        <w:t xml:space="preserve">As of December 31, 2011 no distributor or direct customer for either our </w:t>
      </w:r>
      <w:proofErr w:type="spellStart"/>
      <w:r>
        <w:rPr>
          <w:sz w:val="20"/>
          <w:szCs w:val="20"/>
        </w:rPr>
        <w:t>SmartMusic</w:t>
      </w:r>
      <w:proofErr w:type="spellEnd"/>
      <w:r>
        <w:rPr>
          <w:sz w:val="20"/>
          <w:szCs w:val="20"/>
        </w:rPr>
        <w:t xml:space="preserve"> or Finale products represented more than 10% of total revenue.</w:t>
      </w:r>
    </w:p>
    <w:p w:rsidR="006844FE" w:rsidRDefault="006844FE" w:rsidP="006844FE">
      <w:pPr>
        <w:rPr>
          <w:i/>
          <w:color w:val="000000"/>
          <w:sz w:val="20"/>
          <w:szCs w:val="20"/>
        </w:rPr>
      </w:pPr>
      <w:r>
        <w:rPr>
          <w:i/>
          <w:color w:val="000000"/>
          <w:sz w:val="20"/>
          <w:szCs w:val="20"/>
        </w:rPr>
        <w:lastRenderedPageBreak/>
        <w:t>Product Development</w:t>
      </w:r>
    </w:p>
    <w:p w:rsidR="006844FE" w:rsidRDefault="006844FE" w:rsidP="006844FE">
      <w:pPr>
        <w:rPr>
          <w:sz w:val="20"/>
          <w:szCs w:val="20"/>
        </w:rPr>
      </w:pPr>
    </w:p>
    <w:p w:rsidR="006844FE" w:rsidRDefault="006844FE" w:rsidP="006844FE">
      <w:pPr>
        <w:ind w:firstLine="720"/>
        <w:rPr>
          <w:sz w:val="20"/>
          <w:szCs w:val="20"/>
        </w:rPr>
      </w:pPr>
      <w:r>
        <w:rPr>
          <w:sz w:val="20"/>
          <w:szCs w:val="20"/>
        </w:rPr>
        <w:t xml:space="preserve">At December 31, 2011 and 2010, there were 53 and 51 employees, respectively involved in product development for </w:t>
      </w:r>
      <w:proofErr w:type="spellStart"/>
      <w:r>
        <w:rPr>
          <w:sz w:val="20"/>
          <w:szCs w:val="20"/>
        </w:rPr>
        <w:t>SmartMusic</w:t>
      </w:r>
      <w:proofErr w:type="spellEnd"/>
      <w:r>
        <w:rPr>
          <w:sz w:val="20"/>
          <w:szCs w:val="20"/>
        </w:rPr>
        <w:t xml:space="preserve"> and Finale products at </w:t>
      </w:r>
      <w:proofErr w:type="spellStart"/>
      <w:r>
        <w:rPr>
          <w:sz w:val="20"/>
          <w:szCs w:val="20"/>
        </w:rPr>
        <w:t>MakeMusic</w:t>
      </w:r>
      <w:proofErr w:type="spellEnd"/>
      <w:r>
        <w:rPr>
          <w:sz w:val="20"/>
          <w:szCs w:val="20"/>
        </w:rPr>
        <w:t xml:space="preserve">. This staff engages in research and development of new products, enhancements to existing products, business systems support, repertoire development and quality assurance testing. </w:t>
      </w:r>
    </w:p>
    <w:p w:rsidR="006844FE" w:rsidRDefault="006844FE" w:rsidP="006844FE">
      <w:pPr>
        <w:ind w:firstLine="720"/>
        <w:rPr>
          <w:sz w:val="20"/>
          <w:szCs w:val="20"/>
        </w:rPr>
      </w:pPr>
    </w:p>
    <w:p w:rsidR="006844FE" w:rsidRDefault="006844FE" w:rsidP="006844FE">
      <w:pPr>
        <w:spacing w:after="240"/>
        <w:ind w:firstLine="720"/>
        <w:rPr>
          <w:color w:val="000000"/>
          <w:sz w:val="20"/>
        </w:rPr>
      </w:pPr>
      <w:proofErr w:type="spellStart"/>
      <w:r>
        <w:rPr>
          <w:sz w:val="20"/>
          <w:szCs w:val="20"/>
        </w:rPr>
        <w:t>MakeMusic’s</w:t>
      </w:r>
      <w:proofErr w:type="spellEnd"/>
      <w:r>
        <w:rPr>
          <w:sz w:val="20"/>
          <w:szCs w:val="20"/>
        </w:rPr>
        <w:t xml:space="preserve"> non-capitalized expenditures for product development were $4,638,000 and $5,524,000 in 2011 and 2010, representing 27.3% and 32.2% of gross revenues, respectively. These expenses include the costs for our annual notation upgrades, product maintenance releases and support for our business systems. We expect these costs to </w:t>
      </w:r>
      <w:r>
        <w:rPr>
          <w:color w:val="000000"/>
          <w:sz w:val="20"/>
        </w:rPr>
        <w:t xml:space="preserve">increase significantly in 2012 due to modernization efforts, user experience enhancements, management of content, business model flexibility of </w:t>
      </w:r>
      <w:proofErr w:type="spellStart"/>
      <w:r>
        <w:rPr>
          <w:color w:val="000000"/>
          <w:sz w:val="20"/>
        </w:rPr>
        <w:t>SmartMusic</w:t>
      </w:r>
      <w:proofErr w:type="spellEnd"/>
      <w:r>
        <w:rPr>
          <w:color w:val="000000"/>
          <w:sz w:val="20"/>
        </w:rPr>
        <w:t xml:space="preserve"> repertoire and new forms of content and delivery of software in new ways and on new devices. </w:t>
      </w:r>
    </w:p>
    <w:p w:rsidR="006844FE" w:rsidRDefault="006844FE" w:rsidP="006844FE">
      <w:pPr>
        <w:rPr>
          <w:i/>
          <w:color w:val="000000"/>
          <w:sz w:val="20"/>
          <w:szCs w:val="20"/>
        </w:rPr>
      </w:pPr>
      <w:r>
        <w:rPr>
          <w:i/>
          <w:color w:val="000000"/>
          <w:sz w:val="20"/>
          <w:szCs w:val="20"/>
        </w:rPr>
        <w:t>Trademarks</w:t>
      </w:r>
    </w:p>
    <w:p w:rsidR="006844FE" w:rsidRDefault="006844FE" w:rsidP="006844FE">
      <w:pPr>
        <w:rPr>
          <w:i/>
          <w:color w:val="000000"/>
          <w:sz w:val="20"/>
          <w:szCs w:val="20"/>
        </w:rPr>
      </w:pPr>
    </w:p>
    <w:p w:rsidR="006844FE" w:rsidRDefault="006844FE" w:rsidP="006844FE">
      <w:pPr>
        <w:spacing w:after="240"/>
        <w:ind w:firstLine="720"/>
        <w:rPr>
          <w:color w:val="000000"/>
          <w:sz w:val="20"/>
          <w:szCs w:val="20"/>
        </w:rPr>
      </w:pPr>
      <w:r>
        <w:rPr>
          <w:color w:val="000000"/>
          <w:sz w:val="20"/>
          <w:szCs w:val="20"/>
        </w:rPr>
        <w:t>We own the registered trademarks in the United States for Allegro</w:t>
      </w:r>
      <w:r>
        <w:rPr>
          <w:color w:val="000000"/>
          <w:sz w:val="20"/>
          <w:szCs w:val="20"/>
          <w:vertAlign w:val="superscript"/>
        </w:rPr>
        <w:t>®</w:t>
      </w:r>
      <w:r>
        <w:rPr>
          <w:color w:val="000000"/>
          <w:sz w:val="20"/>
          <w:szCs w:val="20"/>
        </w:rPr>
        <w:t>, Coda</w:t>
      </w:r>
      <w:r>
        <w:rPr>
          <w:color w:val="000000"/>
          <w:sz w:val="20"/>
          <w:szCs w:val="20"/>
          <w:vertAlign w:val="superscript"/>
        </w:rPr>
        <w:t>®</w:t>
      </w:r>
      <w:r>
        <w:rPr>
          <w:color w:val="000000"/>
          <w:sz w:val="20"/>
          <w:szCs w:val="20"/>
        </w:rPr>
        <w:t>, Finale</w:t>
      </w:r>
      <w:r>
        <w:rPr>
          <w:color w:val="000000"/>
          <w:sz w:val="20"/>
          <w:szCs w:val="20"/>
          <w:vertAlign w:val="superscript"/>
        </w:rPr>
        <w:t>®</w:t>
      </w:r>
      <w:r>
        <w:rPr>
          <w:color w:val="000000"/>
          <w:sz w:val="20"/>
          <w:szCs w:val="20"/>
        </w:rPr>
        <w:t>, Finale Allegro</w:t>
      </w:r>
      <w:r>
        <w:rPr>
          <w:color w:val="000000"/>
          <w:sz w:val="20"/>
          <w:szCs w:val="20"/>
          <w:vertAlign w:val="superscript"/>
        </w:rPr>
        <w:t>®</w:t>
      </w:r>
      <w:r>
        <w:rPr>
          <w:color w:val="000000"/>
          <w:sz w:val="20"/>
          <w:szCs w:val="20"/>
        </w:rPr>
        <w:t xml:space="preserve">, Finale </w:t>
      </w:r>
      <w:proofErr w:type="spellStart"/>
      <w:r>
        <w:rPr>
          <w:color w:val="000000"/>
          <w:sz w:val="20"/>
          <w:szCs w:val="20"/>
        </w:rPr>
        <w:t>NotePad</w:t>
      </w:r>
      <w:proofErr w:type="spellEnd"/>
      <w:r>
        <w:rPr>
          <w:color w:val="000000"/>
          <w:sz w:val="20"/>
          <w:szCs w:val="20"/>
          <w:vertAlign w:val="superscript"/>
        </w:rPr>
        <w:t>®</w:t>
      </w:r>
      <w:r>
        <w:rPr>
          <w:color w:val="000000"/>
          <w:sz w:val="20"/>
          <w:szCs w:val="20"/>
        </w:rPr>
        <w:t>, Finale Performance Assessment</w:t>
      </w:r>
      <w:r>
        <w:rPr>
          <w:color w:val="000000"/>
          <w:sz w:val="20"/>
          <w:szCs w:val="20"/>
          <w:vertAlign w:val="superscript"/>
        </w:rPr>
        <w:t>®</w:t>
      </w:r>
      <w:r>
        <w:rPr>
          <w:color w:val="000000"/>
          <w:sz w:val="20"/>
          <w:szCs w:val="20"/>
        </w:rPr>
        <w:t xml:space="preserve">, Finale </w:t>
      </w:r>
      <w:proofErr w:type="spellStart"/>
      <w:r>
        <w:rPr>
          <w:color w:val="000000"/>
          <w:sz w:val="20"/>
          <w:szCs w:val="20"/>
        </w:rPr>
        <w:t>PrintMusic</w:t>
      </w:r>
      <w:proofErr w:type="spellEnd"/>
      <w:r>
        <w:rPr>
          <w:color w:val="000000"/>
          <w:sz w:val="20"/>
          <w:szCs w:val="20"/>
          <w:vertAlign w:val="superscript"/>
        </w:rPr>
        <w:t>®</w:t>
      </w:r>
      <w:r>
        <w:rPr>
          <w:color w:val="000000"/>
          <w:sz w:val="20"/>
          <w:szCs w:val="20"/>
        </w:rPr>
        <w:t>, Finale Reader</w:t>
      </w:r>
      <w:r>
        <w:rPr>
          <w:color w:val="000000"/>
          <w:sz w:val="20"/>
          <w:szCs w:val="20"/>
          <w:vertAlign w:val="superscript"/>
        </w:rPr>
        <w:t>®</w:t>
      </w:r>
      <w:r>
        <w:rPr>
          <w:color w:val="000000"/>
          <w:sz w:val="20"/>
          <w:szCs w:val="20"/>
        </w:rPr>
        <w:t xml:space="preserve">, Finale </w:t>
      </w:r>
      <w:proofErr w:type="spellStart"/>
      <w:r>
        <w:rPr>
          <w:color w:val="000000"/>
          <w:sz w:val="20"/>
          <w:szCs w:val="20"/>
        </w:rPr>
        <w:t>SongWriter</w:t>
      </w:r>
      <w:proofErr w:type="spellEnd"/>
      <w:r>
        <w:rPr>
          <w:color w:val="000000"/>
          <w:sz w:val="20"/>
          <w:szCs w:val="20"/>
          <w:vertAlign w:val="superscript"/>
        </w:rPr>
        <w:t>®</w:t>
      </w:r>
      <w:r>
        <w:rPr>
          <w:color w:val="000000"/>
          <w:sz w:val="20"/>
          <w:szCs w:val="20"/>
        </w:rPr>
        <w:t>, Finale Viewer</w:t>
      </w:r>
      <w:r>
        <w:rPr>
          <w:color w:val="000000"/>
          <w:sz w:val="20"/>
          <w:szCs w:val="20"/>
          <w:vertAlign w:val="superscript"/>
        </w:rPr>
        <w:t xml:space="preserve"> ®</w:t>
      </w:r>
      <w:r>
        <w:rPr>
          <w:color w:val="000000"/>
          <w:sz w:val="20"/>
          <w:szCs w:val="20"/>
        </w:rPr>
        <w:t xml:space="preserve">, </w:t>
      </w:r>
      <w:proofErr w:type="spellStart"/>
      <w:r>
        <w:rPr>
          <w:color w:val="000000"/>
          <w:sz w:val="20"/>
          <w:szCs w:val="20"/>
        </w:rPr>
        <w:t>FinaleScript</w:t>
      </w:r>
      <w:proofErr w:type="spellEnd"/>
      <w:r>
        <w:rPr>
          <w:color w:val="000000"/>
          <w:sz w:val="20"/>
          <w:szCs w:val="20"/>
          <w:vertAlign w:val="superscript"/>
        </w:rPr>
        <w:t>®</w:t>
      </w:r>
      <w:r>
        <w:rPr>
          <w:color w:val="000000"/>
          <w:sz w:val="20"/>
          <w:szCs w:val="20"/>
        </w:rPr>
        <w:t>, FPA</w:t>
      </w:r>
      <w:r>
        <w:rPr>
          <w:color w:val="000000"/>
          <w:sz w:val="20"/>
          <w:szCs w:val="20"/>
          <w:vertAlign w:val="superscript"/>
        </w:rPr>
        <w:t>®</w:t>
      </w:r>
      <w:r>
        <w:rPr>
          <w:color w:val="000000"/>
          <w:sz w:val="20"/>
          <w:szCs w:val="20"/>
        </w:rPr>
        <w:t xml:space="preserve">, </w:t>
      </w:r>
      <w:proofErr w:type="spellStart"/>
      <w:r>
        <w:rPr>
          <w:color w:val="000000"/>
          <w:sz w:val="20"/>
          <w:szCs w:val="20"/>
        </w:rPr>
        <w:t>HumanPlayback</w:t>
      </w:r>
      <w:proofErr w:type="spellEnd"/>
      <w:r>
        <w:rPr>
          <w:color w:val="000000"/>
          <w:sz w:val="20"/>
          <w:szCs w:val="20"/>
          <w:vertAlign w:val="superscript"/>
        </w:rPr>
        <w:t>®</w:t>
      </w:r>
      <w:r>
        <w:rPr>
          <w:color w:val="000000"/>
          <w:sz w:val="20"/>
          <w:szCs w:val="20"/>
        </w:rPr>
        <w:t xml:space="preserve">, </w:t>
      </w:r>
      <w:proofErr w:type="spellStart"/>
      <w:r>
        <w:rPr>
          <w:color w:val="000000"/>
          <w:sz w:val="20"/>
          <w:szCs w:val="20"/>
        </w:rPr>
        <w:t>HyperScribe</w:t>
      </w:r>
      <w:proofErr w:type="spellEnd"/>
      <w:r>
        <w:rPr>
          <w:color w:val="000000"/>
          <w:sz w:val="20"/>
          <w:szCs w:val="20"/>
          <w:vertAlign w:val="superscript"/>
        </w:rPr>
        <w:t>®</w:t>
      </w:r>
      <w:r>
        <w:rPr>
          <w:color w:val="000000"/>
          <w:sz w:val="20"/>
          <w:szCs w:val="20"/>
        </w:rPr>
        <w:t>, Intelligent Accompaniment</w:t>
      </w:r>
      <w:r>
        <w:rPr>
          <w:color w:val="000000"/>
          <w:sz w:val="20"/>
          <w:szCs w:val="20"/>
          <w:vertAlign w:val="superscript"/>
        </w:rPr>
        <w:t>®</w:t>
      </w:r>
      <w:r>
        <w:rPr>
          <w:color w:val="000000"/>
          <w:sz w:val="20"/>
          <w:szCs w:val="20"/>
        </w:rPr>
        <w:t>, Intonation Trainer</w:t>
      </w:r>
      <w:r>
        <w:rPr>
          <w:color w:val="000000"/>
          <w:sz w:val="20"/>
          <w:szCs w:val="20"/>
          <w:vertAlign w:val="superscript"/>
        </w:rPr>
        <w:t>®</w:t>
      </w:r>
      <w:r>
        <w:rPr>
          <w:color w:val="000000"/>
          <w:sz w:val="20"/>
          <w:szCs w:val="20"/>
        </w:rPr>
        <w:t>, M!</w:t>
      </w:r>
      <w:r>
        <w:rPr>
          <w:color w:val="000000"/>
          <w:sz w:val="20"/>
          <w:szCs w:val="20"/>
          <w:vertAlign w:val="superscript"/>
        </w:rPr>
        <w:t>®</w:t>
      </w:r>
      <w:r>
        <w:rPr>
          <w:color w:val="000000"/>
          <w:sz w:val="20"/>
          <w:szCs w:val="20"/>
        </w:rPr>
        <w:t xml:space="preserve">, </w:t>
      </w:r>
      <w:proofErr w:type="spellStart"/>
      <w:r>
        <w:rPr>
          <w:color w:val="000000"/>
          <w:sz w:val="20"/>
          <w:szCs w:val="20"/>
        </w:rPr>
        <w:t>MakeMusic</w:t>
      </w:r>
      <w:proofErr w:type="spellEnd"/>
      <w:r>
        <w:rPr>
          <w:color w:val="000000"/>
          <w:sz w:val="20"/>
          <w:szCs w:val="20"/>
          <w:vertAlign w:val="superscript"/>
        </w:rPr>
        <w:t>®</w:t>
      </w:r>
      <w:r>
        <w:rPr>
          <w:color w:val="000000"/>
          <w:sz w:val="20"/>
          <w:szCs w:val="20"/>
        </w:rPr>
        <w:t xml:space="preserve">, </w:t>
      </w:r>
      <w:proofErr w:type="spellStart"/>
      <w:r>
        <w:rPr>
          <w:color w:val="000000"/>
          <w:sz w:val="20"/>
          <w:szCs w:val="20"/>
        </w:rPr>
        <w:t>MicNotator</w:t>
      </w:r>
      <w:proofErr w:type="spellEnd"/>
      <w:r>
        <w:rPr>
          <w:color w:val="000000"/>
          <w:sz w:val="20"/>
          <w:szCs w:val="20"/>
          <w:vertAlign w:val="superscript"/>
        </w:rPr>
        <w:t>®</w:t>
      </w:r>
      <w:r>
        <w:rPr>
          <w:color w:val="000000"/>
          <w:sz w:val="20"/>
          <w:szCs w:val="20"/>
        </w:rPr>
        <w:t xml:space="preserve">, </w:t>
      </w:r>
      <w:proofErr w:type="spellStart"/>
      <w:r>
        <w:rPr>
          <w:color w:val="000000"/>
          <w:sz w:val="20"/>
          <w:szCs w:val="20"/>
        </w:rPr>
        <w:t>SmartMusic</w:t>
      </w:r>
      <w:proofErr w:type="spellEnd"/>
      <w:r>
        <w:rPr>
          <w:color w:val="000000"/>
          <w:sz w:val="20"/>
          <w:szCs w:val="20"/>
          <w:vertAlign w:val="superscript"/>
        </w:rPr>
        <w:t>®</w:t>
      </w:r>
      <w:r>
        <w:rPr>
          <w:color w:val="000000"/>
          <w:sz w:val="20"/>
          <w:szCs w:val="20"/>
        </w:rPr>
        <w:t xml:space="preserve">, </w:t>
      </w:r>
      <w:proofErr w:type="spellStart"/>
      <w:r>
        <w:rPr>
          <w:color w:val="000000"/>
          <w:sz w:val="20"/>
          <w:szCs w:val="20"/>
        </w:rPr>
        <w:t>SmartMusic</w:t>
      </w:r>
      <w:proofErr w:type="spellEnd"/>
      <w:r>
        <w:rPr>
          <w:color w:val="000000"/>
          <w:sz w:val="20"/>
          <w:szCs w:val="20"/>
        </w:rPr>
        <w:t xml:space="preserve"> Impact</w:t>
      </w:r>
      <w:r>
        <w:rPr>
          <w:color w:val="000000"/>
          <w:sz w:val="20"/>
          <w:szCs w:val="20"/>
          <w:vertAlign w:val="superscript"/>
        </w:rPr>
        <w:t>®</w:t>
      </w:r>
      <w:r>
        <w:rPr>
          <w:color w:val="000000"/>
          <w:sz w:val="20"/>
          <w:szCs w:val="20"/>
        </w:rPr>
        <w:t xml:space="preserve">, </w:t>
      </w:r>
      <w:proofErr w:type="spellStart"/>
      <w:r>
        <w:rPr>
          <w:color w:val="000000"/>
          <w:sz w:val="20"/>
          <w:szCs w:val="20"/>
        </w:rPr>
        <w:t>StudioView</w:t>
      </w:r>
      <w:proofErr w:type="spellEnd"/>
      <w:r>
        <w:rPr>
          <w:color w:val="000000"/>
          <w:sz w:val="20"/>
          <w:szCs w:val="20"/>
          <w:vertAlign w:val="superscript"/>
        </w:rPr>
        <w:t>®</w:t>
      </w:r>
      <w:r>
        <w:rPr>
          <w:color w:val="000000"/>
          <w:sz w:val="20"/>
          <w:szCs w:val="20"/>
        </w:rPr>
        <w:t xml:space="preserve">, </w:t>
      </w:r>
      <w:proofErr w:type="spellStart"/>
      <w:r>
        <w:rPr>
          <w:color w:val="000000"/>
          <w:sz w:val="20"/>
          <w:szCs w:val="20"/>
        </w:rPr>
        <w:t>SmartFind</w:t>
      </w:r>
      <w:proofErr w:type="spellEnd"/>
      <w:r>
        <w:rPr>
          <w:color w:val="000000"/>
          <w:sz w:val="20"/>
          <w:szCs w:val="20"/>
        </w:rPr>
        <w:t xml:space="preserve"> and Paint</w:t>
      </w:r>
      <w:r>
        <w:rPr>
          <w:color w:val="000000"/>
          <w:sz w:val="20"/>
          <w:szCs w:val="20"/>
          <w:vertAlign w:val="superscript"/>
        </w:rPr>
        <w:t>®</w:t>
      </w:r>
      <w:r>
        <w:rPr>
          <w:color w:val="000000"/>
          <w:sz w:val="20"/>
          <w:szCs w:val="20"/>
        </w:rPr>
        <w:t xml:space="preserve">,  </w:t>
      </w:r>
      <w:proofErr w:type="spellStart"/>
      <w:r>
        <w:rPr>
          <w:color w:val="000000"/>
          <w:sz w:val="20"/>
          <w:szCs w:val="20"/>
        </w:rPr>
        <w:t>TempoTap</w:t>
      </w:r>
      <w:proofErr w:type="spellEnd"/>
      <w:r>
        <w:rPr>
          <w:color w:val="000000"/>
          <w:sz w:val="20"/>
          <w:szCs w:val="20"/>
          <w:vertAlign w:val="superscript"/>
        </w:rPr>
        <w:t>®</w:t>
      </w:r>
      <w:r>
        <w:rPr>
          <w:color w:val="000000"/>
          <w:sz w:val="20"/>
          <w:szCs w:val="20"/>
        </w:rPr>
        <w:t>, Garritan Personal Orchestra</w:t>
      </w:r>
      <w:r>
        <w:rPr>
          <w:color w:val="000000"/>
          <w:sz w:val="20"/>
          <w:szCs w:val="20"/>
          <w:vertAlign w:val="superscript"/>
        </w:rPr>
        <w:t>®</w:t>
      </w:r>
      <w:r>
        <w:rPr>
          <w:color w:val="000000"/>
          <w:sz w:val="20"/>
          <w:szCs w:val="20"/>
        </w:rPr>
        <w:t>, Garritan Instant Orchestra</w:t>
      </w:r>
      <w:r>
        <w:rPr>
          <w:color w:val="000000"/>
          <w:sz w:val="20"/>
          <w:szCs w:val="20"/>
          <w:vertAlign w:val="superscript"/>
        </w:rPr>
        <w:t>®</w:t>
      </w:r>
      <w:r>
        <w:rPr>
          <w:color w:val="000000"/>
          <w:sz w:val="20"/>
          <w:szCs w:val="20"/>
        </w:rPr>
        <w:t xml:space="preserve">, </w:t>
      </w:r>
      <w:proofErr w:type="spellStart"/>
      <w:r>
        <w:rPr>
          <w:color w:val="000000"/>
          <w:sz w:val="20"/>
          <w:szCs w:val="20"/>
        </w:rPr>
        <w:t>Sampalaign</w:t>
      </w:r>
      <w:proofErr w:type="spellEnd"/>
      <w:r>
        <w:rPr>
          <w:color w:val="000000"/>
          <w:sz w:val="20"/>
          <w:szCs w:val="20"/>
        </w:rPr>
        <w:t xml:space="preserve"> Sonic Morphing</w:t>
      </w:r>
      <w:r>
        <w:rPr>
          <w:color w:val="000000"/>
          <w:sz w:val="20"/>
          <w:szCs w:val="20"/>
          <w:vertAlign w:val="superscript"/>
        </w:rPr>
        <w:t>®</w:t>
      </w:r>
      <w:r>
        <w:rPr>
          <w:color w:val="000000"/>
          <w:sz w:val="20"/>
          <w:szCs w:val="20"/>
        </w:rPr>
        <w:t xml:space="preserve">, </w:t>
      </w:r>
      <w:proofErr w:type="spellStart"/>
      <w:r>
        <w:rPr>
          <w:color w:val="000000"/>
          <w:sz w:val="20"/>
          <w:szCs w:val="20"/>
        </w:rPr>
        <w:t>Gigapiano</w:t>
      </w:r>
      <w:proofErr w:type="spellEnd"/>
      <w:r>
        <w:rPr>
          <w:color w:val="000000"/>
          <w:sz w:val="20"/>
          <w:szCs w:val="20"/>
          <w:vertAlign w:val="superscript"/>
        </w:rPr>
        <w:t>®</w:t>
      </w:r>
      <w:r>
        <w:rPr>
          <w:color w:val="000000"/>
          <w:sz w:val="20"/>
          <w:szCs w:val="20"/>
        </w:rPr>
        <w:t xml:space="preserve">, </w:t>
      </w:r>
      <w:proofErr w:type="spellStart"/>
      <w:r>
        <w:rPr>
          <w:color w:val="000000"/>
          <w:sz w:val="20"/>
          <w:szCs w:val="20"/>
        </w:rPr>
        <w:t>Gigastudio</w:t>
      </w:r>
      <w:proofErr w:type="spellEnd"/>
      <w:r>
        <w:rPr>
          <w:color w:val="000000"/>
          <w:sz w:val="20"/>
          <w:szCs w:val="20"/>
          <w:vertAlign w:val="superscript"/>
        </w:rPr>
        <w:t>®</w:t>
      </w:r>
      <w:r>
        <w:rPr>
          <w:color w:val="000000"/>
          <w:sz w:val="20"/>
          <w:szCs w:val="20"/>
        </w:rPr>
        <w:t xml:space="preserve">, </w:t>
      </w:r>
      <w:proofErr w:type="spellStart"/>
      <w:r>
        <w:rPr>
          <w:color w:val="000000"/>
          <w:sz w:val="20"/>
          <w:szCs w:val="20"/>
        </w:rPr>
        <w:t>Gigasampler</w:t>
      </w:r>
      <w:proofErr w:type="spellEnd"/>
      <w:r>
        <w:rPr>
          <w:color w:val="000000"/>
          <w:sz w:val="20"/>
          <w:szCs w:val="20"/>
          <w:vertAlign w:val="superscript"/>
        </w:rPr>
        <w:t>®</w:t>
      </w:r>
      <w:r>
        <w:rPr>
          <w:color w:val="000000"/>
          <w:sz w:val="20"/>
          <w:szCs w:val="20"/>
        </w:rPr>
        <w:t xml:space="preserve">, </w:t>
      </w:r>
      <w:proofErr w:type="spellStart"/>
      <w:r>
        <w:rPr>
          <w:color w:val="000000"/>
          <w:sz w:val="20"/>
          <w:szCs w:val="20"/>
        </w:rPr>
        <w:t>Dolet</w:t>
      </w:r>
      <w:proofErr w:type="spellEnd"/>
      <w:r>
        <w:rPr>
          <w:color w:val="000000"/>
          <w:sz w:val="20"/>
          <w:szCs w:val="20"/>
          <w:vertAlign w:val="superscript"/>
        </w:rPr>
        <w:t>®</w:t>
      </w:r>
      <w:r>
        <w:rPr>
          <w:color w:val="000000"/>
          <w:sz w:val="20"/>
          <w:szCs w:val="20"/>
        </w:rPr>
        <w:t xml:space="preserve">, </w:t>
      </w:r>
      <w:proofErr w:type="spellStart"/>
      <w:r>
        <w:rPr>
          <w:color w:val="000000"/>
          <w:sz w:val="20"/>
          <w:szCs w:val="20"/>
        </w:rPr>
        <w:t>Recordare</w:t>
      </w:r>
      <w:proofErr w:type="spellEnd"/>
      <w:r>
        <w:rPr>
          <w:color w:val="000000"/>
          <w:sz w:val="20"/>
          <w:szCs w:val="20"/>
          <w:vertAlign w:val="superscript"/>
        </w:rPr>
        <w:t>®</w:t>
      </w:r>
      <w:r>
        <w:rPr>
          <w:color w:val="000000"/>
          <w:sz w:val="20"/>
          <w:szCs w:val="20"/>
        </w:rPr>
        <w:t xml:space="preserve"> and In the </w:t>
      </w:r>
      <w:proofErr w:type="spellStart"/>
      <w:r>
        <w:rPr>
          <w:color w:val="000000"/>
          <w:sz w:val="20"/>
          <w:szCs w:val="20"/>
        </w:rPr>
        <w:t>Beginning,Was</w:t>
      </w:r>
      <w:proofErr w:type="spellEnd"/>
      <w:r>
        <w:rPr>
          <w:color w:val="000000"/>
          <w:sz w:val="20"/>
          <w:szCs w:val="20"/>
        </w:rPr>
        <w:t xml:space="preserve"> the </w:t>
      </w:r>
      <w:proofErr w:type="spellStart"/>
      <w:r>
        <w:rPr>
          <w:color w:val="000000"/>
          <w:sz w:val="20"/>
          <w:szCs w:val="20"/>
        </w:rPr>
        <w:t>Note</w:t>
      </w:r>
      <w:r>
        <w:rPr>
          <w:color w:val="000000"/>
          <w:sz w:val="20"/>
          <w:szCs w:val="20"/>
          <w:vertAlign w:val="superscript"/>
        </w:rPr>
        <w:t>TM</w:t>
      </w:r>
      <w:proofErr w:type="spellEnd"/>
      <w:r>
        <w:rPr>
          <w:color w:val="000000"/>
          <w:sz w:val="20"/>
          <w:szCs w:val="20"/>
        </w:rPr>
        <w:t>. In addition, the names Finale</w:t>
      </w:r>
      <w:r>
        <w:rPr>
          <w:color w:val="000000"/>
          <w:sz w:val="20"/>
          <w:szCs w:val="20"/>
          <w:vertAlign w:val="superscript"/>
        </w:rPr>
        <w:t>®</w:t>
      </w:r>
      <w:r>
        <w:rPr>
          <w:color w:val="000000"/>
          <w:sz w:val="20"/>
          <w:szCs w:val="20"/>
        </w:rPr>
        <w:t xml:space="preserve">, Finale </w:t>
      </w:r>
      <w:proofErr w:type="spellStart"/>
      <w:r>
        <w:rPr>
          <w:color w:val="000000"/>
          <w:sz w:val="20"/>
          <w:szCs w:val="20"/>
        </w:rPr>
        <w:t>NotePad</w:t>
      </w:r>
      <w:proofErr w:type="spellEnd"/>
      <w:r>
        <w:rPr>
          <w:color w:val="000000"/>
          <w:sz w:val="20"/>
          <w:szCs w:val="20"/>
          <w:vertAlign w:val="superscript"/>
        </w:rPr>
        <w:t>®</w:t>
      </w:r>
      <w:r>
        <w:rPr>
          <w:color w:val="000000"/>
          <w:sz w:val="20"/>
          <w:szCs w:val="20"/>
        </w:rPr>
        <w:t xml:space="preserve">, Finale </w:t>
      </w:r>
      <w:proofErr w:type="spellStart"/>
      <w:r>
        <w:rPr>
          <w:color w:val="000000"/>
          <w:sz w:val="20"/>
          <w:szCs w:val="20"/>
        </w:rPr>
        <w:t>PrintMusic</w:t>
      </w:r>
      <w:proofErr w:type="spellEnd"/>
      <w:r>
        <w:rPr>
          <w:color w:val="000000"/>
          <w:sz w:val="20"/>
          <w:szCs w:val="20"/>
          <w:vertAlign w:val="superscript"/>
        </w:rPr>
        <w:t>®</w:t>
      </w:r>
      <w:r>
        <w:rPr>
          <w:color w:val="000000"/>
          <w:sz w:val="20"/>
          <w:szCs w:val="20"/>
        </w:rPr>
        <w:t xml:space="preserve">, Finale </w:t>
      </w:r>
      <w:proofErr w:type="spellStart"/>
      <w:r>
        <w:rPr>
          <w:color w:val="000000"/>
          <w:sz w:val="20"/>
          <w:szCs w:val="20"/>
        </w:rPr>
        <w:t>SongWriter</w:t>
      </w:r>
      <w:proofErr w:type="spellEnd"/>
      <w:r>
        <w:rPr>
          <w:color w:val="000000"/>
          <w:sz w:val="20"/>
          <w:szCs w:val="20"/>
          <w:vertAlign w:val="superscript"/>
        </w:rPr>
        <w:t>®</w:t>
      </w:r>
      <w:r>
        <w:rPr>
          <w:color w:val="000000"/>
          <w:sz w:val="20"/>
          <w:szCs w:val="20"/>
        </w:rPr>
        <w:t>, Finale Viewer</w:t>
      </w:r>
      <w:r>
        <w:rPr>
          <w:color w:val="000000"/>
          <w:sz w:val="20"/>
          <w:szCs w:val="20"/>
          <w:vertAlign w:val="superscript"/>
        </w:rPr>
        <w:t xml:space="preserve"> ®</w:t>
      </w:r>
      <w:r>
        <w:rPr>
          <w:color w:val="000000"/>
          <w:sz w:val="20"/>
          <w:szCs w:val="20"/>
        </w:rPr>
        <w:t>, Intelligent Accompaniment</w:t>
      </w:r>
      <w:r>
        <w:rPr>
          <w:color w:val="000000"/>
          <w:sz w:val="20"/>
          <w:szCs w:val="20"/>
          <w:vertAlign w:val="superscript"/>
        </w:rPr>
        <w:t>®</w:t>
      </w:r>
      <w:r>
        <w:rPr>
          <w:color w:val="000000"/>
          <w:sz w:val="20"/>
          <w:szCs w:val="20"/>
        </w:rPr>
        <w:t xml:space="preserve">, </w:t>
      </w:r>
      <w:proofErr w:type="spellStart"/>
      <w:r>
        <w:rPr>
          <w:color w:val="000000"/>
          <w:sz w:val="20"/>
          <w:szCs w:val="20"/>
        </w:rPr>
        <w:t>MakeMusic</w:t>
      </w:r>
      <w:proofErr w:type="spellEnd"/>
      <w:r>
        <w:rPr>
          <w:color w:val="000000"/>
          <w:sz w:val="20"/>
          <w:szCs w:val="20"/>
          <w:vertAlign w:val="superscript"/>
        </w:rPr>
        <w:t>®</w:t>
      </w:r>
      <w:r>
        <w:rPr>
          <w:color w:val="000000"/>
          <w:sz w:val="20"/>
          <w:szCs w:val="20"/>
        </w:rPr>
        <w:t xml:space="preserve">, </w:t>
      </w:r>
      <w:proofErr w:type="spellStart"/>
      <w:r>
        <w:rPr>
          <w:color w:val="000000"/>
          <w:sz w:val="20"/>
          <w:szCs w:val="20"/>
        </w:rPr>
        <w:t>SmartMusic</w:t>
      </w:r>
      <w:proofErr w:type="spellEnd"/>
      <w:r>
        <w:rPr>
          <w:color w:val="000000"/>
          <w:sz w:val="20"/>
          <w:szCs w:val="20"/>
          <w:vertAlign w:val="superscript"/>
        </w:rPr>
        <w:t>®</w:t>
      </w:r>
      <w:r>
        <w:rPr>
          <w:color w:val="000000"/>
          <w:sz w:val="20"/>
          <w:szCs w:val="20"/>
        </w:rPr>
        <w:t xml:space="preserve"> and The Art of Music Notation</w:t>
      </w:r>
      <w:r>
        <w:rPr>
          <w:color w:val="000000"/>
          <w:sz w:val="20"/>
          <w:szCs w:val="20"/>
          <w:vertAlign w:val="superscript"/>
        </w:rPr>
        <w:t>®</w:t>
      </w:r>
      <w:r>
        <w:rPr>
          <w:color w:val="000000"/>
          <w:sz w:val="20"/>
          <w:szCs w:val="20"/>
        </w:rPr>
        <w:t xml:space="preserve"> have been protected in some foreign countries. We have applied for trademark registration in the United States </w:t>
      </w:r>
      <w:proofErr w:type="gramStart"/>
      <w:r>
        <w:rPr>
          <w:color w:val="000000"/>
          <w:sz w:val="20"/>
          <w:szCs w:val="20"/>
        </w:rPr>
        <w:t xml:space="preserve">for  </w:t>
      </w:r>
      <w:proofErr w:type="spellStart"/>
      <w:r>
        <w:rPr>
          <w:color w:val="000000"/>
          <w:sz w:val="20"/>
          <w:szCs w:val="20"/>
        </w:rPr>
        <w:t>ScoreManager</w:t>
      </w:r>
      <w:r>
        <w:rPr>
          <w:color w:val="000000"/>
          <w:sz w:val="20"/>
          <w:szCs w:val="20"/>
          <w:vertAlign w:val="superscript"/>
        </w:rPr>
        <w:t>TM</w:t>
      </w:r>
      <w:proofErr w:type="spellEnd"/>
      <w:proofErr w:type="gramEnd"/>
      <w:r>
        <w:rPr>
          <w:color w:val="000000"/>
          <w:sz w:val="20"/>
          <w:szCs w:val="20"/>
        </w:rPr>
        <w:t xml:space="preserve">, </w:t>
      </w:r>
      <w:proofErr w:type="spellStart"/>
      <w:r>
        <w:rPr>
          <w:color w:val="000000"/>
          <w:sz w:val="20"/>
          <w:szCs w:val="20"/>
        </w:rPr>
        <w:t>SmartMusic</w:t>
      </w:r>
      <w:proofErr w:type="spellEnd"/>
      <w:r>
        <w:rPr>
          <w:color w:val="000000"/>
          <w:sz w:val="20"/>
          <w:szCs w:val="20"/>
        </w:rPr>
        <w:t xml:space="preserve"> </w:t>
      </w:r>
      <w:proofErr w:type="spellStart"/>
      <w:r>
        <w:rPr>
          <w:color w:val="000000"/>
          <w:sz w:val="20"/>
          <w:szCs w:val="20"/>
        </w:rPr>
        <w:t>Inbox</w:t>
      </w:r>
      <w:r>
        <w:rPr>
          <w:color w:val="000000"/>
          <w:sz w:val="20"/>
          <w:szCs w:val="20"/>
          <w:vertAlign w:val="superscript"/>
        </w:rPr>
        <w:t>TM</w:t>
      </w:r>
      <w:proofErr w:type="spellEnd"/>
      <w:r>
        <w:rPr>
          <w:color w:val="000000"/>
          <w:sz w:val="20"/>
          <w:szCs w:val="20"/>
        </w:rPr>
        <w:t xml:space="preserve">,  </w:t>
      </w:r>
      <w:proofErr w:type="spellStart"/>
      <w:r>
        <w:rPr>
          <w:color w:val="000000"/>
          <w:sz w:val="20"/>
          <w:szCs w:val="20"/>
        </w:rPr>
        <w:t>MusicXML</w:t>
      </w:r>
      <w:r>
        <w:rPr>
          <w:color w:val="000000"/>
          <w:sz w:val="20"/>
          <w:szCs w:val="20"/>
          <w:vertAlign w:val="superscript"/>
        </w:rPr>
        <w:t>TM</w:t>
      </w:r>
      <w:proofErr w:type="spellEnd"/>
      <w:r>
        <w:rPr>
          <w:color w:val="000000"/>
          <w:sz w:val="20"/>
          <w:szCs w:val="20"/>
        </w:rPr>
        <w:t xml:space="preserve">, </w:t>
      </w:r>
      <w:proofErr w:type="spellStart"/>
      <w:r>
        <w:rPr>
          <w:color w:val="000000"/>
          <w:sz w:val="20"/>
          <w:szCs w:val="20"/>
        </w:rPr>
        <w:t>Garritan</w:t>
      </w:r>
      <w:r>
        <w:rPr>
          <w:color w:val="000000"/>
          <w:sz w:val="20"/>
          <w:szCs w:val="20"/>
          <w:vertAlign w:val="superscript"/>
        </w:rPr>
        <w:t>TM</w:t>
      </w:r>
      <w:proofErr w:type="spellEnd"/>
      <w:r>
        <w:rPr>
          <w:color w:val="000000"/>
          <w:sz w:val="20"/>
          <w:szCs w:val="20"/>
        </w:rPr>
        <w:t>, Garritan World Instruments</w:t>
      </w:r>
      <w:r>
        <w:rPr>
          <w:color w:val="000000"/>
          <w:sz w:val="20"/>
          <w:szCs w:val="20"/>
          <w:vertAlign w:val="superscript"/>
        </w:rPr>
        <w:t xml:space="preserve"> TM</w:t>
      </w:r>
      <w:r>
        <w:rPr>
          <w:color w:val="000000"/>
          <w:sz w:val="20"/>
          <w:szCs w:val="20"/>
        </w:rPr>
        <w:t xml:space="preserve">,  Garritan Jazz &amp; Big </w:t>
      </w:r>
      <w:proofErr w:type="spellStart"/>
      <w:r>
        <w:rPr>
          <w:color w:val="000000"/>
          <w:sz w:val="20"/>
          <w:szCs w:val="20"/>
        </w:rPr>
        <w:t>Band</w:t>
      </w:r>
      <w:r>
        <w:rPr>
          <w:color w:val="000000"/>
          <w:sz w:val="20"/>
          <w:szCs w:val="20"/>
          <w:vertAlign w:val="superscript"/>
        </w:rPr>
        <w:t>TM</w:t>
      </w:r>
      <w:proofErr w:type="spellEnd"/>
      <w:r>
        <w:rPr>
          <w:color w:val="000000"/>
          <w:sz w:val="20"/>
          <w:szCs w:val="20"/>
        </w:rPr>
        <w:t xml:space="preserve"> and Garritan Concert &amp; Marching </w:t>
      </w:r>
      <w:proofErr w:type="spellStart"/>
      <w:r>
        <w:rPr>
          <w:color w:val="000000"/>
          <w:sz w:val="20"/>
          <w:szCs w:val="20"/>
        </w:rPr>
        <w:t>Band</w:t>
      </w:r>
      <w:r>
        <w:rPr>
          <w:color w:val="000000"/>
          <w:sz w:val="20"/>
          <w:szCs w:val="20"/>
          <w:vertAlign w:val="superscript"/>
        </w:rPr>
        <w:t>TM</w:t>
      </w:r>
      <w:proofErr w:type="spellEnd"/>
      <w:r>
        <w:rPr>
          <w:color w:val="000000"/>
          <w:sz w:val="20"/>
          <w:szCs w:val="20"/>
        </w:rPr>
        <w:t>.  In addition to our own registered trademarks listed above, this report also contains references to trademarks owned by third parties.</w:t>
      </w:r>
    </w:p>
    <w:p w:rsidR="006844FE" w:rsidRDefault="006844FE" w:rsidP="006844FE">
      <w:pPr>
        <w:rPr>
          <w:i/>
          <w:iCs/>
          <w:color w:val="000000"/>
          <w:sz w:val="20"/>
          <w:szCs w:val="20"/>
        </w:rPr>
      </w:pPr>
      <w:r>
        <w:rPr>
          <w:i/>
          <w:iCs/>
          <w:color w:val="000000"/>
          <w:sz w:val="20"/>
          <w:szCs w:val="20"/>
        </w:rPr>
        <w:t xml:space="preserve">Technology Infrastructure   </w:t>
      </w:r>
    </w:p>
    <w:p w:rsidR="006844FE" w:rsidRDefault="006844FE" w:rsidP="006844FE">
      <w:pPr>
        <w:rPr>
          <w:i/>
          <w:iCs/>
          <w:color w:val="000000"/>
          <w:sz w:val="20"/>
          <w:szCs w:val="20"/>
        </w:rPr>
      </w:pPr>
    </w:p>
    <w:p w:rsidR="006844FE" w:rsidRDefault="006844FE" w:rsidP="006844FE">
      <w:pPr>
        <w:spacing w:after="240"/>
        <w:ind w:firstLine="720"/>
        <w:rPr>
          <w:color w:val="000000"/>
          <w:sz w:val="20"/>
          <w:szCs w:val="20"/>
        </w:rPr>
      </w:pPr>
      <w:r>
        <w:rPr>
          <w:sz w:val="20"/>
          <w:szCs w:val="20"/>
        </w:rPr>
        <w:t xml:space="preserve">The </w:t>
      </w:r>
      <w:proofErr w:type="spellStart"/>
      <w:r>
        <w:rPr>
          <w:sz w:val="20"/>
          <w:szCs w:val="20"/>
        </w:rPr>
        <w:t>MakeMusic</w:t>
      </w:r>
      <w:proofErr w:type="spellEnd"/>
      <w:r>
        <w:rPr>
          <w:sz w:val="20"/>
          <w:szCs w:val="20"/>
        </w:rPr>
        <w:t xml:space="preserve"> data center is comprised of both on and offsite facilities. </w:t>
      </w:r>
      <w:proofErr w:type="spellStart"/>
      <w:r>
        <w:rPr>
          <w:sz w:val="20"/>
          <w:szCs w:val="20"/>
        </w:rPr>
        <w:t>MakeMusic’s</w:t>
      </w:r>
      <w:proofErr w:type="spellEnd"/>
      <w:r>
        <w:rPr>
          <w:sz w:val="20"/>
          <w:szCs w:val="20"/>
        </w:rPr>
        <w:t xml:space="preserve"> systems are operated internally with the assistance of certain third-party providers and offer extensive uptime and connectivity to the Internet via fiber optic connections. </w:t>
      </w:r>
      <w:proofErr w:type="spellStart"/>
      <w:r>
        <w:rPr>
          <w:sz w:val="20"/>
          <w:szCs w:val="20"/>
        </w:rPr>
        <w:t>MakeMusic’s</w:t>
      </w:r>
      <w:proofErr w:type="spellEnd"/>
      <w:r>
        <w:rPr>
          <w:sz w:val="20"/>
          <w:szCs w:val="20"/>
        </w:rPr>
        <w:t xml:space="preserve"> technology infrastructure utilizes industry standard best practices to provide availability and uptime in line with our customers’ expectations.  </w:t>
      </w:r>
    </w:p>
    <w:p w:rsidR="006844FE" w:rsidRDefault="006844FE" w:rsidP="006844FE"/>
    <w:p w:rsidR="004851D7" w:rsidRDefault="004851D7">
      <w:pPr>
        <w:spacing w:after="240"/>
        <w:rPr>
          <w:b/>
          <w:bCs/>
          <w:color w:val="000000"/>
          <w:sz w:val="20"/>
          <w:szCs w:val="20"/>
        </w:rPr>
      </w:pPr>
      <w:r w:rsidRPr="006B564D">
        <w:rPr>
          <w:b/>
          <w:bCs/>
          <w:color w:val="000000"/>
          <w:sz w:val="20"/>
          <w:szCs w:val="20"/>
        </w:rPr>
        <w:t>Available Information</w:t>
      </w:r>
    </w:p>
    <w:p w:rsidR="004851D7" w:rsidRDefault="004851D7">
      <w:pPr>
        <w:spacing w:after="240"/>
        <w:ind w:firstLine="720"/>
        <w:rPr>
          <w:color w:val="000000"/>
          <w:sz w:val="20"/>
          <w:szCs w:val="20"/>
        </w:rPr>
      </w:pPr>
      <w:r>
        <w:rPr>
          <w:color w:val="000000"/>
          <w:sz w:val="20"/>
          <w:szCs w:val="20"/>
        </w:rPr>
        <w:t xml:space="preserve">All reports filed electronically by </w:t>
      </w:r>
      <w:proofErr w:type="spellStart"/>
      <w:r>
        <w:rPr>
          <w:color w:val="000000"/>
          <w:sz w:val="20"/>
          <w:szCs w:val="20"/>
        </w:rPr>
        <w:t>MakeMusic</w:t>
      </w:r>
      <w:proofErr w:type="spellEnd"/>
      <w:r>
        <w:rPr>
          <w:color w:val="000000"/>
          <w:sz w:val="20"/>
          <w:szCs w:val="20"/>
        </w:rPr>
        <w:t xml:space="preserve"> with the Securities and Exchange Commission (“SEC”), including its annual reports on Form 10-K, quarterly reports on Form 10-Q, current reports on Form 8-K, proxy and information statements, other information and amendments to those reports filed (if applicable), are accessible at no cost by contacting the Investor Relations department at </w:t>
      </w:r>
      <w:proofErr w:type="spellStart"/>
      <w:r>
        <w:rPr>
          <w:color w:val="000000"/>
          <w:sz w:val="20"/>
          <w:szCs w:val="20"/>
        </w:rPr>
        <w:t>MakeMusic</w:t>
      </w:r>
      <w:proofErr w:type="spellEnd"/>
      <w:r>
        <w:rPr>
          <w:color w:val="000000"/>
          <w:sz w:val="20"/>
          <w:szCs w:val="20"/>
        </w:rPr>
        <w:t xml:space="preserve">. These filings are also accessible on the SEC’s website at </w:t>
      </w:r>
      <w:r>
        <w:rPr>
          <w:color w:val="000000"/>
          <w:sz w:val="20"/>
          <w:szCs w:val="20"/>
          <w:u w:val="single"/>
        </w:rPr>
        <w:t>www.sec.gov</w:t>
      </w:r>
      <w:r>
        <w:rPr>
          <w:color w:val="000000"/>
          <w:sz w:val="20"/>
          <w:szCs w:val="20"/>
        </w:rPr>
        <w:t xml:space="preserve">. The public may read and copy any materials filed by </w:t>
      </w:r>
      <w:proofErr w:type="spellStart"/>
      <w:r>
        <w:rPr>
          <w:color w:val="000000"/>
          <w:sz w:val="20"/>
          <w:szCs w:val="20"/>
        </w:rPr>
        <w:t>MakeMusic</w:t>
      </w:r>
      <w:proofErr w:type="spellEnd"/>
      <w:r>
        <w:rPr>
          <w:color w:val="000000"/>
          <w:sz w:val="20"/>
          <w:szCs w:val="20"/>
        </w:rPr>
        <w:t xml:space="preserve"> with the SEC at the SEC’s Public Reference Room at 100 F Street, NE, Washington, DC 20549. The public may also obtain information from the Public Reference Room by calling the SEC at 1-800-SEC-0330.</w:t>
      </w:r>
    </w:p>
    <w:p w:rsidR="00C25E0F" w:rsidRDefault="00C25E0F" w:rsidP="00C25E0F">
      <w:pPr>
        <w:keepNext/>
        <w:spacing w:after="240"/>
        <w:rPr>
          <w:b/>
          <w:bCs/>
          <w:color w:val="000000"/>
          <w:sz w:val="20"/>
          <w:szCs w:val="20"/>
        </w:rPr>
      </w:pPr>
      <w:r>
        <w:rPr>
          <w:b/>
          <w:bCs/>
          <w:color w:val="000000"/>
          <w:sz w:val="20"/>
          <w:szCs w:val="20"/>
        </w:rPr>
        <w:t>Cautionary Statements</w:t>
      </w:r>
    </w:p>
    <w:p w:rsidR="00C25E0F" w:rsidRDefault="00C25E0F" w:rsidP="00C25E0F">
      <w:pPr>
        <w:spacing w:after="240"/>
        <w:ind w:firstLine="720"/>
        <w:rPr>
          <w:sz w:val="20"/>
          <w:szCs w:val="20"/>
        </w:rPr>
      </w:pPr>
      <w:r>
        <w:rPr>
          <w:sz w:val="20"/>
          <w:szCs w:val="20"/>
        </w:rPr>
        <w:t xml:space="preserve">The Private Securities Litigation Reform Act of 1995 (the “Reform Act”) provides a safe harbor for forward-looking statements made by us or on our behalf. We have made, and may continue to make, various written or verbal forward-looking statements with respect to business and financial matters, including statements contained in this document, other filings with the SEC and reports to shareholders. Forward-looking statements provide current expectations or forecasts of future events and can be identified by the use of terminology such as “believe,” </w:t>
      </w:r>
      <w:r>
        <w:rPr>
          <w:sz w:val="20"/>
          <w:szCs w:val="20"/>
        </w:rPr>
        <w:lastRenderedPageBreak/>
        <w:t>“estimate,” “expect,” “intend,” “may,” “could,” “will” and similar words or expressions. Forward-looking statements speak only as of the date on which they are made.</w:t>
      </w:r>
    </w:p>
    <w:p w:rsidR="004D3608" w:rsidRDefault="004D3608" w:rsidP="004D3608">
      <w:pPr>
        <w:spacing w:after="240"/>
        <w:ind w:firstLine="720"/>
        <w:rPr>
          <w:color w:val="000000"/>
          <w:sz w:val="20"/>
          <w:szCs w:val="20"/>
        </w:rPr>
      </w:pPr>
      <w:r>
        <w:rPr>
          <w:color w:val="000000"/>
          <w:sz w:val="20"/>
          <w:szCs w:val="20"/>
        </w:rPr>
        <w:t xml:space="preserve">Our forward-looking statements generally relate to the following: expected benefits and synergies from recent acquisitions and business development efforts; our intent to develop sound libraries, modernize the Finale interface and improve user experiences; beliefs about our ability to compete in the music software industry; expectations and beliefs relating to our vendors, contractors and suppliers; beliefs about the impact of intellectual property and licensing rights and our ability to develop, license and maintain intellectual property rights in the future; expectations relating to our business model and strategy; identification of metrics that are indicative of </w:t>
      </w:r>
      <w:proofErr w:type="spellStart"/>
      <w:r>
        <w:rPr>
          <w:color w:val="000000"/>
          <w:sz w:val="20"/>
          <w:szCs w:val="20"/>
        </w:rPr>
        <w:t>SmartMusic</w:t>
      </w:r>
      <w:proofErr w:type="spellEnd"/>
      <w:r>
        <w:rPr>
          <w:color w:val="000000"/>
          <w:sz w:val="20"/>
          <w:szCs w:val="20"/>
        </w:rPr>
        <w:t xml:space="preserve"> growth; expectations with respect to sales strategies and future product distribution methods; expected development, production, marketing, capital and other expenses; beliefs relating to the market penetration of our products, including expectations in regard to subscription rates, site agreements, international sales, synergies between our products lines, and sales; expectations regarding our results of operations; expectations and beliefs regarding executive compensation arrangements; beliefs with respect to realization of deferred tax assets and our intent to retain earnings for use in operations. Forward-looking statements cannot be guaranteed and actual results may vary materially due to the uncertainties and risks, known and unknown, associated with such statements. We do not intend to update any forward-looking statements unless required by law. We wish to caution investors that the following important factors, among others, in some cases have affected and in the future could affect our actual results of operations and cause such results to differ materially from those anticipated in forward-looking statements made in this document and elsewhere by us or on our behalf. It is not possible to foresee or identify all factors that could cause actual results to differ from expected or historic results. As such, investors should not consider any list of such factors to be an exhaustive statement of all risks, uncertainties, or potentially inaccurate assumptions.</w:t>
      </w:r>
    </w:p>
    <w:p w:rsidR="00C25E0F" w:rsidRDefault="00C25E0F" w:rsidP="00C25E0F">
      <w:pPr>
        <w:spacing w:after="240"/>
        <w:ind w:firstLine="720"/>
        <w:rPr>
          <w:color w:val="000000"/>
          <w:sz w:val="20"/>
          <w:szCs w:val="20"/>
        </w:rPr>
      </w:pPr>
      <w:r>
        <w:rPr>
          <w:b/>
          <w:bCs/>
          <w:color w:val="000000"/>
          <w:sz w:val="20"/>
          <w:szCs w:val="20"/>
        </w:rPr>
        <w:t xml:space="preserve">We currently believe that we have sufficient capital, but we may have other future capital needs. </w:t>
      </w:r>
      <w:r>
        <w:rPr>
          <w:bCs/>
          <w:color w:val="000000"/>
          <w:sz w:val="20"/>
          <w:szCs w:val="20"/>
        </w:rPr>
        <w:t>Although our operating cash flow was positive in 2011, w</w:t>
      </w:r>
      <w:r w:rsidRPr="00894072">
        <w:rPr>
          <w:bCs/>
          <w:color w:val="000000"/>
          <w:sz w:val="20"/>
          <w:szCs w:val="20"/>
        </w:rPr>
        <w:t xml:space="preserve">e experienced a net decrease in cash in 2011 due to lower operating cash flow and expenses related to business acquisitions, product development and financing activities. </w:t>
      </w:r>
      <w:proofErr w:type="gramStart"/>
      <w:r>
        <w:rPr>
          <w:color w:val="000000"/>
          <w:sz w:val="20"/>
          <w:szCs w:val="20"/>
        </w:rPr>
        <w:t>We  expect</w:t>
      </w:r>
      <w:proofErr w:type="gramEnd"/>
      <w:r>
        <w:rPr>
          <w:color w:val="000000"/>
          <w:sz w:val="20"/>
          <w:szCs w:val="20"/>
        </w:rPr>
        <w:t xml:space="preserve"> our operating cash flows to continue to be positive in the future, provided we continue to increase revenue and manage expenses. We believe our cash reserves are sufficient to execute our strategies. If we do not maintain positive cash flow, or if there is a significant change in our business plan or operating results, we may need additional capital in the form of debt or equity financing to continue to operate the business. There is no assurance that additional debt or equity financing will be available to us on favorable terms or at all.</w:t>
      </w:r>
    </w:p>
    <w:p w:rsidR="00C25E0F" w:rsidRDefault="00C25E0F" w:rsidP="00C25E0F">
      <w:pPr>
        <w:spacing w:after="240"/>
        <w:ind w:firstLine="720"/>
        <w:rPr>
          <w:color w:val="000000"/>
          <w:sz w:val="20"/>
          <w:szCs w:val="20"/>
        </w:rPr>
      </w:pPr>
      <w:r>
        <w:rPr>
          <w:b/>
          <w:bCs/>
          <w:color w:val="000000"/>
          <w:sz w:val="20"/>
          <w:szCs w:val="20"/>
        </w:rPr>
        <w:t xml:space="preserve">We are dependent upon our new product development efforts. </w:t>
      </w:r>
      <w:r>
        <w:rPr>
          <w:color w:val="000000"/>
          <w:sz w:val="20"/>
          <w:szCs w:val="20"/>
        </w:rPr>
        <w:t xml:space="preserve">Additional development work is required to increase the breadth of and provide periodic upgrades to our </w:t>
      </w:r>
      <w:proofErr w:type="spellStart"/>
      <w:r>
        <w:rPr>
          <w:color w:val="000000"/>
          <w:sz w:val="20"/>
          <w:szCs w:val="20"/>
        </w:rPr>
        <w:t>SmartMusic</w:t>
      </w:r>
      <w:proofErr w:type="spellEnd"/>
      <w:r>
        <w:rPr>
          <w:color w:val="000000"/>
          <w:sz w:val="20"/>
          <w:szCs w:val="20"/>
        </w:rPr>
        <w:t xml:space="preserve"> and Finale products</w:t>
      </w:r>
      <w:r w:rsidR="00966CAD">
        <w:rPr>
          <w:color w:val="000000"/>
          <w:sz w:val="20"/>
          <w:szCs w:val="20"/>
        </w:rPr>
        <w:t xml:space="preserve">, to </w:t>
      </w:r>
      <w:r>
        <w:rPr>
          <w:color w:val="000000"/>
          <w:sz w:val="20"/>
          <w:szCs w:val="20"/>
        </w:rPr>
        <w:t xml:space="preserve">expand the accompaniment repertoire for </w:t>
      </w:r>
      <w:proofErr w:type="spellStart"/>
      <w:r>
        <w:rPr>
          <w:color w:val="000000"/>
          <w:sz w:val="20"/>
          <w:szCs w:val="20"/>
        </w:rPr>
        <w:t>SmartMusic</w:t>
      </w:r>
      <w:proofErr w:type="spellEnd"/>
      <w:r w:rsidR="00966CAD">
        <w:rPr>
          <w:color w:val="000000"/>
          <w:sz w:val="20"/>
          <w:szCs w:val="20"/>
        </w:rPr>
        <w:t xml:space="preserve"> and to release new sound sample libraries</w:t>
      </w:r>
      <w:r>
        <w:rPr>
          <w:color w:val="000000"/>
          <w:sz w:val="20"/>
          <w:szCs w:val="20"/>
        </w:rPr>
        <w:t>. There can be no assurance that our timetable for any of our development plans will be achieved, that sufficient development resources will be available,</w:t>
      </w:r>
      <w:r w:rsidR="00966CAD">
        <w:rPr>
          <w:color w:val="000000"/>
          <w:sz w:val="20"/>
          <w:szCs w:val="20"/>
        </w:rPr>
        <w:t xml:space="preserve"> </w:t>
      </w:r>
      <w:r w:rsidR="00110D1D">
        <w:rPr>
          <w:color w:val="000000"/>
          <w:sz w:val="20"/>
          <w:szCs w:val="20"/>
        </w:rPr>
        <w:t xml:space="preserve">that we will be able to retain or maximize contributions from </w:t>
      </w:r>
      <w:r w:rsidR="00966CAD">
        <w:rPr>
          <w:color w:val="000000"/>
          <w:sz w:val="20"/>
          <w:szCs w:val="20"/>
        </w:rPr>
        <w:t xml:space="preserve">key individuals who joined </w:t>
      </w:r>
      <w:proofErr w:type="spellStart"/>
      <w:r w:rsidR="00966CAD">
        <w:rPr>
          <w:color w:val="000000"/>
          <w:sz w:val="20"/>
          <w:szCs w:val="20"/>
        </w:rPr>
        <w:t>MakeMusic</w:t>
      </w:r>
      <w:proofErr w:type="spellEnd"/>
      <w:r w:rsidR="00966CAD">
        <w:rPr>
          <w:color w:val="000000"/>
          <w:sz w:val="20"/>
          <w:szCs w:val="20"/>
        </w:rPr>
        <w:t xml:space="preserve"> as part of our recent acquisitions,</w:t>
      </w:r>
      <w:r>
        <w:rPr>
          <w:color w:val="000000"/>
          <w:sz w:val="20"/>
          <w:szCs w:val="20"/>
        </w:rPr>
        <w:t xml:space="preserve"> or that development efforts will be successful. </w:t>
      </w:r>
    </w:p>
    <w:p w:rsidR="00C25E0F" w:rsidRDefault="00C25E0F" w:rsidP="00C25E0F">
      <w:pPr>
        <w:spacing w:after="240"/>
        <w:ind w:firstLine="720"/>
        <w:rPr>
          <w:sz w:val="20"/>
          <w:szCs w:val="20"/>
        </w:rPr>
      </w:pPr>
      <w:r>
        <w:rPr>
          <w:b/>
          <w:bCs/>
          <w:color w:val="000000"/>
          <w:sz w:val="20"/>
          <w:szCs w:val="20"/>
        </w:rPr>
        <w:t xml:space="preserve">We are dependent upon the Internet in our business. </w:t>
      </w:r>
      <w:r>
        <w:rPr>
          <w:sz w:val="20"/>
          <w:szCs w:val="20"/>
        </w:rPr>
        <w:t xml:space="preserve">We are dependent on the Internet to activate our </w:t>
      </w:r>
      <w:proofErr w:type="spellStart"/>
      <w:r>
        <w:rPr>
          <w:sz w:val="20"/>
          <w:szCs w:val="20"/>
        </w:rPr>
        <w:t>SmartMusic</w:t>
      </w:r>
      <w:proofErr w:type="spellEnd"/>
      <w:r>
        <w:rPr>
          <w:sz w:val="20"/>
          <w:szCs w:val="20"/>
        </w:rPr>
        <w:t xml:space="preserve"> subscriptions and secure our licensed content. We also utilize the Internet </w:t>
      </w:r>
      <w:r w:rsidR="004D3608">
        <w:rPr>
          <w:sz w:val="20"/>
          <w:szCs w:val="20"/>
        </w:rPr>
        <w:t>to process orders and to make certain products available for download.</w:t>
      </w:r>
      <w:r>
        <w:rPr>
          <w:sz w:val="20"/>
          <w:szCs w:val="20"/>
        </w:rPr>
        <w:t xml:space="preserve"> Critical issues concerning the commercial use of the Internet, including security, cost, ease of use and access, intellectual property ownership, and other legal liability issues, remain unresolved and could materially and adversely affect both the growth of Internet usage generally and our business in particular. If we experience problems developing and maintaining our Internet operations, our sales, operating results, and financial condition could be adversely affected.</w:t>
      </w:r>
    </w:p>
    <w:p w:rsidR="00C25E0F" w:rsidRDefault="00C25E0F" w:rsidP="00C25E0F">
      <w:pPr>
        <w:spacing w:after="240"/>
        <w:ind w:firstLine="720"/>
        <w:rPr>
          <w:color w:val="000000"/>
          <w:sz w:val="20"/>
          <w:szCs w:val="20"/>
        </w:rPr>
      </w:pPr>
      <w:r>
        <w:rPr>
          <w:b/>
          <w:bCs/>
          <w:color w:val="000000"/>
          <w:sz w:val="20"/>
          <w:szCs w:val="20"/>
        </w:rPr>
        <w:t xml:space="preserve">We are dependent upon obtaining and maintaining license agreements with music publishers, of which there are a limited number. </w:t>
      </w:r>
      <w:r>
        <w:rPr>
          <w:color w:val="000000"/>
          <w:sz w:val="20"/>
          <w:szCs w:val="20"/>
        </w:rPr>
        <w:t>The world market for music license rights is highly concentrated among a limited number of publishers. We have entered into license agreements with leading music publishers that provide access to certain musical titles for accompaniment development. Many of our contracts with major publishers are not exclusive, which means that similar agreements may be made with competitors or that the publishers themselves may sell the same titles. While we believe that our relationships with these publishers are good, there can be no assurance that we will be able to maintain or expand these relationships. The lack of a sufficient number and variety of musical arrangements would greatly limit the ability to market our products and services.</w:t>
      </w:r>
    </w:p>
    <w:p w:rsidR="00C25E0F" w:rsidRDefault="00C25E0F" w:rsidP="00C25E0F">
      <w:pPr>
        <w:spacing w:after="240"/>
        <w:ind w:firstLine="720"/>
        <w:rPr>
          <w:color w:val="000000"/>
          <w:sz w:val="20"/>
          <w:szCs w:val="20"/>
        </w:rPr>
      </w:pPr>
      <w:r>
        <w:rPr>
          <w:b/>
          <w:bCs/>
          <w:color w:val="000000"/>
          <w:sz w:val="20"/>
          <w:szCs w:val="20"/>
        </w:rPr>
        <w:lastRenderedPageBreak/>
        <w:t xml:space="preserve">Certain of our products have limited and fluctuating sales. </w:t>
      </w:r>
      <w:r>
        <w:rPr>
          <w:color w:val="000000"/>
          <w:sz w:val="20"/>
          <w:szCs w:val="20"/>
        </w:rPr>
        <w:t xml:space="preserve">Sales of our </w:t>
      </w:r>
      <w:proofErr w:type="spellStart"/>
      <w:r>
        <w:rPr>
          <w:color w:val="000000"/>
          <w:sz w:val="20"/>
          <w:szCs w:val="20"/>
        </w:rPr>
        <w:t>SmartMusic</w:t>
      </w:r>
      <w:proofErr w:type="spellEnd"/>
      <w:r>
        <w:rPr>
          <w:color w:val="000000"/>
          <w:sz w:val="20"/>
          <w:szCs w:val="20"/>
        </w:rPr>
        <w:t xml:space="preserve"> subscription products have not achieved, and may not achieve, significant levels. Further, Internet sales have fluctuated, as have sales of Finale products, which are historically higher following the release of product upgrades and were impacted in 2011 by a delay in the product release cycle. We believe that results of operations may fluctuate as a result of, among other things, the purchasing cycle of the education market and the timing of releases of new products and product upgrades. Certain states have had significant budget deficits and education funding cuts, which could negatively impact sales of products to the education market. Additionally, we have rapidly expanded our direct educational sales organization. There is no guarantee that our sales strategy will result in increased </w:t>
      </w:r>
      <w:proofErr w:type="spellStart"/>
      <w:r>
        <w:rPr>
          <w:color w:val="000000"/>
          <w:sz w:val="20"/>
          <w:szCs w:val="20"/>
        </w:rPr>
        <w:t>SmartMusic</w:t>
      </w:r>
      <w:proofErr w:type="spellEnd"/>
      <w:r>
        <w:rPr>
          <w:color w:val="000000"/>
          <w:sz w:val="20"/>
          <w:szCs w:val="20"/>
        </w:rPr>
        <w:t xml:space="preserve"> subscriptions. We may also have limited success retaining sales personnel.</w:t>
      </w:r>
    </w:p>
    <w:p w:rsidR="00C25E0F" w:rsidRDefault="00C25E0F" w:rsidP="00C25E0F">
      <w:pPr>
        <w:spacing w:after="240"/>
        <w:ind w:firstLine="720"/>
        <w:rPr>
          <w:bCs/>
          <w:color w:val="000000"/>
          <w:sz w:val="20"/>
          <w:szCs w:val="20"/>
        </w:rPr>
      </w:pPr>
      <w:r>
        <w:rPr>
          <w:b/>
          <w:bCs/>
          <w:color w:val="000000"/>
          <w:sz w:val="20"/>
          <w:szCs w:val="20"/>
        </w:rPr>
        <w:t xml:space="preserve">The uncertainty in worldwide economic conditions may divert consumer spending from our products. </w:t>
      </w:r>
      <w:r>
        <w:rPr>
          <w:bCs/>
          <w:color w:val="000000"/>
          <w:sz w:val="20"/>
          <w:szCs w:val="20"/>
        </w:rPr>
        <w:t xml:space="preserve">The spending habits of our target group of students and their families are often impacted by general economic conditions. If the improvement of economic conditions remains uncertain in the United States or internationally, our target customers’ discretionary income and purchasing decisions may change. This could negatively impact Notation sales, </w:t>
      </w:r>
      <w:proofErr w:type="spellStart"/>
      <w:r>
        <w:rPr>
          <w:bCs/>
          <w:color w:val="000000"/>
          <w:sz w:val="20"/>
          <w:szCs w:val="20"/>
        </w:rPr>
        <w:t>SmartMusic</w:t>
      </w:r>
      <w:proofErr w:type="spellEnd"/>
      <w:r>
        <w:rPr>
          <w:bCs/>
          <w:color w:val="000000"/>
          <w:sz w:val="20"/>
          <w:szCs w:val="20"/>
        </w:rPr>
        <w:t xml:space="preserve"> subscription rates and accessory sales.  </w:t>
      </w:r>
    </w:p>
    <w:p w:rsidR="00C25E0F" w:rsidRDefault="00C25E0F" w:rsidP="00C25E0F">
      <w:pPr>
        <w:spacing w:after="240"/>
        <w:ind w:firstLine="720"/>
        <w:rPr>
          <w:color w:val="000000"/>
          <w:sz w:val="20"/>
          <w:szCs w:val="20"/>
        </w:rPr>
      </w:pPr>
      <w:r>
        <w:rPr>
          <w:b/>
          <w:bCs/>
          <w:color w:val="000000"/>
          <w:sz w:val="20"/>
          <w:szCs w:val="20"/>
        </w:rPr>
        <w:t xml:space="preserve">We have incurred operating losses in the past and may incur losses in the future. </w:t>
      </w:r>
      <w:r>
        <w:rPr>
          <w:bCs/>
          <w:color w:val="000000"/>
          <w:sz w:val="20"/>
          <w:szCs w:val="20"/>
        </w:rPr>
        <w:t xml:space="preserve">While we have been profitable for the past seven years, </w:t>
      </w:r>
      <w:r>
        <w:rPr>
          <w:color w:val="000000"/>
          <w:sz w:val="20"/>
          <w:szCs w:val="20"/>
        </w:rPr>
        <w:t>we have incurred losses from operations in the past and may incur such losses in the future. In order to continue to develop our business and planned product and service offerings, we will be required to continue to devote capital to, among other things, marketing and development efforts. There can be no assurance that we will operate profitably or provide an economic return to investors.</w:t>
      </w:r>
    </w:p>
    <w:p w:rsidR="00C25E0F" w:rsidRDefault="00C25E0F" w:rsidP="00C25E0F">
      <w:pPr>
        <w:spacing w:after="240"/>
        <w:ind w:firstLine="720"/>
        <w:rPr>
          <w:b/>
          <w:bCs/>
          <w:color w:val="000000"/>
          <w:sz w:val="20"/>
          <w:szCs w:val="20"/>
        </w:rPr>
      </w:pPr>
      <w:r>
        <w:rPr>
          <w:b/>
          <w:bCs/>
          <w:color w:val="000000"/>
          <w:sz w:val="20"/>
          <w:szCs w:val="20"/>
        </w:rPr>
        <w:t xml:space="preserve">We face intense competition. </w:t>
      </w:r>
      <w:r>
        <w:rPr>
          <w:color w:val="000000"/>
          <w:sz w:val="20"/>
          <w:szCs w:val="20"/>
        </w:rPr>
        <w:t xml:space="preserve">While competition for </w:t>
      </w:r>
      <w:proofErr w:type="spellStart"/>
      <w:r>
        <w:rPr>
          <w:color w:val="000000"/>
          <w:sz w:val="20"/>
          <w:szCs w:val="20"/>
        </w:rPr>
        <w:t>SmartMusic</w:t>
      </w:r>
      <w:proofErr w:type="spellEnd"/>
      <w:r>
        <w:rPr>
          <w:color w:val="000000"/>
          <w:sz w:val="20"/>
          <w:szCs w:val="20"/>
        </w:rPr>
        <w:t xml:space="preserve"> is relatively limited, there can be no assurance that others, such as large electronic and musical instrument manufacturers, will not enter this market. Competition in the notation line of business could also potentially adversely impact future sales levels. Our ability to continue to compete effectively will be substantially dependent upon our ability to continue to improve our product offerings and our sales and marketing initiatives. If such improvements and development efforts do not materialize as intended, we may lose our ability to differentiate our products from those of our competitors. In addition, increasing competition in the music software market could cause prices to fall and the volume of transactions to decline, either of which could adversely affect our business, operating results, and financial condition.</w:t>
      </w:r>
    </w:p>
    <w:p w:rsidR="00C25E0F" w:rsidRDefault="00C25E0F" w:rsidP="00C25E0F">
      <w:pPr>
        <w:spacing w:after="240"/>
        <w:ind w:firstLine="720"/>
        <w:rPr>
          <w:color w:val="000000"/>
          <w:sz w:val="20"/>
          <w:szCs w:val="20"/>
        </w:rPr>
      </w:pPr>
      <w:r>
        <w:rPr>
          <w:b/>
          <w:bCs/>
          <w:color w:val="000000"/>
          <w:sz w:val="20"/>
          <w:szCs w:val="20"/>
        </w:rPr>
        <w:t xml:space="preserve">Rapid technological changes and obsolescence may adversely affect our business. </w:t>
      </w:r>
      <w:r>
        <w:rPr>
          <w:color w:val="000000"/>
          <w:sz w:val="20"/>
          <w:szCs w:val="20"/>
        </w:rPr>
        <w:t xml:space="preserve">We operate in an industry greatly affected by technological changes. </w:t>
      </w:r>
      <w:r w:rsidR="00966CAD">
        <w:rPr>
          <w:color w:val="000000"/>
          <w:sz w:val="20"/>
          <w:szCs w:val="20"/>
        </w:rPr>
        <w:t>C</w:t>
      </w:r>
      <w:r>
        <w:rPr>
          <w:color w:val="000000"/>
          <w:sz w:val="20"/>
          <w:szCs w:val="20"/>
        </w:rPr>
        <w:t xml:space="preserve">ontinued advancements in computer software, hardware, </w:t>
      </w:r>
      <w:r w:rsidR="00966CAD">
        <w:rPr>
          <w:color w:val="000000"/>
          <w:sz w:val="20"/>
          <w:szCs w:val="20"/>
        </w:rPr>
        <w:t xml:space="preserve">operating systems </w:t>
      </w:r>
      <w:r>
        <w:rPr>
          <w:color w:val="000000"/>
          <w:sz w:val="20"/>
          <w:szCs w:val="20"/>
        </w:rPr>
        <w:t>and network designs and formats may impact our ability to effectively maintain our Internet-based sales efforts in a workable and user-friendly format. The proprietary technology we use to protect access to our licensed files may be effective for only a limited period by reason of technological change. We must, therefore, devote new resources to improve or modify this security system, which is a critical aspect of our ability to establish and maintain relationships with music publishers. While we currently believe that we have sufficient resources to address technological changes that may affect our business, there can be no assurance that any such technological changes will not prove too much for us to overcome in a cost-effective manner.</w:t>
      </w:r>
    </w:p>
    <w:p w:rsidR="00C25E0F" w:rsidRDefault="00C25E0F" w:rsidP="00C25E0F">
      <w:pPr>
        <w:pStyle w:val="NormalWeb"/>
        <w:spacing w:before="225" w:beforeAutospacing="0" w:after="0" w:afterAutospacing="0"/>
        <w:ind w:firstLine="490"/>
      </w:pPr>
      <w:r>
        <w:rPr>
          <w:b/>
          <w:bCs/>
          <w:iCs/>
          <w:sz w:val="20"/>
          <w:szCs w:val="20"/>
        </w:rPr>
        <w:t xml:space="preserve">The success of our web-based products and services is dependent upon our ability to protect user information and comply with data protection laws and regulations. </w:t>
      </w:r>
      <w:r>
        <w:rPr>
          <w:sz w:val="20"/>
          <w:szCs w:val="20"/>
        </w:rPr>
        <w:t>In connection with the use of our web-based products, users provide us with certain personal information. The collection, use, disclosure or security of personal information or other privacy-related matters are regulated by applicable data protection laws. While we strive to comply with all applicable data protection laws and regulations, as well as our own posted privacy policies, any failure or perceived failure to comply may result in proceedings or actions against us by government entities, individuals or others, which could potentially have an adverse effect on our business. Further, federal, state, and international regulations regarding privacy and data protection may become more stringent in the future, which could increase our cost of compliance,</w:t>
      </w:r>
    </w:p>
    <w:p w:rsidR="00C25E0F" w:rsidRDefault="00C25E0F" w:rsidP="00C25E0F">
      <w:pPr>
        <w:pStyle w:val="NormalWeb"/>
        <w:spacing w:before="0" w:beforeAutospacing="0" w:after="0" w:afterAutospacing="0"/>
        <w:ind w:firstLine="490"/>
        <w:rPr>
          <w:sz w:val="20"/>
          <w:szCs w:val="20"/>
        </w:rPr>
      </w:pPr>
    </w:p>
    <w:p w:rsidR="00C25E0F" w:rsidRDefault="00C25E0F" w:rsidP="00C25E0F">
      <w:pPr>
        <w:pStyle w:val="NormalWeb"/>
        <w:spacing w:before="0" w:beforeAutospacing="0" w:after="0" w:afterAutospacing="0"/>
        <w:ind w:firstLine="490"/>
        <w:rPr>
          <w:sz w:val="20"/>
          <w:szCs w:val="20"/>
        </w:rPr>
      </w:pPr>
      <w:r>
        <w:rPr>
          <w:sz w:val="20"/>
          <w:szCs w:val="20"/>
        </w:rPr>
        <w:t xml:space="preserve">In addition, as our </w:t>
      </w:r>
      <w:proofErr w:type="spellStart"/>
      <w:r>
        <w:rPr>
          <w:sz w:val="20"/>
          <w:szCs w:val="20"/>
        </w:rPr>
        <w:t>SmartMusic</w:t>
      </w:r>
      <w:proofErr w:type="spellEnd"/>
      <w:r>
        <w:rPr>
          <w:sz w:val="20"/>
          <w:szCs w:val="20"/>
        </w:rPr>
        <w:t xml:space="preserve"> </w:t>
      </w:r>
      <w:proofErr w:type="spellStart"/>
      <w:r>
        <w:rPr>
          <w:sz w:val="20"/>
          <w:szCs w:val="20"/>
        </w:rPr>
        <w:t>Gradebook</w:t>
      </w:r>
      <w:proofErr w:type="spellEnd"/>
      <w:r>
        <w:rPr>
          <w:sz w:val="20"/>
          <w:szCs w:val="20"/>
        </w:rPr>
        <w:t xml:space="preserve"> product is web-based, the amount of data we store for our users on our servers (including personal information) has been increasing. Any systems failure or compromise of our security that results in the release of our users’ data could seriously limit the adoption of our products as well as harm our reputation and brand and, therefore, our business. We may also need to expend significant resources to protect </w:t>
      </w:r>
      <w:r>
        <w:rPr>
          <w:sz w:val="20"/>
          <w:szCs w:val="20"/>
        </w:rPr>
        <w:lastRenderedPageBreak/>
        <w:t>against system failure or security breaches. The risk that these types of events could seriously harm our business is likely to increase as we expand the number of subscribers to our products.</w:t>
      </w:r>
    </w:p>
    <w:p w:rsidR="00C25E0F" w:rsidRDefault="00C25E0F" w:rsidP="00C25E0F">
      <w:pPr>
        <w:pStyle w:val="NormalWeb"/>
        <w:spacing w:before="0" w:beforeAutospacing="0" w:after="0" w:afterAutospacing="0"/>
        <w:ind w:firstLine="490"/>
        <w:rPr>
          <w:sz w:val="20"/>
          <w:szCs w:val="20"/>
        </w:rPr>
      </w:pPr>
    </w:p>
    <w:p w:rsidR="00C25E0F" w:rsidRDefault="00C25E0F" w:rsidP="00C25E0F">
      <w:pPr>
        <w:spacing w:after="240"/>
        <w:ind w:firstLine="720"/>
        <w:rPr>
          <w:color w:val="000000"/>
          <w:sz w:val="20"/>
          <w:szCs w:val="20"/>
        </w:rPr>
      </w:pPr>
      <w:r>
        <w:rPr>
          <w:b/>
          <w:bCs/>
          <w:color w:val="000000"/>
          <w:sz w:val="20"/>
          <w:szCs w:val="20"/>
        </w:rPr>
        <w:t xml:space="preserve">We are dependent upon key personnel. </w:t>
      </w:r>
      <w:r>
        <w:rPr>
          <w:color w:val="000000"/>
          <w:sz w:val="20"/>
          <w:szCs w:val="20"/>
        </w:rPr>
        <w:t xml:space="preserve">Our performance is closely linked to the performance of our management and key personnel. Recently, we have made significant changes among our executives and key personnel. Such changes, and the time and costs associated with locating and integrating replacements, could affect our ability to execute our strategic plans. </w:t>
      </w:r>
    </w:p>
    <w:p w:rsidR="00C25E0F" w:rsidRDefault="00C25E0F" w:rsidP="00C25E0F">
      <w:pPr>
        <w:spacing w:after="240"/>
        <w:ind w:firstLine="720"/>
        <w:rPr>
          <w:color w:val="000000"/>
          <w:sz w:val="20"/>
          <w:szCs w:val="20"/>
        </w:rPr>
      </w:pPr>
      <w:r>
        <w:rPr>
          <w:b/>
          <w:bCs/>
          <w:color w:val="000000"/>
          <w:sz w:val="20"/>
          <w:szCs w:val="20"/>
        </w:rPr>
        <w:t xml:space="preserve">We are dependent upon proprietary technology and cannot assure protection of such technology. </w:t>
      </w:r>
      <w:r>
        <w:rPr>
          <w:color w:val="000000"/>
          <w:sz w:val="20"/>
          <w:szCs w:val="20"/>
        </w:rPr>
        <w:t>There can be no assurance that our proprietary technology will provide us with significant competitive advantages, that other companies will not develop substantially equivalent technology, or that we will be able to protect our technologies. We could incur substantial costs in seeking enforcement of our patents or in defending ourselves against patent infringement claims by others. Further, there can be no assurance that we will be able to obtain or maintain patent protection in the markets in which we intend to offer products.</w:t>
      </w:r>
    </w:p>
    <w:p w:rsidR="00C25E0F" w:rsidRDefault="00C25E0F" w:rsidP="00C25E0F">
      <w:pPr>
        <w:spacing w:after="240"/>
        <w:ind w:firstLine="720"/>
        <w:rPr>
          <w:b/>
          <w:bCs/>
          <w:color w:val="000000"/>
          <w:sz w:val="20"/>
          <w:szCs w:val="20"/>
        </w:rPr>
      </w:pPr>
      <w:r>
        <w:rPr>
          <w:b/>
          <w:bCs/>
          <w:color w:val="000000"/>
          <w:sz w:val="20"/>
          <w:szCs w:val="20"/>
        </w:rPr>
        <w:t xml:space="preserve">International development plans are subject to numerous risks. </w:t>
      </w:r>
      <w:r>
        <w:rPr>
          <w:color w:val="000000"/>
          <w:sz w:val="20"/>
          <w:szCs w:val="20"/>
        </w:rPr>
        <w:t>There can be no guarantee that our international expansion efforts will be successful or that we will be able to offset the cost of the resources allocated to such efforts. Moreover, we could be faced with the risks inherent in any international development, such as unpredictable changes in export restrictions, barriers, and customs rates; currency risks; the difficulty of managing foreign operations; the differences in technological standards, payment terms and labor laws and practices among countries; collection problems; political instabilities; seasonal reductions in business; and unforeseen taxes. Such risk factors could harm our international operations and, therefore, our business, operating results, and financial condition.</w:t>
      </w:r>
    </w:p>
    <w:p w:rsidR="00C25E0F" w:rsidRDefault="00C25E0F" w:rsidP="00C25E0F">
      <w:pPr>
        <w:spacing w:after="240"/>
        <w:ind w:firstLine="720"/>
        <w:rPr>
          <w:sz w:val="20"/>
          <w:szCs w:val="20"/>
        </w:rPr>
      </w:pPr>
      <w:r>
        <w:rPr>
          <w:b/>
          <w:bCs/>
          <w:color w:val="000000"/>
          <w:sz w:val="20"/>
          <w:szCs w:val="20"/>
        </w:rPr>
        <w:t xml:space="preserve">The market price of our stock may experience volatility. </w:t>
      </w:r>
      <w:r>
        <w:rPr>
          <w:sz w:val="20"/>
          <w:szCs w:val="20"/>
        </w:rPr>
        <w:t>We cannot speculate as to the future market price of our common stock. Our common stock has experienced, and may continue to experience, significant price volatility due to a number of factors, including fluctuations in operating results, changes in market perspectives for our products, developments in our industry, and general market conditions that may be unrelated to our performance.</w:t>
      </w:r>
    </w:p>
    <w:p w:rsidR="00C25E0F" w:rsidRDefault="00C25E0F" w:rsidP="00C25E0F">
      <w:pPr>
        <w:spacing w:after="240"/>
        <w:ind w:firstLine="720"/>
        <w:rPr>
          <w:color w:val="000000"/>
          <w:sz w:val="20"/>
          <w:szCs w:val="20"/>
        </w:rPr>
      </w:pPr>
      <w:r>
        <w:rPr>
          <w:b/>
          <w:bCs/>
          <w:color w:val="000000"/>
          <w:sz w:val="20"/>
          <w:szCs w:val="20"/>
        </w:rPr>
        <w:t xml:space="preserve">We will be exposed to risks relating to evaluations of controls required by Section 404 of the Sarbanes-Oxley Act. </w:t>
      </w:r>
      <w:r>
        <w:rPr>
          <w:color w:val="000000"/>
          <w:sz w:val="20"/>
          <w:szCs w:val="20"/>
        </w:rPr>
        <w:t xml:space="preserve">Changing laws, regulations, and standards relating to corporate governance and public disclosure, including the Sarbanes-Oxley Act, the Dodd-Frank Wall Street Reform and Consumer Protection Act, and related regulations implemented by the SEC, are creating uncertainty for public companies, increasing legal and financial compliance costs, and making some activities more time consuming. We will continue to evaluate our internal controls systems to allow management to report on our internal controls. We have performed the system and process evaluation and testing (and any necessary remediation) required to comply with the management certification requirements of Section 404 of the Sarbanes-Oxley Act. If we fail to maintain effective controls and procedures, we may be unable to provide the required financial information in a timely and reliable manner. Further, if we acquire any business in the future, we may incur substantial additional costs to bring the acquired business systems into compliance with Section 404.  </w:t>
      </w:r>
    </w:p>
    <w:p w:rsidR="00C25E0F" w:rsidRDefault="00C25E0F" w:rsidP="00C25E0F">
      <w:pPr>
        <w:spacing w:after="240"/>
        <w:ind w:firstLine="720"/>
        <w:rPr>
          <w:color w:val="000000"/>
          <w:sz w:val="20"/>
        </w:rPr>
      </w:pPr>
      <w:r>
        <w:rPr>
          <w:b/>
          <w:color w:val="000000"/>
          <w:sz w:val="20"/>
          <w:szCs w:val="20"/>
        </w:rPr>
        <w:t>Significant management judgment is required for certain financial statement entries.</w:t>
      </w:r>
      <w:r>
        <w:rPr>
          <w:color w:val="000000"/>
          <w:sz w:val="20"/>
          <w:szCs w:val="20"/>
        </w:rPr>
        <w:t xml:space="preserve"> As explained in more detail in Item 7 below under the heading “Critical Accounting Policies,” t</w:t>
      </w:r>
      <w:r>
        <w:rPr>
          <w:color w:val="000000"/>
          <w:sz w:val="20"/>
        </w:rPr>
        <w:t>he preparation of our financial statements requires management to make significant estimates and assumptions that affect the reported amounts of assets and liabilities at the date of the financial statements and the reported amounts of revenues and expenses during the periods presented. For example, during 2009, b</w:t>
      </w:r>
      <w:r>
        <w:rPr>
          <w:color w:val="000000"/>
          <w:sz w:val="20"/>
          <w:szCs w:val="20"/>
        </w:rPr>
        <w:t xml:space="preserve">ased upon our operating results in recent years and through December 31, 2009 as well as an assessment of our expected future results of operations, we determined that it had become more likely than not that we would realize a portion of our net deferred tax assets. As a result, during the fourth quarter of 2009, we released $2,564,000 of our valuation allowance. If management’s assumptions were inaccurate or management’s judgment was otherwise erroneous, we may be required to adjust the valuation allowance in subsequent financial reporting periods. </w:t>
      </w:r>
    </w:p>
    <w:p w:rsidR="00C25E0F" w:rsidRDefault="00C25E0F" w:rsidP="00C25E0F">
      <w:pPr>
        <w:spacing w:after="240"/>
        <w:ind w:firstLine="720"/>
        <w:rPr>
          <w:b/>
          <w:color w:val="000000"/>
          <w:sz w:val="20"/>
          <w:szCs w:val="20"/>
        </w:rPr>
      </w:pPr>
      <w:r>
        <w:rPr>
          <w:b/>
          <w:color w:val="000000"/>
          <w:sz w:val="20"/>
        </w:rPr>
        <w:t xml:space="preserve">We may be unable to realize all of our net deferred tax assets in the future. </w:t>
      </w:r>
      <w:r>
        <w:rPr>
          <w:color w:val="000000"/>
          <w:sz w:val="20"/>
        </w:rPr>
        <w:t xml:space="preserve"> As of December 31, 2011, we had cumulative federal net operating loss </w:t>
      </w:r>
      <w:proofErr w:type="spellStart"/>
      <w:r>
        <w:rPr>
          <w:color w:val="000000"/>
          <w:sz w:val="20"/>
        </w:rPr>
        <w:t>carryforwards</w:t>
      </w:r>
      <w:proofErr w:type="spellEnd"/>
      <w:r>
        <w:rPr>
          <w:color w:val="000000"/>
          <w:sz w:val="20"/>
        </w:rPr>
        <w:t xml:space="preserve"> of approximately </w:t>
      </w:r>
      <w:r w:rsidR="00AD66E1">
        <w:rPr>
          <w:color w:val="000000"/>
          <w:sz w:val="20"/>
        </w:rPr>
        <w:t xml:space="preserve">$13.9 </w:t>
      </w:r>
      <w:r>
        <w:rPr>
          <w:color w:val="000000"/>
          <w:sz w:val="20"/>
        </w:rPr>
        <w:t xml:space="preserve">million, which </w:t>
      </w:r>
      <w:r w:rsidR="00AD66E1">
        <w:rPr>
          <w:color w:val="000000"/>
          <w:sz w:val="20"/>
        </w:rPr>
        <w:t xml:space="preserve">may </w:t>
      </w:r>
      <w:r>
        <w:rPr>
          <w:color w:val="000000"/>
          <w:sz w:val="20"/>
        </w:rPr>
        <w:t xml:space="preserve">be utilized in certain circumstances to offset future U.S. taxable income. </w:t>
      </w:r>
      <w:r>
        <w:rPr>
          <w:color w:val="000000"/>
          <w:sz w:val="20"/>
          <w:szCs w:val="20"/>
        </w:rPr>
        <w:t xml:space="preserve">However, future utilization of NOL carry-forwards is subject to certain limitations, and our ability to use NOL’s in the future will be substantially limited if we experience </w:t>
      </w:r>
      <w:r>
        <w:rPr>
          <w:color w:val="000000"/>
          <w:sz w:val="20"/>
          <w:szCs w:val="20"/>
        </w:rPr>
        <w:lastRenderedPageBreak/>
        <w:t>an “ownership change” as defined by Section 382 of the Internal Revenue Code. Our Board of Directors has adopted a Tax Asset Protection Plan (the “Plan”) in order to reduce the likelihood that we experience an ownership change that would limit the use of NOL carry-forwards, but there can be no assurance that the Plan will be effective in preventing an ownership change. In addition, while the Plan is in effect, it could discourage or prevent a merger, tender offer or proxy contest that shareholders may view as favorable, as well as discourage or prevent the accumulation of substantial blocks of shares for which some shareholders might receive a premium above market value. It could also affect the liquidity of the market and the price for our common stock. Further, we may incur significant general and administrative expenses if the Plan is triggered.</w:t>
      </w:r>
      <w:r w:rsidR="004D3608">
        <w:rPr>
          <w:color w:val="000000"/>
          <w:sz w:val="20"/>
          <w:szCs w:val="20"/>
        </w:rPr>
        <w:t xml:space="preserve"> For additional information regarding the Plan, please refer to our Current Report on Form 8-K filed on February 22, 2012, together with the exhibits attached thereto.</w:t>
      </w:r>
    </w:p>
    <w:p w:rsidR="004851D7" w:rsidRDefault="004851D7">
      <w:pPr>
        <w:spacing w:after="240"/>
        <w:ind w:firstLine="720"/>
        <w:rPr>
          <w:color w:val="000000"/>
          <w:sz w:val="20"/>
          <w:szCs w:val="20"/>
        </w:rPr>
      </w:pPr>
    </w:p>
    <w:p w:rsidR="00C25E0F" w:rsidRDefault="00C25E0F" w:rsidP="00FC4057">
      <w:pPr>
        <w:pStyle w:val="Heading2"/>
      </w:pPr>
      <w:bookmarkStart w:id="4" w:name="_Toc319405336"/>
      <w:proofErr w:type="gramStart"/>
      <w:r>
        <w:t>ITEM 1A.</w:t>
      </w:r>
      <w:proofErr w:type="gramEnd"/>
      <w:r>
        <w:tab/>
        <w:t>RISK FACTORS</w:t>
      </w:r>
      <w:bookmarkEnd w:id="4"/>
    </w:p>
    <w:p w:rsidR="00FC4057" w:rsidRPr="00FC4057" w:rsidRDefault="00FC4057" w:rsidP="00FC4057"/>
    <w:p w:rsidR="00C25E0F" w:rsidRPr="00894072" w:rsidRDefault="00C25E0F" w:rsidP="00C25E0F">
      <w:pPr>
        <w:tabs>
          <w:tab w:val="left" w:pos="1440"/>
        </w:tabs>
        <w:spacing w:after="240"/>
        <w:ind w:firstLine="720"/>
        <w:rPr>
          <w:bCs/>
          <w:color w:val="000000"/>
          <w:sz w:val="20"/>
        </w:rPr>
      </w:pPr>
      <w:r>
        <w:rPr>
          <w:bCs/>
          <w:color w:val="000000"/>
          <w:sz w:val="20"/>
        </w:rPr>
        <w:t>As a smaller reporting company, we are not required to provide the information required by this Item.</w:t>
      </w:r>
    </w:p>
    <w:p w:rsidR="00C25E0F" w:rsidRDefault="00C25E0F" w:rsidP="00FC4057">
      <w:pPr>
        <w:pStyle w:val="Heading2"/>
      </w:pPr>
      <w:bookmarkStart w:id="5" w:name="_Toc319405337"/>
      <w:proofErr w:type="gramStart"/>
      <w:r>
        <w:t>ITEM 1B.</w:t>
      </w:r>
      <w:proofErr w:type="gramEnd"/>
      <w:r>
        <w:tab/>
        <w:t>UNRESOLVED STAFF COMMENTS</w:t>
      </w:r>
      <w:bookmarkEnd w:id="5"/>
    </w:p>
    <w:p w:rsidR="00FC4057" w:rsidRPr="00FC4057" w:rsidRDefault="00FC4057" w:rsidP="00FC4057"/>
    <w:p w:rsidR="00C25E0F" w:rsidRDefault="00C25E0F" w:rsidP="00C25E0F">
      <w:pPr>
        <w:tabs>
          <w:tab w:val="left" w:pos="1440"/>
        </w:tabs>
        <w:spacing w:after="240"/>
        <w:ind w:left="2160" w:hanging="1440"/>
        <w:rPr>
          <w:bCs/>
          <w:color w:val="000000"/>
          <w:sz w:val="20"/>
        </w:rPr>
      </w:pPr>
      <w:r>
        <w:rPr>
          <w:bCs/>
          <w:color w:val="000000"/>
          <w:sz w:val="20"/>
        </w:rPr>
        <w:t>As a smaller reporting company, we are not required to provide the information required by this Item.</w:t>
      </w:r>
    </w:p>
    <w:p w:rsidR="004851D7" w:rsidRDefault="004851D7" w:rsidP="00FC4057">
      <w:pPr>
        <w:pStyle w:val="Heading2"/>
      </w:pPr>
      <w:bookmarkStart w:id="6" w:name="_Toc319405338"/>
      <w:proofErr w:type="gramStart"/>
      <w:r w:rsidRPr="000D4CCB">
        <w:t>ITEM 2.</w:t>
      </w:r>
      <w:proofErr w:type="gramEnd"/>
      <w:r w:rsidRPr="000D4CCB">
        <w:tab/>
        <w:t>PROPERTIES</w:t>
      </w:r>
      <w:bookmarkEnd w:id="6"/>
    </w:p>
    <w:p w:rsidR="00FC4057" w:rsidRPr="00FC4057" w:rsidRDefault="00FC4057" w:rsidP="00FC4057"/>
    <w:p w:rsidR="004851D7" w:rsidRDefault="004851D7">
      <w:pPr>
        <w:spacing w:after="240"/>
        <w:ind w:firstLine="720"/>
        <w:rPr>
          <w:color w:val="000000"/>
          <w:sz w:val="20"/>
          <w:szCs w:val="20"/>
        </w:rPr>
      </w:pPr>
      <w:r>
        <w:rPr>
          <w:color w:val="000000"/>
          <w:sz w:val="20"/>
          <w:szCs w:val="20"/>
        </w:rPr>
        <w:t xml:space="preserve">Our corporate facility is leased under an operating lease arrangement and consists of approximately </w:t>
      </w:r>
      <w:r w:rsidR="00861239">
        <w:rPr>
          <w:color w:val="000000"/>
          <w:sz w:val="20"/>
          <w:szCs w:val="20"/>
        </w:rPr>
        <w:t>25</w:t>
      </w:r>
      <w:r>
        <w:rPr>
          <w:color w:val="000000"/>
          <w:sz w:val="20"/>
          <w:szCs w:val="20"/>
        </w:rPr>
        <w:t xml:space="preserve">,000 square feet of office and warehouse space at 7615 Golden Triangle Drive, Suite M, </w:t>
      </w:r>
      <w:proofErr w:type="gramStart"/>
      <w:r>
        <w:rPr>
          <w:color w:val="000000"/>
          <w:sz w:val="20"/>
          <w:szCs w:val="20"/>
        </w:rPr>
        <w:t>Eden</w:t>
      </w:r>
      <w:proofErr w:type="gramEnd"/>
      <w:r>
        <w:rPr>
          <w:color w:val="000000"/>
          <w:sz w:val="20"/>
          <w:szCs w:val="20"/>
        </w:rPr>
        <w:t xml:space="preserve"> Prairie, Minnesota, 55344. Rent and maintenance over the remaining lease term are approximately $</w:t>
      </w:r>
      <w:r w:rsidR="00861239">
        <w:rPr>
          <w:color w:val="000000"/>
          <w:sz w:val="20"/>
          <w:szCs w:val="20"/>
        </w:rPr>
        <w:t>300</w:t>
      </w:r>
      <w:r>
        <w:rPr>
          <w:color w:val="000000"/>
          <w:sz w:val="20"/>
          <w:szCs w:val="20"/>
        </w:rPr>
        <w:t xml:space="preserve">,000 on an annual basis and the lease expires </w:t>
      </w:r>
      <w:r w:rsidR="00861239">
        <w:rPr>
          <w:color w:val="000000"/>
          <w:sz w:val="20"/>
          <w:szCs w:val="20"/>
        </w:rPr>
        <w:t>June 30, 2016</w:t>
      </w:r>
      <w:r>
        <w:rPr>
          <w:color w:val="000000"/>
          <w:sz w:val="20"/>
          <w:szCs w:val="20"/>
        </w:rPr>
        <w:t xml:space="preserve">. We believe our leased space will be adequate for the foreseeable future. </w:t>
      </w:r>
    </w:p>
    <w:p w:rsidR="004851D7" w:rsidRDefault="004851D7" w:rsidP="00FC4057">
      <w:pPr>
        <w:pStyle w:val="Heading2"/>
      </w:pPr>
      <w:bookmarkStart w:id="7" w:name="_Toc319405339"/>
      <w:proofErr w:type="gramStart"/>
      <w:r>
        <w:t>ITEM 3.</w:t>
      </w:r>
      <w:proofErr w:type="gramEnd"/>
      <w:r>
        <w:tab/>
        <w:t>LEGAL PROCEEDINGS</w:t>
      </w:r>
      <w:bookmarkEnd w:id="7"/>
    </w:p>
    <w:p w:rsidR="00FC4057" w:rsidRPr="00FC4057" w:rsidRDefault="00FC4057" w:rsidP="00FC4057"/>
    <w:p w:rsidR="005A3BA3" w:rsidRDefault="005A3BA3" w:rsidP="005A3BA3">
      <w:pPr>
        <w:tabs>
          <w:tab w:val="left" w:pos="720"/>
        </w:tabs>
        <w:rPr>
          <w:color w:val="000000"/>
          <w:sz w:val="20"/>
        </w:rPr>
      </w:pPr>
      <w:bookmarkStart w:id="8" w:name="OLE_LINK1"/>
      <w:bookmarkStart w:id="9" w:name="OLE_LINK2"/>
      <w:r>
        <w:rPr>
          <w:color w:val="000000"/>
          <w:sz w:val="20"/>
        </w:rPr>
        <w:tab/>
        <w:t>As previously disclosed, on September 14, 2010, a complaint was filed against us by </w:t>
      </w:r>
      <w:proofErr w:type="spellStart"/>
      <w:r>
        <w:rPr>
          <w:color w:val="000000"/>
          <w:sz w:val="20"/>
        </w:rPr>
        <w:t>Uniloc</w:t>
      </w:r>
      <w:proofErr w:type="spellEnd"/>
      <w:r>
        <w:rPr>
          <w:color w:val="000000"/>
          <w:sz w:val="20"/>
        </w:rPr>
        <w:t xml:space="preserve"> USA, Inc. and </w:t>
      </w:r>
      <w:proofErr w:type="spellStart"/>
      <w:r>
        <w:rPr>
          <w:color w:val="000000"/>
          <w:sz w:val="20"/>
        </w:rPr>
        <w:t>Uniloc</w:t>
      </w:r>
      <w:proofErr w:type="spellEnd"/>
      <w:r>
        <w:rPr>
          <w:color w:val="000000"/>
          <w:sz w:val="20"/>
        </w:rPr>
        <w:t> Singapore Private Limited (collectively “</w:t>
      </w:r>
      <w:proofErr w:type="spellStart"/>
      <w:r>
        <w:rPr>
          <w:color w:val="000000"/>
          <w:sz w:val="20"/>
        </w:rPr>
        <w:t>Uniloc</w:t>
      </w:r>
      <w:proofErr w:type="spellEnd"/>
      <w:r>
        <w:rPr>
          <w:color w:val="000000"/>
          <w:sz w:val="20"/>
        </w:rPr>
        <w:t xml:space="preserve">”) in the United States District Court for the Eastern District of Texas. The complaint alleged infringement of </w:t>
      </w:r>
      <w:proofErr w:type="spellStart"/>
      <w:r>
        <w:rPr>
          <w:color w:val="000000"/>
          <w:sz w:val="20"/>
        </w:rPr>
        <w:t>Uniloc’s</w:t>
      </w:r>
      <w:proofErr w:type="spellEnd"/>
      <w:r>
        <w:rPr>
          <w:color w:val="000000"/>
          <w:sz w:val="20"/>
        </w:rPr>
        <w:t xml:space="preserve"> patent for securely registering software and other digital media to prevent illicit copying and software piracy and seeks a permanent injunction. In addition, </w:t>
      </w:r>
      <w:proofErr w:type="spellStart"/>
      <w:r>
        <w:rPr>
          <w:color w:val="000000"/>
          <w:sz w:val="20"/>
        </w:rPr>
        <w:t>Uniloc</w:t>
      </w:r>
      <w:proofErr w:type="spellEnd"/>
      <w:r>
        <w:rPr>
          <w:color w:val="000000"/>
          <w:sz w:val="20"/>
        </w:rPr>
        <w:t> sought compensatory damages in an unspecified amount, and interest, costs and expenses associated with the litigation. We are one of approximately 120 companies that have been similarly sued by </w:t>
      </w:r>
      <w:proofErr w:type="spellStart"/>
      <w:r>
        <w:rPr>
          <w:color w:val="000000"/>
          <w:sz w:val="20"/>
        </w:rPr>
        <w:t>Uniloc</w:t>
      </w:r>
      <w:proofErr w:type="spellEnd"/>
      <w:r>
        <w:rPr>
          <w:color w:val="000000"/>
          <w:sz w:val="20"/>
        </w:rPr>
        <w:t xml:space="preserve">. We entered into a confidential settlement with </w:t>
      </w:r>
      <w:proofErr w:type="spellStart"/>
      <w:r>
        <w:rPr>
          <w:color w:val="000000"/>
          <w:sz w:val="20"/>
        </w:rPr>
        <w:t>Uniloc</w:t>
      </w:r>
      <w:proofErr w:type="spellEnd"/>
      <w:r>
        <w:rPr>
          <w:color w:val="000000"/>
          <w:sz w:val="20"/>
        </w:rPr>
        <w:t xml:space="preserve"> on April 28, 2011, pursuant to which we incurred expenses of approximately $225,000.  As part of the settlement, we received a license to the patent in question. We do not expect the settlement to have a material impact on our business, financial condition, or results of operations. </w:t>
      </w:r>
      <w:bookmarkEnd w:id="8"/>
      <w:bookmarkEnd w:id="9"/>
    </w:p>
    <w:p w:rsidR="005A3BA3" w:rsidRDefault="005A3BA3" w:rsidP="005A3BA3">
      <w:pPr>
        <w:tabs>
          <w:tab w:val="left" w:pos="720"/>
        </w:tabs>
        <w:rPr>
          <w:color w:val="000000"/>
          <w:sz w:val="20"/>
        </w:rPr>
      </w:pPr>
    </w:p>
    <w:p w:rsidR="004851D7" w:rsidRDefault="004851D7">
      <w:pPr>
        <w:spacing w:after="240"/>
        <w:ind w:firstLine="720"/>
        <w:rPr>
          <w:color w:val="000000"/>
          <w:sz w:val="20"/>
          <w:szCs w:val="20"/>
        </w:rPr>
      </w:pPr>
      <w:r>
        <w:rPr>
          <w:color w:val="000000"/>
          <w:sz w:val="20"/>
          <w:szCs w:val="20"/>
        </w:rPr>
        <w:t xml:space="preserve">In the ordinary course of business, we may be party to additional legal actions, proceedings, or claims. Corresponding costs are accrued when it is </w:t>
      </w:r>
      <w:r w:rsidR="00612B19">
        <w:rPr>
          <w:color w:val="000000"/>
          <w:sz w:val="20"/>
          <w:szCs w:val="20"/>
        </w:rPr>
        <w:t xml:space="preserve">reasonably possible </w:t>
      </w:r>
      <w:r>
        <w:rPr>
          <w:color w:val="000000"/>
          <w:sz w:val="20"/>
          <w:szCs w:val="20"/>
        </w:rPr>
        <w:t xml:space="preserve">that loss will be incurred and the amount can be precisely or reasonably estimated. </w:t>
      </w:r>
      <w:r w:rsidR="0094791A">
        <w:rPr>
          <w:color w:val="000000"/>
          <w:sz w:val="20"/>
          <w:szCs w:val="20"/>
        </w:rPr>
        <w:t>W</w:t>
      </w:r>
      <w:r>
        <w:rPr>
          <w:color w:val="000000"/>
          <w:sz w:val="20"/>
          <w:szCs w:val="20"/>
        </w:rPr>
        <w:t>e are not aware of any actual or threatened litigation that would have a material adverse effect on its financial condition or results of operations.</w:t>
      </w:r>
    </w:p>
    <w:p w:rsidR="00C25E0F" w:rsidRDefault="004851D7" w:rsidP="00FC4057">
      <w:pPr>
        <w:pStyle w:val="Heading2"/>
      </w:pPr>
      <w:bookmarkStart w:id="10" w:name="_Toc319405340"/>
      <w:proofErr w:type="gramStart"/>
      <w:r>
        <w:t>ITEM 4.</w:t>
      </w:r>
      <w:proofErr w:type="gramEnd"/>
      <w:r>
        <w:tab/>
      </w:r>
      <w:r w:rsidR="00C25E0F">
        <w:t>MINE SAFETY DISCLOSURE</w:t>
      </w:r>
      <w:bookmarkEnd w:id="10"/>
    </w:p>
    <w:p w:rsidR="00FC4057" w:rsidRPr="00FC4057" w:rsidRDefault="00FC4057" w:rsidP="00FC4057"/>
    <w:p w:rsidR="00C25E0F" w:rsidRPr="00894072" w:rsidRDefault="00C25E0F" w:rsidP="00C25E0F">
      <w:pPr>
        <w:tabs>
          <w:tab w:val="left" w:pos="1440"/>
        </w:tabs>
        <w:spacing w:after="240"/>
        <w:rPr>
          <w:color w:val="000000"/>
          <w:sz w:val="20"/>
          <w:szCs w:val="20"/>
        </w:rPr>
      </w:pPr>
      <w:r>
        <w:rPr>
          <w:b/>
          <w:color w:val="000000"/>
          <w:sz w:val="20"/>
          <w:szCs w:val="20"/>
        </w:rPr>
        <w:tab/>
      </w:r>
      <w:r>
        <w:rPr>
          <w:color w:val="000000"/>
          <w:sz w:val="20"/>
          <w:szCs w:val="20"/>
        </w:rPr>
        <w:t>Not applicable.</w:t>
      </w:r>
    </w:p>
    <w:p w:rsidR="00FC4057" w:rsidRDefault="004851D7" w:rsidP="00FC4057">
      <w:pPr>
        <w:pStyle w:val="Heading1"/>
      </w:pPr>
      <w:r>
        <w:br w:type="page"/>
      </w:r>
      <w:bookmarkStart w:id="11" w:name="_Toc319405341"/>
      <w:r>
        <w:lastRenderedPageBreak/>
        <w:t>PART II</w:t>
      </w:r>
      <w:bookmarkEnd w:id="11"/>
    </w:p>
    <w:p w:rsidR="004851D7" w:rsidRDefault="004851D7" w:rsidP="00FC4057">
      <w:pPr>
        <w:pStyle w:val="Heading1"/>
      </w:pPr>
      <w:r>
        <w:tab/>
      </w:r>
    </w:p>
    <w:p w:rsidR="004851D7" w:rsidRDefault="004851D7" w:rsidP="00FC4057">
      <w:pPr>
        <w:pStyle w:val="Heading2"/>
      </w:pPr>
      <w:bookmarkStart w:id="12" w:name="_Toc319405342"/>
      <w:proofErr w:type="gramStart"/>
      <w:r>
        <w:t>ITEM 5.</w:t>
      </w:r>
      <w:proofErr w:type="gramEnd"/>
      <w:r>
        <w:tab/>
        <w:t>MARKET FOR REGISTRANT’S COMMON EQUITY, RELATED STOCKHOLDER MATTERS AND ISSUER PURCHASES OF EQUITY SECURITIES</w:t>
      </w:r>
      <w:bookmarkEnd w:id="12"/>
    </w:p>
    <w:p w:rsidR="00FC4057" w:rsidRPr="00FC4057" w:rsidRDefault="00FC4057" w:rsidP="00FC4057"/>
    <w:p w:rsidR="004851D7" w:rsidRDefault="004851D7">
      <w:pPr>
        <w:spacing w:after="240"/>
        <w:rPr>
          <w:b/>
          <w:color w:val="000000"/>
          <w:sz w:val="20"/>
          <w:szCs w:val="20"/>
        </w:rPr>
      </w:pPr>
      <w:r>
        <w:rPr>
          <w:b/>
          <w:color w:val="000000"/>
          <w:sz w:val="20"/>
          <w:szCs w:val="20"/>
        </w:rPr>
        <w:t>Market Information</w:t>
      </w:r>
    </w:p>
    <w:p w:rsidR="004851D7" w:rsidRDefault="004851D7">
      <w:pPr>
        <w:spacing w:after="240"/>
        <w:ind w:firstLine="720"/>
        <w:rPr>
          <w:color w:val="000000"/>
          <w:sz w:val="20"/>
          <w:szCs w:val="20"/>
        </w:rPr>
      </w:pPr>
      <w:r>
        <w:rPr>
          <w:color w:val="000000"/>
          <w:sz w:val="20"/>
          <w:szCs w:val="20"/>
        </w:rPr>
        <w:t>Our common stock trades on The NASDAQ Capital Market under the symbol MMUS. The following table sets forth the high and low sales prices of our common stock for the periods set forth:</w:t>
      </w: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9"/>
        <w:gridCol w:w="1491"/>
        <w:gridCol w:w="1217"/>
        <w:gridCol w:w="1311"/>
        <w:gridCol w:w="1309"/>
        <w:gridCol w:w="1311"/>
      </w:tblGrid>
      <w:tr w:rsidR="004851D7">
        <w:trPr>
          <w:cantSplit/>
        </w:trPr>
        <w:tc>
          <w:tcPr>
            <w:tcW w:w="1149" w:type="dxa"/>
            <w:tcBorders>
              <w:top w:val="nil"/>
              <w:left w:val="nil"/>
              <w:bottom w:val="nil"/>
              <w:right w:val="nil"/>
            </w:tcBorders>
          </w:tcPr>
          <w:p w:rsidR="004851D7" w:rsidRDefault="004851D7">
            <w:pPr>
              <w:rPr>
                <w:color w:val="000000"/>
                <w:sz w:val="20"/>
                <w:szCs w:val="20"/>
              </w:rPr>
            </w:pPr>
          </w:p>
        </w:tc>
        <w:tc>
          <w:tcPr>
            <w:tcW w:w="1491" w:type="dxa"/>
            <w:tcBorders>
              <w:top w:val="nil"/>
              <w:left w:val="nil"/>
              <w:bottom w:val="nil"/>
              <w:right w:val="nil"/>
            </w:tcBorders>
          </w:tcPr>
          <w:p w:rsidR="004851D7" w:rsidRDefault="004851D7">
            <w:pPr>
              <w:rPr>
                <w:color w:val="000000"/>
                <w:sz w:val="20"/>
                <w:szCs w:val="20"/>
              </w:rPr>
            </w:pPr>
          </w:p>
        </w:tc>
        <w:tc>
          <w:tcPr>
            <w:tcW w:w="2528" w:type="dxa"/>
            <w:gridSpan w:val="2"/>
            <w:tcBorders>
              <w:top w:val="nil"/>
              <w:left w:val="nil"/>
              <w:bottom w:val="nil"/>
              <w:right w:val="nil"/>
            </w:tcBorders>
          </w:tcPr>
          <w:p w:rsidR="004851D7" w:rsidRDefault="00126473" w:rsidP="00223B45">
            <w:pPr>
              <w:jc w:val="center"/>
              <w:rPr>
                <w:color w:val="000000"/>
                <w:sz w:val="20"/>
                <w:szCs w:val="20"/>
                <w:u w:val="single"/>
              </w:rPr>
            </w:pPr>
            <w:r>
              <w:rPr>
                <w:color w:val="000000"/>
                <w:sz w:val="20"/>
                <w:szCs w:val="20"/>
                <w:u w:val="single"/>
              </w:rPr>
              <w:t>2011</w:t>
            </w:r>
          </w:p>
        </w:tc>
        <w:tc>
          <w:tcPr>
            <w:tcW w:w="2620" w:type="dxa"/>
            <w:gridSpan w:val="2"/>
            <w:tcBorders>
              <w:top w:val="nil"/>
              <w:left w:val="nil"/>
              <w:bottom w:val="nil"/>
              <w:right w:val="nil"/>
            </w:tcBorders>
          </w:tcPr>
          <w:p w:rsidR="004851D7" w:rsidRDefault="00126473" w:rsidP="00223B45">
            <w:pPr>
              <w:jc w:val="center"/>
              <w:rPr>
                <w:color w:val="000000"/>
                <w:sz w:val="20"/>
                <w:szCs w:val="20"/>
                <w:u w:val="single"/>
              </w:rPr>
            </w:pPr>
            <w:r>
              <w:rPr>
                <w:color w:val="000000"/>
                <w:sz w:val="20"/>
                <w:szCs w:val="20"/>
                <w:u w:val="single"/>
              </w:rPr>
              <w:t>2010</w:t>
            </w:r>
          </w:p>
        </w:tc>
      </w:tr>
      <w:tr w:rsidR="004851D7">
        <w:tc>
          <w:tcPr>
            <w:tcW w:w="1149" w:type="dxa"/>
            <w:tcBorders>
              <w:top w:val="nil"/>
              <w:left w:val="nil"/>
              <w:right w:val="nil"/>
            </w:tcBorders>
          </w:tcPr>
          <w:p w:rsidR="004851D7" w:rsidRDefault="004851D7">
            <w:pPr>
              <w:rPr>
                <w:color w:val="000000"/>
                <w:sz w:val="20"/>
                <w:szCs w:val="20"/>
              </w:rPr>
            </w:pPr>
          </w:p>
        </w:tc>
        <w:tc>
          <w:tcPr>
            <w:tcW w:w="1491" w:type="dxa"/>
            <w:tcBorders>
              <w:top w:val="nil"/>
              <w:left w:val="nil"/>
              <w:right w:val="nil"/>
            </w:tcBorders>
          </w:tcPr>
          <w:p w:rsidR="004851D7" w:rsidRDefault="004851D7">
            <w:pPr>
              <w:rPr>
                <w:color w:val="000000"/>
                <w:sz w:val="20"/>
                <w:szCs w:val="20"/>
              </w:rPr>
            </w:pPr>
          </w:p>
        </w:tc>
        <w:tc>
          <w:tcPr>
            <w:tcW w:w="1217" w:type="dxa"/>
            <w:tcBorders>
              <w:top w:val="nil"/>
              <w:left w:val="nil"/>
              <w:right w:val="nil"/>
            </w:tcBorders>
          </w:tcPr>
          <w:p w:rsidR="004851D7" w:rsidRDefault="004851D7">
            <w:pPr>
              <w:jc w:val="center"/>
              <w:rPr>
                <w:color w:val="000000"/>
                <w:sz w:val="20"/>
                <w:szCs w:val="20"/>
              </w:rPr>
            </w:pPr>
            <w:r>
              <w:rPr>
                <w:color w:val="000000"/>
                <w:sz w:val="20"/>
                <w:szCs w:val="20"/>
              </w:rPr>
              <w:t>High</w:t>
            </w:r>
          </w:p>
        </w:tc>
        <w:tc>
          <w:tcPr>
            <w:tcW w:w="1311" w:type="dxa"/>
            <w:tcBorders>
              <w:top w:val="nil"/>
              <w:left w:val="nil"/>
              <w:right w:val="nil"/>
            </w:tcBorders>
          </w:tcPr>
          <w:p w:rsidR="004851D7" w:rsidRDefault="004851D7">
            <w:pPr>
              <w:jc w:val="center"/>
              <w:rPr>
                <w:color w:val="000000"/>
                <w:sz w:val="20"/>
                <w:szCs w:val="20"/>
              </w:rPr>
            </w:pPr>
            <w:r>
              <w:rPr>
                <w:color w:val="000000"/>
                <w:sz w:val="20"/>
                <w:szCs w:val="20"/>
              </w:rPr>
              <w:t>Low</w:t>
            </w:r>
          </w:p>
        </w:tc>
        <w:tc>
          <w:tcPr>
            <w:tcW w:w="1309" w:type="dxa"/>
            <w:tcBorders>
              <w:top w:val="nil"/>
              <w:left w:val="nil"/>
              <w:right w:val="nil"/>
            </w:tcBorders>
          </w:tcPr>
          <w:p w:rsidR="004851D7" w:rsidRDefault="004851D7">
            <w:pPr>
              <w:jc w:val="center"/>
              <w:rPr>
                <w:color w:val="000000"/>
                <w:sz w:val="20"/>
                <w:szCs w:val="20"/>
              </w:rPr>
            </w:pPr>
            <w:r>
              <w:rPr>
                <w:color w:val="000000"/>
                <w:sz w:val="20"/>
                <w:szCs w:val="20"/>
              </w:rPr>
              <w:t>High</w:t>
            </w:r>
          </w:p>
        </w:tc>
        <w:tc>
          <w:tcPr>
            <w:tcW w:w="1311" w:type="dxa"/>
            <w:tcBorders>
              <w:top w:val="nil"/>
              <w:left w:val="nil"/>
              <w:right w:val="nil"/>
            </w:tcBorders>
          </w:tcPr>
          <w:p w:rsidR="004851D7" w:rsidRDefault="004851D7">
            <w:pPr>
              <w:jc w:val="center"/>
              <w:rPr>
                <w:color w:val="000000"/>
                <w:sz w:val="20"/>
                <w:szCs w:val="20"/>
              </w:rPr>
            </w:pPr>
            <w:r>
              <w:rPr>
                <w:color w:val="000000"/>
                <w:sz w:val="20"/>
                <w:szCs w:val="20"/>
              </w:rPr>
              <w:t>Low</w:t>
            </w:r>
          </w:p>
        </w:tc>
      </w:tr>
      <w:tr w:rsidR="00126473">
        <w:trPr>
          <w:trHeight w:val="242"/>
        </w:trPr>
        <w:tc>
          <w:tcPr>
            <w:tcW w:w="1149" w:type="dxa"/>
            <w:tcBorders>
              <w:left w:val="nil"/>
              <w:bottom w:val="nil"/>
            </w:tcBorders>
          </w:tcPr>
          <w:p w:rsidR="00126473" w:rsidRDefault="00126473">
            <w:pPr>
              <w:rPr>
                <w:color w:val="000000"/>
                <w:sz w:val="20"/>
                <w:szCs w:val="20"/>
              </w:rPr>
            </w:pPr>
          </w:p>
        </w:tc>
        <w:tc>
          <w:tcPr>
            <w:tcW w:w="1491" w:type="dxa"/>
          </w:tcPr>
          <w:p w:rsidR="00126473" w:rsidRDefault="00126473">
            <w:pPr>
              <w:rPr>
                <w:color w:val="000000"/>
                <w:sz w:val="20"/>
                <w:szCs w:val="20"/>
              </w:rPr>
            </w:pPr>
            <w:r>
              <w:rPr>
                <w:color w:val="000000"/>
                <w:sz w:val="20"/>
                <w:szCs w:val="20"/>
              </w:rPr>
              <w:t>First Quarter</w:t>
            </w:r>
          </w:p>
        </w:tc>
        <w:tc>
          <w:tcPr>
            <w:tcW w:w="1217" w:type="dxa"/>
          </w:tcPr>
          <w:p w:rsidR="00126473" w:rsidRDefault="00126473" w:rsidP="00516A9C">
            <w:pPr>
              <w:tabs>
                <w:tab w:val="decimal" w:pos="492"/>
              </w:tabs>
              <w:rPr>
                <w:color w:val="000000"/>
                <w:sz w:val="20"/>
                <w:szCs w:val="20"/>
              </w:rPr>
            </w:pPr>
            <w:r>
              <w:rPr>
                <w:color w:val="000000"/>
                <w:sz w:val="20"/>
                <w:szCs w:val="20"/>
              </w:rPr>
              <w:t xml:space="preserve">$ </w:t>
            </w:r>
            <w:r w:rsidR="00516A9C">
              <w:rPr>
                <w:color w:val="000000"/>
                <w:sz w:val="20"/>
                <w:szCs w:val="20"/>
              </w:rPr>
              <w:t>5.30</w:t>
            </w:r>
          </w:p>
        </w:tc>
        <w:tc>
          <w:tcPr>
            <w:tcW w:w="1311" w:type="dxa"/>
          </w:tcPr>
          <w:p w:rsidR="00126473" w:rsidRDefault="00126473" w:rsidP="00516A9C">
            <w:pPr>
              <w:tabs>
                <w:tab w:val="decimal" w:pos="495"/>
              </w:tabs>
              <w:rPr>
                <w:color w:val="000000"/>
                <w:sz w:val="20"/>
                <w:szCs w:val="20"/>
              </w:rPr>
            </w:pPr>
            <w:r>
              <w:rPr>
                <w:color w:val="000000"/>
                <w:sz w:val="20"/>
                <w:szCs w:val="20"/>
              </w:rPr>
              <w:t xml:space="preserve">$ </w:t>
            </w:r>
            <w:r w:rsidR="00516A9C">
              <w:rPr>
                <w:color w:val="000000"/>
                <w:sz w:val="20"/>
                <w:szCs w:val="20"/>
              </w:rPr>
              <w:t>4.51</w:t>
            </w:r>
          </w:p>
        </w:tc>
        <w:tc>
          <w:tcPr>
            <w:tcW w:w="1309" w:type="dxa"/>
          </w:tcPr>
          <w:p w:rsidR="00126473" w:rsidRDefault="00126473">
            <w:pPr>
              <w:tabs>
                <w:tab w:val="decimal" w:pos="492"/>
              </w:tabs>
              <w:rPr>
                <w:color w:val="000000"/>
                <w:sz w:val="20"/>
                <w:szCs w:val="20"/>
              </w:rPr>
            </w:pPr>
            <w:r>
              <w:rPr>
                <w:color w:val="000000"/>
                <w:sz w:val="20"/>
                <w:szCs w:val="20"/>
              </w:rPr>
              <w:t>$ 6.82</w:t>
            </w:r>
          </w:p>
        </w:tc>
        <w:tc>
          <w:tcPr>
            <w:tcW w:w="1311" w:type="dxa"/>
          </w:tcPr>
          <w:p w:rsidR="00126473" w:rsidRDefault="00126473">
            <w:pPr>
              <w:tabs>
                <w:tab w:val="decimal" w:pos="495"/>
              </w:tabs>
              <w:rPr>
                <w:color w:val="000000"/>
                <w:sz w:val="20"/>
                <w:szCs w:val="20"/>
              </w:rPr>
            </w:pPr>
            <w:r>
              <w:rPr>
                <w:color w:val="000000"/>
                <w:sz w:val="20"/>
                <w:szCs w:val="20"/>
              </w:rPr>
              <w:t>$ 4.06</w:t>
            </w:r>
          </w:p>
        </w:tc>
      </w:tr>
      <w:tr w:rsidR="00126473">
        <w:tc>
          <w:tcPr>
            <w:tcW w:w="1149" w:type="dxa"/>
            <w:tcBorders>
              <w:top w:val="nil"/>
              <w:left w:val="nil"/>
              <w:bottom w:val="nil"/>
            </w:tcBorders>
          </w:tcPr>
          <w:p w:rsidR="00126473" w:rsidRDefault="00126473">
            <w:pPr>
              <w:rPr>
                <w:color w:val="000000"/>
                <w:sz w:val="20"/>
                <w:szCs w:val="20"/>
              </w:rPr>
            </w:pPr>
            <w:r>
              <w:rPr>
                <w:color w:val="000000"/>
                <w:sz w:val="20"/>
                <w:szCs w:val="20"/>
              </w:rPr>
              <w:t>Common</w:t>
            </w:r>
          </w:p>
        </w:tc>
        <w:tc>
          <w:tcPr>
            <w:tcW w:w="1491" w:type="dxa"/>
          </w:tcPr>
          <w:p w:rsidR="00126473" w:rsidRDefault="00126473">
            <w:pPr>
              <w:rPr>
                <w:color w:val="000000"/>
                <w:sz w:val="20"/>
                <w:szCs w:val="20"/>
              </w:rPr>
            </w:pPr>
            <w:r>
              <w:rPr>
                <w:color w:val="000000"/>
                <w:sz w:val="20"/>
                <w:szCs w:val="20"/>
              </w:rPr>
              <w:t>Second Quarter</w:t>
            </w:r>
          </w:p>
        </w:tc>
        <w:tc>
          <w:tcPr>
            <w:tcW w:w="1217" w:type="dxa"/>
          </w:tcPr>
          <w:p w:rsidR="00126473" w:rsidRDefault="00516A9C" w:rsidP="00516A9C">
            <w:pPr>
              <w:tabs>
                <w:tab w:val="decimal" w:pos="492"/>
              </w:tabs>
              <w:rPr>
                <w:color w:val="000000"/>
                <w:sz w:val="20"/>
                <w:szCs w:val="20"/>
              </w:rPr>
            </w:pPr>
            <w:r>
              <w:rPr>
                <w:color w:val="000000"/>
                <w:sz w:val="20"/>
                <w:szCs w:val="20"/>
              </w:rPr>
              <w:t>5.51</w:t>
            </w:r>
          </w:p>
        </w:tc>
        <w:tc>
          <w:tcPr>
            <w:tcW w:w="1311" w:type="dxa"/>
          </w:tcPr>
          <w:p w:rsidR="00126473" w:rsidRDefault="00516A9C" w:rsidP="00516A9C">
            <w:pPr>
              <w:tabs>
                <w:tab w:val="decimal" w:pos="495"/>
              </w:tabs>
              <w:rPr>
                <w:color w:val="000000"/>
                <w:sz w:val="20"/>
                <w:szCs w:val="20"/>
              </w:rPr>
            </w:pPr>
            <w:r>
              <w:rPr>
                <w:color w:val="000000"/>
                <w:sz w:val="20"/>
                <w:szCs w:val="20"/>
              </w:rPr>
              <w:t>4.60</w:t>
            </w:r>
          </w:p>
        </w:tc>
        <w:tc>
          <w:tcPr>
            <w:tcW w:w="1309" w:type="dxa"/>
          </w:tcPr>
          <w:p w:rsidR="00126473" w:rsidRDefault="00126473">
            <w:pPr>
              <w:tabs>
                <w:tab w:val="decimal" w:pos="492"/>
              </w:tabs>
              <w:rPr>
                <w:color w:val="000000"/>
                <w:sz w:val="20"/>
                <w:szCs w:val="20"/>
              </w:rPr>
            </w:pPr>
            <w:r>
              <w:rPr>
                <w:color w:val="000000"/>
                <w:sz w:val="20"/>
                <w:szCs w:val="20"/>
              </w:rPr>
              <w:t>6.28</w:t>
            </w:r>
          </w:p>
        </w:tc>
        <w:tc>
          <w:tcPr>
            <w:tcW w:w="1311" w:type="dxa"/>
          </w:tcPr>
          <w:p w:rsidR="00126473" w:rsidRDefault="00126473">
            <w:pPr>
              <w:tabs>
                <w:tab w:val="decimal" w:pos="495"/>
              </w:tabs>
              <w:rPr>
                <w:color w:val="000000"/>
                <w:sz w:val="20"/>
                <w:szCs w:val="20"/>
              </w:rPr>
            </w:pPr>
            <w:r>
              <w:rPr>
                <w:color w:val="000000"/>
                <w:sz w:val="20"/>
                <w:szCs w:val="20"/>
              </w:rPr>
              <w:t>5.06</w:t>
            </w:r>
          </w:p>
        </w:tc>
      </w:tr>
      <w:tr w:rsidR="00126473">
        <w:tc>
          <w:tcPr>
            <w:tcW w:w="1149" w:type="dxa"/>
            <w:tcBorders>
              <w:top w:val="nil"/>
              <w:left w:val="nil"/>
              <w:bottom w:val="nil"/>
            </w:tcBorders>
          </w:tcPr>
          <w:p w:rsidR="00126473" w:rsidRDefault="00126473">
            <w:pPr>
              <w:rPr>
                <w:color w:val="000000"/>
                <w:sz w:val="20"/>
                <w:szCs w:val="20"/>
              </w:rPr>
            </w:pPr>
            <w:r>
              <w:rPr>
                <w:color w:val="000000"/>
                <w:sz w:val="20"/>
                <w:szCs w:val="20"/>
              </w:rPr>
              <w:t xml:space="preserve">   Stock</w:t>
            </w:r>
          </w:p>
        </w:tc>
        <w:tc>
          <w:tcPr>
            <w:tcW w:w="1491" w:type="dxa"/>
          </w:tcPr>
          <w:p w:rsidR="00126473" w:rsidRDefault="00126473">
            <w:pPr>
              <w:rPr>
                <w:color w:val="000000"/>
                <w:sz w:val="20"/>
                <w:szCs w:val="20"/>
              </w:rPr>
            </w:pPr>
            <w:r>
              <w:rPr>
                <w:color w:val="000000"/>
                <w:sz w:val="20"/>
                <w:szCs w:val="20"/>
              </w:rPr>
              <w:t>Third Quarter</w:t>
            </w:r>
          </w:p>
        </w:tc>
        <w:tc>
          <w:tcPr>
            <w:tcW w:w="1217" w:type="dxa"/>
          </w:tcPr>
          <w:p w:rsidR="00126473" w:rsidRDefault="00516A9C" w:rsidP="00516A9C">
            <w:pPr>
              <w:tabs>
                <w:tab w:val="decimal" w:pos="492"/>
              </w:tabs>
              <w:rPr>
                <w:color w:val="000000"/>
                <w:sz w:val="20"/>
                <w:szCs w:val="20"/>
              </w:rPr>
            </w:pPr>
            <w:r>
              <w:rPr>
                <w:color w:val="000000"/>
                <w:sz w:val="20"/>
                <w:szCs w:val="20"/>
              </w:rPr>
              <w:t>5.28</w:t>
            </w:r>
          </w:p>
        </w:tc>
        <w:tc>
          <w:tcPr>
            <w:tcW w:w="1311" w:type="dxa"/>
          </w:tcPr>
          <w:p w:rsidR="00126473" w:rsidRDefault="00516A9C" w:rsidP="00516A9C">
            <w:pPr>
              <w:tabs>
                <w:tab w:val="decimal" w:pos="495"/>
              </w:tabs>
              <w:rPr>
                <w:color w:val="000000"/>
                <w:sz w:val="20"/>
                <w:szCs w:val="20"/>
              </w:rPr>
            </w:pPr>
            <w:r>
              <w:rPr>
                <w:color w:val="000000"/>
                <w:sz w:val="20"/>
                <w:szCs w:val="20"/>
              </w:rPr>
              <w:t>4.78</w:t>
            </w:r>
          </w:p>
        </w:tc>
        <w:tc>
          <w:tcPr>
            <w:tcW w:w="1309" w:type="dxa"/>
          </w:tcPr>
          <w:p w:rsidR="00126473" w:rsidRDefault="00126473">
            <w:pPr>
              <w:tabs>
                <w:tab w:val="decimal" w:pos="492"/>
              </w:tabs>
              <w:rPr>
                <w:color w:val="000000"/>
                <w:sz w:val="20"/>
                <w:szCs w:val="20"/>
              </w:rPr>
            </w:pPr>
            <w:r>
              <w:rPr>
                <w:color w:val="000000"/>
                <w:sz w:val="20"/>
                <w:szCs w:val="20"/>
              </w:rPr>
              <w:t>6.16</w:t>
            </w:r>
          </w:p>
        </w:tc>
        <w:tc>
          <w:tcPr>
            <w:tcW w:w="1311" w:type="dxa"/>
          </w:tcPr>
          <w:p w:rsidR="00126473" w:rsidRDefault="00126473">
            <w:pPr>
              <w:tabs>
                <w:tab w:val="decimal" w:pos="495"/>
              </w:tabs>
              <w:rPr>
                <w:color w:val="000000"/>
                <w:sz w:val="20"/>
                <w:szCs w:val="20"/>
              </w:rPr>
            </w:pPr>
            <w:r>
              <w:rPr>
                <w:color w:val="000000"/>
                <w:sz w:val="20"/>
                <w:szCs w:val="20"/>
              </w:rPr>
              <w:t>4.82</w:t>
            </w:r>
          </w:p>
        </w:tc>
      </w:tr>
      <w:tr w:rsidR="00126473">
        <w:tc>
          <w:tcPr>
            <w:tcW w:w="1149" w:type="dxa"/>
            <w:tcBorders>
              <w:top w:val="nil"/>
              <w:left w:val="nil"/>
            </w:tcBorders>
          </w:tcPr>
          <w:p w:rsidR="00126473" w:rsidRDefault="00126473">
            <w:pPr>
              <w:rPr>
                <w:color w:val="000000"/>
                <w:sz w:val="20"/>
                <w:szCs w:val="20"/>
              </w:rPr>
            </w:pPr>
          </w:p>
        </w:tc>
        <w:tc>
          <w:tcPr>
            <w:tcW w:w="1491" w:type="dxa"/>
          </w:tcPr>
          <w:p w:rsidR="00126473" w:rsidRDefault="00126473">
            <w:pPr>
              <w:rPr>
                <w:color w:val="000000"/>
                <w:sz w:val="20"/>
                <w:szCs w:val="20"/>
              </w:rPr>
            </w:pPr>
            <w:r>
              <w:rPr>
                <w:color w:val="000000"/>
                <w:sz w:val="20"/>
                <w:szCs w:val="20"/>
              </w:rPr>
              <w:t>Fourth Quarter</w:t>
            </w:r>
          </w:p>
        </w:tc>
        <w:tc>
          <w:tcPr>
            <w:tcW w:w="1217" w:type="dxa"/>
          </w:tcPr>
          <w:p w:rsidR="00126473" w:rsidRDefault="00516A9C" w:rsidP="00516A9C">
            <w:pPr>
              <w:tabs>
                <w:tab w:val="decimal" w:pos="492"/>
              </w:tabs>
              <w:rPr>
                <w:color w:val="000000"/>
                <w:sz w:val="20"/>
                <w:szCs w:val="20"/>
              </w:rPr>
            </w:pPr>
            <w:r>
              <w:rPr>
                <w:color w:val="000000"/>
                <w:sz w:val="20"/>
                <w:szCs w:val="20"/>
              </w:rPr>
              <w:t>5.37</w:t>
            </w:r>
          </w:p>
        </w:tc>
        <w:tc>
          <w:tcPr>
            <w:tcW w:w="1311" w:type="dxa"/>
          </w:tcPr>
          <w:p w:rsidR="00126473" w:rsidRDefault="00516A9C" w:rsidP="00516A9C">
            <w:pPr>
              <w:tabs>
                <w:tab w:val="decimal" w:pos="495"/>
              </w:tabs>
              <w:rPr>
                <w:color w:val="000000"/>
                <w:sz w:val="20"/>
                <w:szCs w:val="20"/>
              </w:rPr>
            </w:pPr>
            <w:r>
              <w:rPr>
                <w:color w:val="000000"/>
                <w:sz w:val="20"/>
                <w:szCs w:val="20"/>
              </w:rPr>
              <w:t>3.92</w:t>
            </w:r>
          </w:p>
        </w:tc>
        <w:tc>
          <w:tcPr>
            <w:tcW w:w="1309" w:type="dxa"/>
          </w:tcPr>
          <w:p w:rsidR="00126473" w:rsidRDefault="00126473">
            <w:pPr>
              <w:tabs>
                <w:tab w:val="decimal" w:pos="492"/>
              </w:tabs>
              <w:rPr>
                <w:color w:val="000000"/>
                <w:sz w:val="20"/>
                <w:szCs w:val="20"/>
              </w:rPr>
            </w:pPr>
            <w:r>
              <w:rPr>
                <w:color w:val="000000"/>
                <w:sz w:val="20"/>
                <w:szCs w:val="20"/>
              </w:rPr>
              <w:t>7.00</w:t>
            </w:r>
          </w:p>
        </w:tc>
        <w:tc>
          <w:tcPr>
            <w:tcW w:w="1311" w:type="dxa"/>
          </w:tcPr>
          <w:p w:rsidR="00126473" w:rsidRDefault="00126473">
            <w:pPr>
              <w:tabs>
                <w:tab w:val="decimal" w:pos="495"/>
              </w:tabs>
              <w:rPr>
                <w:color w:val="000000"/>
                <w:sz w:val="20"/>
                <w:szCs w:val="20"/>
              </w:rPr>
            </w:pPr>
            <w:r>
              <w:rPr>
                <w:color w:val="000000"/>
                <w:sz w:val="20"/>
                <w:szCs w:val="20"/>
              </w:rPr>
              <w:t>4.64</w:t>
            </w:r>
          </w:p>
        </w:tc>
      </w:tr>
    </w:tbl>
    <w:p w:rsidR="004851D7" w:rsidRDefault="004851D7">
      <w:pPr>
        <w:rPr>
          <w:color w:val="000000"/>
          <w:sz w:val="20"/>
          <w:szCs w:val="20"/>
        </w:rPr>
      </w:pPr>
    </w:p>
    <w:p w:rsidR="004851D7" w:rsidRDefault="004851D7">
      <w:pPr>
        <w:spacing w:after="240"/>
        <w:ind w:firstLine="720"/>
        <w:rPr>
          <w:color w:val="000000"/>
          <w:sz w:val="20"/>
          <w:szCs w:val="20"/>
        </w:rPr>
      </w:pPr>
      <w:r>
        <w:rPr>
          <w:color w:val="000000"/>
          <w:sz w:val="20"/>
          <w:szCs w:val="20"/>
        </w:rPr>
        <w:t xml:space="preserve">As of December 31, </w:t>
      </w:r>
      <w:r w:rsidR="00126473">
        <w:rPr>
          <w:color w:val="000000"/>
          <w:sz w:val="20"/>
          <w:szCs w:val="20"/>
        </w:rPr>
        <w:t>2011</w:t>
      </w:r>
      <w:r>
        <w:rPr>
          <w:color w:val="000000"/>
          <w:sz w:val="20"/>
          <w:szCs w:val="20"/>
        </w:rPr>
        <w:t xml:space="preserve">, we had </w:t>
      </w:r>
      <w:r w:rsidR="002709F8">
        <w:rPr>
          <w:sz w:val="20"/>
          <w:szCs w:val="20"/>
        </w:rPr>
        <w:t>108</w:t>
      </w:r>
      <w:r w:rsidR="002709F8" w:rsidRPr="002709F8">
        <w:rPr>
          <w:sz w:val="20"/>
          <w:szCs w:val="20"/>
        </w:rPr>
        <w:t xml:space="preserve"> </w:t>
      </w:r>
      <w:r w:rsidRPr="002709F8">
        <w:rPr>
          <w:sz w:val="20"/>
          <w:szCs w:val="20"/>
        </w:rPr>
        <w:t>registered</w:t>
      </w:r>
      <w:r>
        <w:rPr>
          <w:color w:val="000000"/>
          <w:sz w:val="20"/>
          <w:szCs w:val="20"/>
        </w:rPr>
        <w:t xml:space="preserve"> shareholders.</w:t>
      </w:r>
    </w:p>
    <w:p w:rsidR="004851D7" w:rsidRDefault="004851D7">
      <w:pPr>
        <w:spacing w:after="240"/>
        <w:rPr>
          <w:b/>
          <w:color w:val="000000"/>
          <w:sz w:val="20"/>
          <w:szCs w:val="20"/>
        </w:rPr>
      </w:pPr>
      <w:r>
        <w:rPr>
          <w:color w:val="000000"/>
          <w:sz w:val="20"/>
          <w:szCs w:val="20"/>
        </w:rPr>
        <w:t xml:space="preserve"> </w:t>
      </w:r>
      <w:r>
        <w:rPr>
          <w:b/>
          <w:color w:val="000000"/>
          <w:sz w:val="20"/>
          <w:szCs w:val="20"/>
        </w:rPr>
        <w:t>Dividends</w:t>
      </w:r>
    </w:p>
    <w:p w:rsidR="004851D7" w:rsidRDefault="004851D7">
      <w:pPr>
        <w:spacing w:after="240"/>
        <w:ind w:firstLine="720"/>
        <w:rPr>
          <w:color w:val="000000"/>
          <w:sz w:val="20"/>
          <w:szCs w:val="20"/>
        </w:rPr>
      </w:pPr>
      <w:r>
        <w:rPr>
          <w:color w:val="000000"/>
          <w:sz w:val="20"/>
          <w:szCs w:val="20"/>
        </w:rPr>
        <w:t xml:space="preserve"> We have never paid cash dividends on any of our securities. We do not currently anticipate paying cash dividends in the foreseeable future. </w:t>
      </w:r>
    </w:p>
    <w:p w:rsidR="004851D7" w:rsidRDefault="004851D7">
      <w:pPr>
        <w:spacing w:after="240"/>
        <w:rPr>
          <w:color w:val="000000"/>
          <w:sz w:val="20"/>
          <w:szCs w:val="20"/>
        </w:rPr>
      </w:pPr>
      <w:r>
        <w:rPr>
          <w:b/>
          <w:color w:val="000000"/>
          <w:sz w:val="20"/>
          <w:szCs w:val="20"/>
        </w:rPr>
        <w:t>Recent Sales of Unregistered Equity Securities</w:t>
      </w:r>
      <w:r>
        <w:rPr>
          <w:color w:val="000000"/>
          <w:sz w:val="20"/>
          <w:szCs w:val="20"/>
        </w:rPr>
        <w:t xml:space="preserve">  </w:t>
      </w:r>
    </w:p>
    <w:p w:rsidR="004851D7" w:rsidRDefault="004851D7">
      <w:pPr>
        <w:spacing w:after="240"/>
        <w:ind w:firstLine="720"/>
        <w:rPr>
          <w:color w:val="000000"/>
          <w:sz w:val="20"/>
          <w:szCs w:val="20"/>
        </w:rPr>
      </w:pPr>
      <w:r>
        <w:rPr>
          <w:color w:val="000000"/>
          <w:sz w:val="20"/>
          <w:szCs w:val="20"/>
        </w:rPr>
        <w:t xml:space="preserve">There were no sales of unregistered securities during the quarter or year ended December 31, </w:t>
      </w:r>
      <w:r w:rsidR="00126473">
        <w:rPr>
          <w:color w:val="000000"/>
          <w:sz w:val="20"/>
          <w:szCs w:val="20"/>
        </w:rPr>
        <w:t xml:space="preserve">2011 </w:t>
      </w:r>
      <w:r>
        <w:rPr>
          <w:color w:val="000000"/>
          <w:sz w:val="20"/>
          <w:szCs w:val="20"/>
        </w:rPr>
        <w:t>that have not been previously reported.</w:t>
      </w:r>
    </w:p>
    <w:p w:rsidR="004851D7" w:rsidRDefault="004851D7">
      <w:pPr>
        <w:spacing w:after="240"/>
        <w:ind w:firstLine="720"/>
        <w:rPr>
          <w:color w:val="000000"/>
          <w:sz w:val="20"/>
          <w:szCs w:val="20"/>
        </w:rPr>
      </w:pPr>
      <w:r>
        <w:rPr>
          <w:color w:val="000000"/>
          <w:sz w:val="20"/>
          <w:szCs w:val="20"/>
        </w:rPr>
        <w:t xml:space="preserve">For information on our equity compensation plans, refer to </w:t>
      </w:r>
      <w:r>
        <w:rPr>
          <w:sz w:val="20"/>
          <w:szCs w:val="20"/>
        </w:rPr>
        <w:t>Item 12, “</w:t>
      </w:r>
      <w:r>
        <w:rPr>
          <w:color w:val="000000"/>
          <w:sz w:val="20"/>
          <w:szCs w:val="20"/>
        </w:rPr>
        <w:t>Security Ownership of Certain Beneficial Owners and Management and Related Stockholder Matters.”</w:t>
      </w:r>
    </w:p>
    <w:p w:rsidR="004851D7" w:rsidRDefault="004851D7" w:rsidP="00FC4057">
      <w:pPr>
        <w:pStyle w:val="Heading2"/>
      </w:pPr>
      <w:bookmarkStart w:id="13" w:name="_Toc319405343"/>
      <w:proofErr w:type="gramStart"/>
      <w:r>
        <w:t>ITEM 6.</w:t>
      </w:r>
      <w:proofErr w:type="gramEnd"/>
      <w:r>
        <w:tab/>
        <w:t>SELECTED FINANCIAL DATA</w:t>
      </w:r>
      <w:bookmarkEnd w:id="13"/>
    </w:p>
    <w:p w:rsidR="00FC4057" w:rsidRPr="00FC4057" w:rsidRDefault="00FC4057" w:rsidP="00FC4057"/>
    <w:p w:rsidR="004851D7" w:rsidRDefault="004851D7">
      <w:pPr>
        <w:tabs>
          <w:tab w:val="left" w:pos="1440"/>
        </w:tabs>
        <w:spacing w:after="240"/>
        <w:ind w:left="2160" w:hanging="1440"/>
        <w:rPr>
          <w:bCs/>
          <w:color w:val="000000"/>
          <w:sz w:val="20"/>
        </w:rPr>
      </w:pPr>
      <w:r>
        <w:rPr>
          <w:bCs/>
          <w:color w:val="000000"/>
          <w:sz w:val="20"/>
        </w:rPr>
        <w:t>As a smaller reporting company, we are not required to provide the information required by this Item.</w:t>
      </w:r>
    </w:p>
    <w:p w:rsidR="004851D7" w:rsidRDefault="004851D7">
      <w:pPr>
        <w:rPr>
          <w:rFonts w:ascii="Calibri" w:hAnsi="Calibri"/>
          <w:color w:val="000000"/>
          <w:sz w:val="20"/>
          <w:szCs w:val="20"/>
        </w:rPr>
      </w:pPr>
    </w:p>
    <w:p w:rsidR="004851D7" w:rsidRDefault="004851D7">
      <w:pPr>
        <w:tabs>
          <w:tab w:val="left" w:pos="1440"/>
        </w:tabs>
        <w:spacing w:after="240"/>
        <w:ind w:left="1440" w:hanging="1440"/>
        <w:rPr>
          <w:b/>
          <w:bCs/>
          <w:color w:val="000000"/>
          <w:sz w:val="20"/>
        </w:rPr>
      </w:pPr>
    </w:p>
    <w:p w:rsidR="004851D7" w:rsidRDefault="004851D7">
      <w:pPr>
        <w:tabs>
          <w:tab w:val="left" w:pos="1440"/>
        </w:tabs>
        <w:spacing w:after="240"/>
        <w:ind w:left="1440" w:hanging="1440"/>
        <w:rPr>
          <w:b/>
          <w:bCs/>
          <w:color w:val="000000"/>
          <w:sz w:val="20"/>
        </w:rPr>
      </w:pPr>
    </w:p>
    <w:p w:rsidR="004851D7" w:rsidRDefault="004851D7">
      <w:pPr>
        <w:tabs>
          <w:tab w:val="left" w:pos="1440"/>
        </w:tabs>
        <w:spacing w:after="240"/>
        <w:ind w:left="1440" w:hanging="1440"/>
        <w:rPr>
          <w:b/>
          <w:bCs/>
          <w:color w:val="000000"/>
          <w:sz w:val="20"/>
        </w:rPr>
      </w:pPr>
    </w:p>
    <w:p w:rsidR="004851D7" w:rsidRDefault="004851D7">
      <w:pPr>
        <w:tabs>
          <w:tab w:val="left" w:pos="1440"/>
        </w:tabs>
        <w:spacing w:after="240"/>
        <w:ind w:left="1440" w:hanging="1440"/>
        <w:rPr>
          <w:b/>
          <w:bCs/>
          <w:color w:val="000000"/>
          <w:sz w:val="20"/>
        </w:rPr>
      </w:pPr>
    </w:p>
    <w:p w:rsidR="004851D7" w:rsidRDefault="004851D7">
      <w:pPr>
        <w:tabs>
          <w:tab w:val="left" w:pos="1440"/>
        </w:tabs>
        <w:spacing w:after="240"/>
        <w:ind w:left="1440" w:hanging="1440"/>
        <w:rPr>
          <w:b/>
          <w:bCs/>
          <w:color w:val="000000"/>
          <w:sz w:val="20"/>
        </w:rPr>
      </w:pPr>
    </w:p>
    <w:p w:rsidR="004851D7" w:rsidRDefault="004851D7">
      <w:pPr>
        <w:tabs>
          <w:tab w:val="left" w:pos="1440"/>
        </w:tabs>
        <w:spacing w:after="240"/>
        <w:ind w:left="1440" w:hanging="1440"/>
        <w:rPr>
          <w:b/>
          <w:bCs/>
          <w:color w:val="000000"/>
          <w:sz w:val="20"/>
        </w:rPr>
      </w:pPr>
    </w:p>
    <w:p w:rsidR="004851D7" w:rsidRDefault="004851D7">
      <w:pPr>
        <w:tabs>
          <w:tab w:val="left" w:pos="1440"/>
        </w:tabs>
        <w:spacing w:after="240"/>
        <w:ind w:left="1440" w:hanging="1440"/>
        <w:rPr>
          <w:b/>
          <w:bCs/>
          <w:color w:val="000000"/>
          <w:sz w:val="20"/>
        </w:rPr>
      </w:pPr>
    </w:p>
    <w:p w:rsidR="004851D7" w:rsidRDefault="004851D7">
      <w:pPr>
        <w:tabs>
          <w:tab w:val="left" w:pos="1440"/>
        </w:tabs>
        <w:spacing w:after="240"/>
        <w:ind w:left="1440" w:hanging="1440"/>
        <w:rPr>
          <w:b/>
          <w:bCs/>
          <w:color w:val="000000"/>
          <w:sz w:val="20"/>
        </w:rPr>
      </w:pPr>
    </w:p>
    <w:p w:rsidR="004851D7" w:rsidRDefault="004851D7">
      <w:pPr>
        <w:tabs>
          <w:tab w:val="left" w:pos="1440"/>
        </w:tabs>
        <w:spacing w:after="240"/>
        <w:ind w:left="1440" w:hanging="1440"/>
        <w:rPr>
          <w:b/>
          <w:bCs/>
          <w:color w:val="000000"/>
          <w:sz w:val="20"/>
        </w:rPr>
      </w:pPr>
    </w:p>
    <w:p w:rsidR="004851D7" w:rsidRDefault="004851D7" w:rsidP="00FC4057">
      <w:pPr>
        <w:pStyle w:val="Heading2"/>
      </w:pPr>
      <w:bookmarkStart w:id="14" w:name="_Toc319405344"/>
      <w:proofErr w:type="gramStart"/>
      <w:r>
        <w:t>ITEM 7.</w:t>
      </w:r>
      <w:proofErr w:type="gramEnd"/>
      <w:r>
        <w:tab/>
        <w:t>MANAGEMENT’S DISCUSSION AND ANALYSIS OF FINANCIAL CONDITION AND RESULTS OF OPERATION</w:t>
      </w:r>
      <w:bookmarkEnd w:id="14"/>
    </w:p>
    <w:p w:rsidR="00FC4057" w:rsidRPr="00FC4057" w:rsidRDefault="00FC4057" w:rsidP="00FC4057"/>
    <w:p w:rsidR="004851D7" w:rsidRDefault="004851D7">
      <w:pPr>
        <w:keepNext/>
        <w:spacing w:after="240"/>
        <w:rPr>
          <w:b/>
          <w:bCs/>
          <w:color w:val="000000"/>
          <w:sz w:val="20"/>
        </w:rPr>
      </w:pPr>
      <w:r>
        <w:rPr>
          <w:b/>
          <w:bCs/>
          <w:color w:val="000000"/>
          <w:sz w:val="20"/>
        </w:rPr>
        <w:t>Executive Overview</w:t>
      </w:r>
    </w:p>
    <w:p w:rsidR="004851D7" w:rsidRPr="004D3608" w:rsidRDefault="004851D7">
      <w:pPr>
        <w:tabs>
          <w:tab w:val="left" w:pos="3960"/>
        </w:tabs>
        <w:ind w:firstLine="720"/>
        <w:rPr>
          <w:sz w:val="20"/>
        </w:rPr>
      </w:pPr>
      <w:proofErr w:type="spellStart"/>
      <w:r w:rsidRPr="004D3608">
        <w:rPr>
          <w:sz w:val="20"/>
        </w:rPr>
        <w:t>MakeMusic’s</w:t>
      </w:r>
      <w:proofErr w:type="spellEnd"/>
      <w:r w:rsidRPr="004D3608">
        <w:rPr>
          <w:sz w:val="20"/>
        </w:rPr>
        <w:t xml:space="preserve"> mission is to develop and market solutions that transform how music is composed, taught, learned and performed. This is accomplished by:</w:t>
      </w:r>
    </w:p>
    <w:p w:rsidR="004851D7" w:rsidRPr="004D3608" w:rsidRDefault="004851D7">
      <w:pPr>
        <w:tabs>
          <w:tab w:val="left" w:pos="3960"/>
        </w:tabs>
        <w:ind w:firstLine="720"/>
        <w:rPr>
          <w:sz w:val="20"/>
        </w:rPr>
      </w:pPr>
    </w:p>
    <w:p w:rsidR="004851D7" w:rsidRPr="004D3608" w:rsidRDefault="004851D7">
      <w:pPr>
        <w:numPr>
          <w:ilvl w:val="0"/>
          <w:numId w:val="28"/>
        </w:numPr>
        <w:tabs>
          <w:tab w:val="clear" w:pos="1080"/>
          <w:tab w:val="num" w:pos="1170"/>
          <w:tab w:val="left" w:pos="3960"/>
        </w:tabs>
        <w:ind w:left="1170" w:hanging="450"/>
        <w:rPr>
          <w:sz w:val="20"/>
        </w:rPr>
      </w:pPr>
      <w:r w:rsidRPr="004D3608">
        <w:rPr>
          <w:sz w:val="20"/>
        </w:rPr>
        <w:t>Providing integrated technology, content and web services to enhance and expand how music is taught, learned and prepared for performance.</w:t>
      </w:r>
    </w:p>
    <w:p w:rsidR="004851D7" w:rsidRPr="004D3608" w:rsidRDefault="004851D7">
      <w:pPr>
        <w:numPr>
          <w:ilvl w:val="0"/>
          <w:numId w:val="28"/>
        </w:numPr>
        <w:tabs>
          <w:tab w:val="clear" w:pos="1080"/>
          <w:tab w:val="num" w:pos="1170"/>
          <w:tab w:val="num" w:pos="1800"/>
          <w:tab w:val="left" w:pos="3960"/>
        </w:tabs>
        <w:ind w:left="1170" w:hanging="450"/>
        <w:rPr>
          <w:sz w:val="20"/>
        </w:rPr>
      </w:pPr>
      <w:r w:rsidRPr="004D3608">
        <w:rPr>
          <w:sz w:val="20"/>
        </w:rPr>
        <w:t xml:space="preserve">Providing music education content developers with a technology-enriched publishing platform that leverages their copyrighted assets while simultaneously increasing the content and value of the </w:t>
      </w:r>
      <w:proofErr w:type="spellStart"/>
      <w:r w:rsidRPr="004D3608">
        <w:rPr>
          <w:sz w:val="20"/>
        </w:rPr>
        <w:t>SmartMusic</w:t>
      </w:r>
      <w:proofErr w:type="spellEnd"/>
      <w:r w:rsidRPr="004D3608">
        <w:rPr>
          <w:sz w:val="20"/>
        </w:rPr>
        <w:t xml:space="preserve"> library.</w:t>
      </w:r>
    </w:p>
    <w:p w:rsidR="004851D7" w:rsidRPr="004D3608" w:rsidRDefault="004851D7">
      <w:pPr>
        <w:numPr>
          <w:ilvl w:val="0"/>
          <w:numId w:val="28"/>
        </w:numPr>
        <w:tabs>
          <w:tab w:val="clear" w:pos="1080"/>
          <w:tab w:val="num" w:pos="1170"/>
          <w:tab w:val="num" w:pos="1800"/>
          <w:tab w:val="left" w:pos="3960"/>
        </w:tabs>
        <w:ind w:left="1170" w:hanging="450"/>
        <w:rPr>
          <w:sz w:val="20"/>
        </w:rPr>
      </w:pPr>
      <w:r w:rsidRPr="004D3608">
        <w:rPr>
          <w:sz w:val="20"/>
        </w:rPr>
        <w:t>Offering software solutions for engraving and electronically distributing sheet music.</w:t>
      </w:r>
    </w:p>
    <w:p w:rsidR="004851D7" w:rsidRPr="004D3608" w:rsidRDefault="004851D7">
      <w:pPr>
        <w:tabs>
          <w:tab w:val="num" w:pos="1800"/>
          <w:tab w:val="left" w:pos="3960"/>
        </w:tabs>
        <w:rPr>
          <w:sz w:val="20"/>
        </w:rPr>
      </w:pPr>
    </w:p>
    <w:p w:rsidR="004851D7" w:rsidRDefault="004851D7">
      <w:pPr>
        <w:spacing w:after="240"/>
        <w:ind w:firstLine="720"/>
        <w:rPr>
          <w:color w:val="000000"/>
          <w:sz w:val="20"/>
          <w:szCs w:val="20"/>
        </w:rPr>
      </w:pPr>
      <w:proofErr w:type="spellStart"/>
      <w:r w:rsidRPr="004D3608">
        <w:rPr>
          <w:color w:val="000000"/>
          <w:sz w:val="20"/>
          <w:szCs w:val="20"/>
        </w:rPr>
        <w:t>MakeMusic</w:t>
      </w:r>
      <w:proofErr w:type="spellEnd"/>
      <w:r w:rsidRPr="004D3608">
        <w:rPr>
          <w:color w:val="000000"/>
          <w:sz w:val="20"/>
          <w:szCs w:val="20"/>
        </w:rPr>
        <w:t xml:space="preserve"> develops and markets two product lines, </w:t>
      </w:r>
      <w:proofErr w:type="spellStart"/>
      <w:r w:rsidRPr="004D3608">
        <w:rPr>
          <w:sz w:val="20"/>
        </w:rPr>
        <w:t>SmartMusic</w:t>
      </w:r>
      <w:proofErr w:type="spellEnd"/>
      <w:r w:rsidRPr="004D3608">
        <w:rPr>
          <w:sz w:val="20"/>
          <w:vertAlign w:val="superscript"/>
        </w:rPr>
        <w:t xml:space="preserve">® </w:t>
      </w:r>
      <w:r w:rsidRPr="004D3608">
        <w:rPr>
          <w:sz w:val="20"/>
        </w:rPr>
        <w:t xml:space="preserve">learning </w:t>
      </w:r>
      <w:r w:rsidRPr="004D3608">
        <w:rPr>
          <w:color w:val="000000"/>
          <w:sz w:val="20"/>
        </w:rPr>
        <w:t>software for band, jazz ensemble, orchestra and voice</w:t>
      </w:r>
      <w:r w:rsidRPr="004D3608">
        <w:rPr>
          <w:sz w:val="20"/>
        </w:rPr>
        <w:t xml:space="preserve"> </w:t>
      </w:r>
      <w:proofErr w:type="gramStart"/>
      <w:r w:rsidRPr="004D3608">
        <w:rPr>
          <w:sz w:val="20"/>
        </w:rPr>
        <w:t>and  music</w:t>
      </w:r>
      <w:proofErr w:type="gramEnd"/>
      <w:r w:rsidRPr="004D3608">
        <w:rPr>
          <w:sz w:val="20"/>
        </w:rPr>
        <w:t xml:space="preserve"> notation software</w:t>
      </w:r>
      <w:r w:rsidR="004D3608">
        <w:rPr>
          <w:sz w:val="20"/>
        </w:rPr>
        <w:t xml:space="preserve"> including </w:t>
      </w:r>
      <w:r w:rsidR="00C50DE7">
        <w:rPr>
          <w:sz w:val="20"/>
        </w:rPr>
        <w:t>Finale</w:t>
      </w:r>
      <w:r w:rsidR="00C50DE7" w:rsidRPr="004D3608">
        <w:rPr>
          <w:sz w:val="20"/>
          <w:vertAlign w:val="superscript"/>
        </w:rPr>
        <w:t>®</w:t>
      </w:r>
      <w:r w:rsidR="00C50DE7">
        <w:rPr>
          <w:sz w:val="20"/>
        </w:rPr>
        <w:t xml:space="preserve">, </w:t>
      </w:r>
      <w:proofErr w:type="spellStart"/>
      <w:r w:rsidR="004D3608">
        <w:rPr>
          <w:sz w:val="20"/>
        </w:rPr>
        <w:t>MusicXML</w:t>
      </w:r>
      <w:proofErr w:type="spellEnd"/>
      <w:r w:rsidR="004D3608">
        <w:rPr>
          <w:sz w:val="20"/>
        </w:rPr>
        <w:t xml:space="preserve"> and Garritan sound libraries</w:t>
      </w:r>
      <w:r w:rsidRPr="004D3608">
        <w:rPr>
          <w:sz w:val="20"/>
        </w:rPr>
        <w:t xml:space="preserve">. </w:t>
      </w:r>
      <w:r w:rsidRPr="004D3608">
        <w:rPr>
          <w:sz w:val="20"/>
          <w:szCs w:val="20"/>
        </w:rPr>
        <w:t xml:space="preserve">We believe these innovative products reinforce each other’s features and competitiveness and will allow us to continue to achieve positive operating results. </w:t>
      </w:r>
      <w:r w:rsidRPr="004D3608">
        <w:rPr>
          <w:color w:val="000000"/>
          <w:sz w:val="20"/>
          <w:szCs w:val="20"/>
        </w:rPr>
        <w:t xml:space="preserve">The well-established Finale family of music notation software products </w:t>
      </w:r>
      <w:r w:rsidR="004D3608">
        <w:rPr>
          <w:color w:val="000000"/>
          <w:sz w:val="20"/>
          <w:szCs w:val="20"/>
        </w:rPr>
        <w:t xml:space="preserve">is utilized by music colleges and composers around the world in the creation of music scores. </w:t>
      </w:r>
      <w:proofErr w:type="gramStart"/>
      <w:r w:rsidR="004D3608">
        <w:rPr>
          <w:color w:val="000000"/>
          <w:sz w:val="20"/>
          <w:szCs w:val="20"/>
        </w:rPr>
        <w:t xml:space="preserve">Finale </w:t>
      </w:r>
      <w:r w:rsidRPr="004D3608">
        <w:rPr>
          <w:color w:val="000000"/>
          <w:sz w:val="20"/>
          <w:szCs w:val="20"/>
        </w:rPr>
        <w:t xml:space="preserve"> serves</w:t>
      </w:r>
      <w:proofErr w:type="gramEnd"/>
      <w:r w:rsidRPr="004D3608">
        <w:rPr>
          <w:color w:val="000000"/>
          <w:sz w:val="20"/>
          <w:szCs w:val="20"/>
        </w:rPr>
        <w:t xml:space="preserve"> a large </w:t>
      </w:r>
      <w:r w:rsidR="004D3608">
        <w:rPr>
          <w:color w:val="000000"/>
          <w:sz w:val="20"/>
          <w:szCs w:val="20"/>
        </w:rPr>
        <w:t xml:space="preserve">and stable </w:t>
      </w:r>
      <w:r w:rsidRPr="004D3608">
        <w:rPr>
          <w:color w:val="000000"/>
          <w:sz w:val="20"/>
          <w:szCs w:val="20"/>
        </w:rPr>
        <w:t xml:space="preserve">customer base and generates consistent revenue through sales of new </w:t>
      </w:r>
      <w:r w:rsidR="004D3608">
        <w:rPr>
          <w:color w:val="000000"/>
          <w:sz w:val="20"/>
          <w:szCs w:val="20"/>
        </w:rPr>
        <w:t>version releases</w:t>
      </w:r>
      <w:r w:rsidRPr="004D3608">
        <w:rPr>
          <w:color w:val="000000"/>
          <w:sz w:val="20"/>
          <w:szCs w:val="20"/>
        </w:rPr>
        <w:t>.</w:t>
      </w:r>
      <w:r>
        <w:rPr>
          <w:color w:val="000000"/>
          <w:sz w:val="20"/>
          <w:szCs w:val="20"/>
        </w:rPr>
        <w:t xml:space="preserve"> </w:t>
      </w:r>
    </w:p>
    <w:p w:rsidR="006B7B09" w:rsidRDefault="006B7B09" w:rsidP="006B7B09">
      <w:pPr>
        <w:spacing w:after="240"/>
        <w:ind w:firstLine="720"/>
        <w:rPr>
          <w:color w:val="000000"/>
          <w:sz w:val="20"/>
          <w:szCs w:val="20"/>
        </w:rPr>
      </w:pPr>
      <w:r>
        <w:rPr>
          <w:color w:val="000000"/>
          <w:sz w:val="20"/>
          <w:szCs w:val="20"/>
        </w:rPr>
        <w:t xml:space="preserve">In the fourth quarter of 2011, we announced the acquisition of select assets of </w:t>
      </w:r>
      <w:proofErr w:type="spellStart"/>
      <w:r>
        <w:rPr>
          <w:color w:val="000000"/>
          <w:sz w:val="20"/>
          <w:szCs w:val="20"/>
        </w:rPr>
        <w:t>Recordare</w:t>
      </w:r>
      <w:proofErr w:type="spellEnd"/>
      <w:r>
        <w:rPr>
          <w:color w:val="000000"/>
          <w:sz w:val="20"/>
          <w:szCs w:val="20"/>
        </w:rPr>
        <w:t xml:space="preserve">, LLC and the acquisition of Garritan Corporation.  We believe these acquisitions provide new products, technology, brands and employees that are complementary to </w:t>
      </w:r>
      <w:proofErr w:type="spellStart"/>
      <w:r>
        <w:rPr>
          <w:color w:val="000000"/>
          <w:sz w:val="20"/>
          <w:szCs w:val="20"/>
        </w:rPr>
        <w:t>MakeMusic</w:t>
      </w:r>
      <w:proofErr w:type="spellEnd"/>
      <w:r>
        <w:rPr>
          <w:color w:val="000000"/>
          <w:sz w:val="20"/>
          <w:szCs w:val="20"/>
        </w:rPr>
        <w:t xml:space="preserve"> and provide growth opportunities for the future.</w:t>
      </w:r>
    </w:p>
    <w:p w:rsidR="007D20FC" w:rsidRDefault="004851D7">
      <w:pPr>
        <w:ind w:firstLine="720"/>
        <w:rPr>
          <w:color w:val="000000"/>
          <w:sz w:val="20"/>
          <w:szCs w:val="20"/>
        </w:rPr>
      </w:pPr>
      <w:r>
        <w:rPr>
          <w:color w:val="000000"/>
          <w:sz w:val="20"/>
          <w:szCs w:val="20"/>
        </w:rPr>
        <w:t xml:space="preserve">Our fiscal year </w:t>
      </w:r>
      <w:r w:rsidR="00516A9C">
        <w:rPr>
          <w:color w:val="000000"/>
          <w:sz w:val="20"/>
          <w:szCs w:val="20"/>
        </w:rPr>
        <w:t xml:space="preserve">2011 </w:t>
      </w:r>
      <w:r>
        <w:rPr>
          <w:color w:val="000000"/>
          <w:sz w:val="20"/>
          <w:szCs w:val="20"/>
        </w:rPr>
        <w:t xml:space="preserve">resulted in </w:t>
      </w:r>
      <w:r w:rsidR="00516A9C">
        <w:rPr>
          <w:color w:val="000000"/>
          <w:sz w:val="20"/>
          <w:szCs w:val="20"/>
        </w:rPr>
        <w:t xml:space="preserve">a slight decline in </w:t>
      </w:r>
      <w:r>
        <w:rPr>
          <w:color w:val="000000"/>
          <w:sz w:val="20"/>
          <w:szCs w:val="20"/>
        </w:rPr>
        <w:t xml:space="preserve">sales for </w:t>
      </w:r>
      <w:proofErr w:type="spellStart"/>
      <w:r>
        <w:rPr>
          <w:color w:val="000000"/>
          <w:sz w:val="20"/>
          <w:szCs w:val="20"/>
        </w:rPr>
        <w:t>MakeMusic</w:t>
      </w:r>
      <w:proofErr w:type="spellEnd"/>
      <w:r w:rsidR="002709F8">
        <w:rPr>
          <w:color w:val="000000"/>
          <w:sz w:val="20"/>
          <w:szCs w:val="20"/>
        </w:rPr>
        <w:t>. Overall, net revenue decreased 1</w:t>
      </w:r>
      <w:r>
        <w:rPr>
          <w:color w:val="000000"/>
          <w:sz w:val="20"/>
          <w:szCs w:val="20"/>
        </w:rPr>
        <w:t xml:space="preserve">% </w:t>
      </w:r>
      <w:r w:rsidR="002709F8">
        <w:rPr>
          <w:color w:val="000000"/>
          <w:sz w:val="20"/>
          <w:szCs w:val="20"/>
        </w:rPr>
        <w:t xml:space="preserve">compared to </w:t>
      </w:r>
      <w:r w:rsidR="00516A9C">
        <w:rPr>
          <w:color w:val="000000"/>
          <w:sz w:val="20"/>
          <w:szCs w:val="20"/>
        </w:rPr>
        <w:t>2010</w:t>
      </w:r>
      <w:r w:rsidR="002709F8">
        <w:rPr>
          <w:color w:val="000000"/>
          <w:sz w:val="20"/>
          <w:szCs w:val="20"/>
        </w:rPr>
        <w:t>.</w:t>
      </w:r>
      <w:r>
        <w:rPr>
          <w:color w:val="000000"/>
          <w:sz w:val="20"/>
          <w:szCs w:val="20"/>
        </w:rPr>
        <w:t xml:space="preserve"> </w:t>
      </w:r>
      <w:proofErr w:type="spellStart"/>
      <w:r>
        <w:rPr>
          <w:color w:val="000000"/>
          <w:sz w:val="20"/>
          <w:szCs w:val="20"/>
        </w:rPr>
        <w:t>SmartMusic</w:t>
      </w:r>
      <w:proofErr w:type="spellEnd"/>
      <w:r>
        <w:rPr>
          <w:color w:val="000000"/>
          <w:sz w:val="20"/>
          <w:szCs w:val="20"/>
        </w:rPr>
        <w:t xml:space="preserve"> revenue grew </w:t>
      </w:r>
      <w:r w:rsidR="00516A9C">
        <w:rPr>
          <w:color w:val="000000"/>
          <w:sz w:val="20"/>
          <w:szCs w:val="20"/>
        </w:rPr>
        <w:t>17</w:t>
      </w:r>
      <w:r>
        <w:rPr>
          <w:color w:val="000000"/>
          <w:sz w:val="20"/>
          <w:szCs w:val="20"/>
        </w:rPr>
        <w:t xml:space="preserve">% due to our </w:t>
      </w:r>
      <w:r w:rsidR="00EE5AED">
        <w:rPr>
          <w:color w:val="000000"/>
          <w:sz w:val="20"/>
          <w:szCs w:val="20"/>
        </w:rPr>
        <w:t xml:space="preserve">year over year </w:t>
      </w:r>
      <w:r>
        <w:rPr>
          <w:color w:val="000000"/>
          <w:sz w:val="20"/>
          <w:szCs w:val="20"/>
        </w:rPr>
        <w:t xml:space="preserve">subscription growth from </w:t>
      </w:r>
      <w:r w:rsidR="00516A9C">
        <w:rPr>
          <w:color w:val="000000"/>
          <w:sz w:val="20"/>
          <w:szCs w:val="20"/>
        </w:rPr>
        <w:t>162,189</w:t>
      </w:r>
      <w:r>
        <w:rPr>
          <w:color w:val="000000"/>
          <w:sz w:val="20"/>
          <w:szCs w:val="20"/>
        </w:rPr>
        <w:t xml:space="preserve"> to </w:t>
      </w:r>
      <w:r w:rsidR="002709F8">
        <w:rPr>
          <w:color w:val="000000"/>
          <w:sz w:val="20"/>
          <w:szCs w:val="20"/>
        </w:rPr>
        <w:t>178,609</w:t>
      </w:r>
      <w:r>
        <w:rPr>
          <w:color w:val="000000"/>
          <w:sz w:val="20"/>
          <w:szCs w:val="20"/>
        </w:rPr>
        <w:t xml:space="preserve"> and price increase</w:t>
      </w:r>
      <w:r w:rsidR="005F6599">
        <w:rPr>
          <w:color w:val="000000"/>
          <w:sz w:val="20"/>
          <w:szCs w:val="20"/>
        </w:rPr>
        <w:t xml:space="preserve">s implemented in the third quarter of 2010, </w:t>
      </w:r>
      <w:r w:rsidR="00612B19">
        <w:rPr>
          <w:color w:val="000000"/>
          <w:sz w:val="20"/>
          <w:szCs w:val="20"/>
        </w:rPr>
        <w:t xml:space="preserve">from </w:t>
      </w:r>
      <w:r w:rsidR="00612B19">
        <w:rPr>
          <w:color w:val="000000"/>
          <w:sz w:val="20"/>
        </w:rPr>
        <w:t xml:space="preserve">$130 to $140 </w:t>
      </w:r>
      <w:r w:rsidR="005F6599">
        <w:rPr>
          <w:color w:val="000000"/>
          <w:sz w:val="20"/>
        </w:rPr>
        <w:t xml:space="preserve">for teacher subscriptions and from $30 to $36 for </w:t>
      </w:r>
      <w:r w:rsidR="00612B19">
        <w:rPr>
          <w:color w:val="000000"/>
          <w:sz w:val="20"/>
        </w:rPr>
        <w:t>student subscriptions</w:t>
      </w:r>
      <w:r w:rsidR="005F6599">
        <w:rPr>
          <w:color w:val="000000"/>
          <w:sz w:val="20"/>
        </w:rPr>
        <w:t>.</w:t>
      </w:r>
      <w:r>
        <w:rPr>
          <w:color w:val="000000"/>
          <w:sz w:val="20"/>
          <w:szCs w:val="20"/>
        </w:rPr>
        <w:t xml:space="preserve"> Notation revenue decreased </w:t>
      </w:r>
      <w:r w:rsidR="002709F8">
        <w:rPr>
          <w:color w:val="000000"/>
          <w:sz w:val="20"/>
          <w:szCs w:val="20"/>
        </w:rPr>
        <w:t>12</w:t>
      </w:r>
      <w:r>
        <w:rPr>
          <w:color w:val="000000"/>
          <w:sz w:val="20"/>
          <w:szCs w:val="20"/>
        </w:rPr>
        <w:t xml:space="preserve">% </w:t>
      </w:r>
      <w:r w:rsidR="007D20FC">
        <w:rPr>
          <w:color w:val="000000"/>
          <w:sz w:val="20"/>
          <w:szCs w:val="20"/>
        </w:rPr>
        <w:t>due to reductions in both our sales to distribution partners and our direct sales. We attribute these decreases to the timing of our annual Finale update release. This year’s update was released in October 2011, as compared to last year’s release of Finale 2011 in June 2010.</w:t>
      </w:r>
      <w:r>
        <w:rPr>
          <w:color w:val="000000"/>
          <w:sz w:val="20"/>
          <w:szCs w:val="20"/>
        </w:rPr>
        <w:t xml:space="preserve"> Gross margin percentages were comparable at </w:t>
      </w:r>
      <w:r w:rsidR="007D20FC">
        <w:rPr>
          <w:color w:val="000000"/>
          <w:sz w:val="20"/>
          <w:szCs w:val="20"/>
        </w:rPr>
        <w:t>84</w:t>
      </w:r>
      <w:r>
        <w:rPr>
          <w:color w:val="000000"/>
          <w:sz w:val="20"/>
          <w:szCs w:val="20"/>
        </w:rPr>
        <w:t xml:space="preserve">% in </w:t>
      </w:r>
      <w:r w:rsidR="007D20FC">
        <w:rPr>
          <w:color w:val="000000"/>
          <w:sz w:val="20"/>
          <w:szCs w:val="20"/>
        </w:rPr>
        <w:t xml:space="preserve">2011 </w:t>
      </w:r>
      <w:r>
        <w:rPr>
          <w:color w:val="000000"/>
          <w:sz w:val="20"/>
          <w:szCs w:val="20"/>
        </w:rPr>
        <w:t>and</w:t>
      </w:r>
      <w:r w:rsidR="00E46491">
        <w:rPr>
          <w:color w:val="000000"/>
          <w:sz w:val="20"/>
          <w:szCs w:val="20"/>
        </w:rPr>
        <w:t xml:space="preserve"> </w:t>
      </w:r>
      <w:r w:rsidR="007D20FC">
        <w:rPr>
          <w:color w:val="000000"/>
          <w:sz w:val="20"/>
          <w:szCs w:val="20"/>
        </w:rPr>
        <w:t>83</w:t>
      </w:r>
      <w:r w:rsidR="00E46491">
        <w:rPr>
          <w:color w:val="000000"/>
          <w:sz w:val="20"/>
          <w:szCs w:val="20"/>
        </w:rPr>
        <w:t>% in</w:t>
      </w:r>
      <w:r>
        <w:rPr>
          <w:color w:val="000000"/>
          <w:sz w:val="20"/>
          <w:szCs w:val="20"/>
        </w:rPr>
        <w:t xml:space="preserve"> </w:t>
      </w:r>
      <w:r w:rsidR="007D20FC">
        <w:rPr>
          <w:color w:val="000000"/>
          <w:sz w:val="20"/>
          <w:szCs w:val="20"/>
        </w:rPr>
        <w:t>2010</w:t>
      </w:r>
      <w:r>
        <w:rPr>
          <w:color w:val="000000"/>
          <w:sz w:val="20"/>
          <w:szCs w:val="20"/>
        </w:rPr>
        <w:t xml:space="preserve">. </w:t>
      </w:r>
      <w:r w:rsidR="0071070C">
        <w:rPr>
          <w:color w:val="000000"/>
          <w:sz w:val="20"/>
          <w:szCs w:val="20"/>
        </w:rPr>
        <w:t>Acquisitions in the fourth quarter of 2011 did not have a significant impact on 2011 sales and operating results due to their timing.</w:t>
      </w:r>
    </w:p>
    <w:p w:rsidR="007D20FC" w:rsidRDefault="007D20FC">
      <w:pPr>
        <w:ind w:firstLine="720"/>
        <w:rPr>
          <w:color w:val="000000"/>
          <w:sz w:val="20"/>
          <w:szCs w:val="20"/>
        </w:rPr>
      </w:pPr>
    </w:p>
    <w:p w:rsidR="00CE1EFE" w:rsidRDefault="004851D7">
      <w:pPr>
        <w:ind w:firstLine="720"/>
        <w:rPr>
          <w:color w:val="000000"/>
          <w:sz w:val="20"/>
          <w:szCs w:val="20"/>
        </w:rPr>
      </w:pPr>
      <w:r>
        <w:rPr>
          <w:color w:val="000000"/>
          <w:sz w:val="20"/>
          <w:szCs w:val="20"/>
        </w:rPr>
        <w:t xml:space="preserve">Operating expenses increased in </w:t>
      </w:r>
      <w:r w:rsidR="007D20FC">
        <w:rPr>
          <w:color w:val="000000"/>
          <w:sz w:val="20"/>
          <w:szCs w:val="20"/>
        </w:rPr>
        <w:t>2011</w:t>
      </w:r>
      <w:r>
        <w:rPr>
          <w:color w:val="000000"/>
          <w:sz w:val="20"/>
          <w:szCs w:val="20"/>
        </w:rPr>
        <w:t xml:space="preserve">, due to increased selling and marketing expenses as a result of </w:t>
      </w:r>
      <w:r w:rsidR="00EE5AED">
        <w:rPr>
          <w:color w:val="000000"/>
          <w:sz w:val="20"/>
          <w:szCs w:val="20"/>
        </w:rPr>
        <w:t xml:space="preserve">the planned </w:t>
      </w:r>
      <w:r>
        <w:rPr>
          <w:color w:val="000000"/>
          <w:sz w:val="20"/>
          <w:szCs w:val="20"/>
        </w:rPr>
        <w:t xml:space="preserve">expansion of our direct sales force. </w:t>
      </w:r>
      <w:r w:rsidR="007D20FC">
        <w:rPr>
          <w:color w:val="000000"/>
          <w:sz w:val="20"/>
        </w:rPr>
        <w:t xml:space="preserve">General and administrative expenses increased primarily due to recruiting initiatives for our Chief Executive Officer position, which was completed with the appointment of Karen van Lith on June 13, 2011, severance expenses relating to the departure of our former interim Chief Executive Officer and an increase in legal and accounting expenses relating to </w:t>
      </w:r>
      <w:r w:rsidR="00CE1EFE">
        <w:rPr>
          <w:color w:val="000000"/>
          <w:sz w:val="20"/>
        </w:rPr>
        <w:t>the</w:t>
      </w:r>
      <w:r w:rsidR="00076BC0">
        <w:rPr>
          <w:color w:val="000000"/>
          <w:sz w:val="20"/>
        </w:rPr>
        <w:t xml:space="preserve"> </w:t>
      </w:r>
      <w:r w:rsidR="00163082">
        <w:rPr>
          <w:color w:val="000000"/>
          <w:sz w:val="20"/>
        </w:rPr>
        <w:t xml:space="preserve">purchase </w:t>
      </w:r>
      <w:r w:rsidR="00076BC0">
        <w:rPr>
          <w:color w:val="000000"/>
          <w:sz w:val="20"/>
        </w:rPr>
        <w:t xml:space="preserve">of </w:t>
      </w:r>
      <w:r w:rsidR="00C25CD1">
        <w:rPr>
          <w:color w:val="000000"/>
          <w:sz w:val="20"/>
        </w:rPr>
        <w:t xml:space="preserve">Garritan </w:t>
      </w:r>
      <w:r w:rsidR="00076BC0">
        <w:rPr>
          <w:color w:val="000000"/>
          <w:sz w:val="20"/>
        </w:rPr>
        <w:t xml:space="preserve">Corporation </w:t>
      </w:r>
      <w:r w:rsidR="00CE1EFE">
        <w:rPr>
          <w:color w:val="000000"/>
          <w:sz w:val="20"/>
        </w:rPr>
        <w:t xml:space="preserve">and </w:t>
      </w:r>
      <w:r w:rsidR="002601ED">
        <w:rPr>
          <w:color w:val="000000"/>
          <w:sz w:val="20"/>
        </w:rPr>
        <w:t xml:space="preserve">select assets of </w:t>
      </w:r>
      <w:proofErr w:type="spellStart"/>
      <w:r w:rsidR="002601ED">
        <w:rPr>
          <w:color w:val="000000"/>
          <w:sz w:val="20"/>
        </w:rPr>
        <w:t>Recordare</w:t>
      </w:r>
      <w:proofErr w:type="spellEnd"/>
      <w:r w:rsidR="00A2653E">
        <w:rPr>
          <w:color w:val="000000"/>
          <w:sz w:val="20"/>
        </w:rPr>
        <w:t>, LLC</w:t>
      </w:r>
      <w:r w:rsidR="00CE1EFE">
        <w:rPr>
          <w:color w:val="000000"/>
          <w:sz w:val="20"/>
        </w:rPr>
        <w:t xml:space="preserve"> in the fourth quarter of 2011</w:t>
      </w:r>
      <w:r w:rsidR="007D20FC">
        <w:rPr>
          <w:color w:val="000000"/>
          <w:sz w:val="20"/>
        </w:rPr>
        <w:t xml:space="preserve">. We also incurred expenses of approximately $225,000 relating to a patent infringement settlement, which were accrued in the first quarter of 2011 and paid in the second quarter of 2011. </w:t>
      </w:r>
      <w:r w:rsidR="00CE1EFE">
        <w:rPr>
          <w:color w:val="000000"/>
          <w:sz w:val="20"/>
        </w:rPr>
        <w:t xml:space="preserve">Development expenses </w:t>
      </w:r>
      <w:r w:rsidR="00A2653E">
        <w:rPr>
          <w:color w:val="000000"/>
          <w:sz w:val="20"/>
        </w:rPr>
        <w:t xml:space="preserve">were lower in 2011 </w:t>
      </w:r>
      <w:r w:rsidR="00CE1EFE">
        <w:rPr>
          <w:color w:val="000000"/>
          <w:sz w:val="20"/>
        </w:rPr>
        <w:t>primarily because our open Chief Technology Officer position and other open development positions resulted in lower personnel costs. The Chief Technology Officer position was filled in August 2011</w:t>
      </w:r>
      <w:r w:rsidR="002601ED">
        <w:rPr>
          <w:color w:val="000000"/>
          <w:sz w:val="20"/>
        </w:rPr>
        <w:t xml:space="preserve"> with the appointment of Paul Carlson</w:t>
      </w:r>
      <w:r w:rsidR="00CE1EFE">
        <w:rPr>
          <w:color w:val="000000"/>
          <w:sz w:val="20"/>
        </w:rPr>
        <w:t xml:space="preserve"> and </w:t>
      </w:r>
      <w:r w:rsidR="002E02AE">
        <w:rPr>
          <w:color w:val="000000"/>
          <w:sz w:val="20"/>
        </w:rPr>
        <w:t>open development positions were filled in the third and fourth quarters of 2011</w:t>
      </w:r>
      <w:r w:rsidR="00CE1EFE">
        <w:rPr>
          <w:color w:val="000000"/>
          <w:sz w:val="20"/>
        </w:rPr>
        <w:t>.</w:t>
      </w:r>
      <w:r>
        <w:rPr>
          <w:color w:val="000000"/>
          <w:sz w:val="20"/>
          <w:szCs w:val="20"/>
        </w:rPr>
        <w:t xml:space="preserve"> </w:t>
      </w:r>
    </w:p>
    <w:p w:rsidR="00CE1EFE" w:rsidRDefault="00CE1EFE">
      <w:pPr>
        <w:ind w:firstLine="720"/>
        <w:rPr>
          <w:color w:val="000000"/>
          <w:sz w:val="20"/>
          <w:szCs w:val="20"/>
        </w:rPr>
      </w:pPr>
    </w:p>
    <w:p w:rsidR="004851D7" w:rsidRDefault="004851D7">
      <w:pPr>
        <w:ind w:firstLine="720"/>
        <w:rPr>
          <w:color w:val="000000"/>
          <w:sz w:val="20"/>
          <w:szCs w:val="20"/>
        </w:rPr>
      </w:pPr>
      <w:r>
        <w:rPr>
          <w:color w:val="000000"/>
          <w:sz w:val="20"/>
          <w:szCs w:val="20"/>
        </w:rPr>
        <w:t xml:space="preserve">Our net income before taxes in </w:t>
      </w:r>
      <w:r w:rsidR="00B618FB">
        <w:rPr>
          <w:color w:val="000000"/>
          <w:sz w:val="20"/>
          <w:szCs w:val="20"/>
        </w:rPr>
        <w:t xml:space="preserve">2011 </w:t>
      </w:r>
      <w:r>
        <w:rPr>
          <w:color w:val="000000"/>
          <w:sz w:val="20"/>
          <w:szCs w:val="20"/>
        </w:rPr>
        <w:t>was $</w:t>
      </w:r>
      <w:r w:rsidR="007D20FC">
        <w:rPr>
          <w:color w:val="000000"/>
          <w:sz w:val="20"/>
          <w:szCs w:val="20"/>
        </w:rPr>
        <w:t>254</w:t>
      </w:r>
      <w:r>
        <w:rPr>
          <w:color w:val="000000"/>
          <w:sz w:val="20"/>
          <w:szCs w:val="20"/>
        </w:rPr>
        <w:t>,000 compared to $</w:t>
      </w:r>
      <w:r w:rsidR="00B618FB">
        <w:rPr>
          <w:color w:val="000000"/>
          <w:sz w:val="20"/>
          <w:szCs w:val="20"/>
        </w:rPr>
        <w:t>551</w:t>
      </w:r>
      <w:r>
        <w:rPr>
          <w:color w:val="000000"/>
          <w:sz w:val="20"/>
          <w:szCs w:val="20"/>
        </w:rPr>
        <w:t xml:space="preserve">,000 in </w:t>
      </w:r>
      <w:r w:rsidR="00B618FB">
        <w:rPr>
          <w:color w:val="000000"/>
          <w:sz w:val="20"/>
          <w:szCs w:val="20"/>
        </w:rPr>
        <w:t>2010</w:t>
      </w:r>
      <w:r>
        <w:rPr>
          <w:color w:val="000000"/>
          <w:sz w:val="20"/>
          <w:szCs w:val="20"/>
        </w:rPr>
        <w:t xml:space="preserve">. Additionally, we reported tax </w:t>
      </w:r>
      <w:r w:rsidR="00163082">
        <w:rPr>
          <w:color w:val="000000"/>
          <w:sz w:val="20"/>
          <w:szCs w:val="20"/>
        </w:rPr>
        <w:t xml:space="preserve">expense </w:t>
      </w:r>
      <w:r w:rsidR="00CE1EFE" w:rsidRPr="00163082">
        <w:rPr>
          <w:color w:val="000000"/>
          <w:sz w:val="20"/>
          <w:szCs w:val="20"/>
        </w:rPr>
        <w:t>of $</w:t>
      </w:r>
      <w:r w:rsidR="004C0E36" w:rsidRPr="00F2275B">
        <w:rPr>
          <w:color w:val="000000"/>
          <w:sz w:val="20"/>
          <w:szCs w:val="20"/>
        </w:rPr>
        <w:t>2</w:t>
      </w:r>
      <w:r w:rsidR="004C0E36">
        <w:rPr>
          <w:color w:val="000000"/>
          <w:sz w:val="20"/>
          <w:szCs w:val="20"/>
        </w:rPr>
        <w:t>50</w:t>
      </w:r>
      <w:r w:rsidR="00CE1EFE" w:rsidRPr="00163082">
        <w:rPr>
          <w:color w:val="000000"/>
          <w:sz w:val="20"/>
          <w:szCs w:val="20"/>
        </w:rPr>
        <w:t>,000</w:t>
      </w:r>
      <w:r w:rsidRPr="00163082">
        <w:rPr>
          <w:color w:val="000000"/>
          <w:sz w:val="20"/>
          <w:szCs w:val="20"/>
        </w:rPr>
        <w:t xml:space="preserve"> in </w:t>
      </w:r>
      <w:r w:rsidR="00CE1EFE" w:rsidRPr="00163082">
        <w:rPr>
          <w:color w:val="000000"/>
          <w:sz w:val="20"/>
          <w:szCs w:val="20"/>
        </w:rPr>
        <w:t>2011</w:t>
      </w:r>
      <w:r w:rsidR="00C841C2">
        <w:rPr>
          <w:color w:val="000000"/>
          <w:sz w:val="20"/>
          <w:szCs w:val="20"/>
        </w:rPr>
        <w:t xml:space="preserve"> and a</w:t>
      </w:r>
      <w:r w:rsidR="00717775">
        <w:rPr>
          <w:rFonts w:ascii="Times" w:hAnsi="Times" w:cs="Times"/>
          <w:sz w:val="20"/>
          <w:szCs w:val="20"/>
        </w:rPr>
        <w:t xml:space="preserve"> tax benefit in </w:t>
      </w:r>
      <w:r>
        <w:rPr>
          <w:rFonts w:ascii="Times" w:hAnsi="Times" w:cs="Times"/>
          <w:sz w:val="20"/>
          <w:szCs w:val="20"/>
        </w:rPr>
        <w:t xml:space="preserve">2010 </w:t>
      </w:r>
      <w:r w:rsidR="00C841C2">
        <w:rPr>
          <w:rFonts w:ascii="Times" w:hAnsi="Times" w:cs="Times"/>
          <w:sz w:val="20"/>
          <w:szCs w:val="20"/>
        </w:rPr>
        <w:t xml:space="preserve">of </w:t>
      </w:r>
      <w:r>
        <w:rPr>
          <w:rFonts w:ascii="Times" w:hAnsi="Times" w:cs="Times"/>
          <w:sz w:val="20"/>
          <w:szCs w:val="20"/>
        </w:rPr>
        <w:t>$461,000</w:t>
      </w:r>
      <w:r w:rsidR="00FD0755">
        <w:rPr>
          <w:rFonts w:ascii="Times" w:hAnsi="Times" w:cs="Times"/>
          <w:sz w:val="20"/>
          <w:szCs w:val="20"/>
        </w:rPr>
        <w:t xml:space="preserve">. </w:t>
      </w:r>
      <w:r>
        <w:rPr>
          <w:color w:val="000000"/>
          <w:sz w:val="20"/>
          <w:szCs w:val="20"/>
        </w:rPr>
        <w:t xml:space="preserve">As a result of the factors mentioned, we reported net income of approximately </w:t>
      </w:r>
      <w:r w:rsidRPr="00163082">
        <w:rPr>
          <w:color w:val="000000"/>
          <w:sz w:val="20"/>
          <w:szCs w:val="20"/>
        </w:rPr>
        <w:t>$</w:t>
      </w:r>
      <w:r w:rsidR="004C0E36">
        <w:rPr>
          <w:color w:val="000000"/>
          <w:sz w:val="20"/>
          <w:szCs w:val="20"/>
        </w:rPr>
        <w:t>4</w:t>
      </w:r>
      <w:r w:rsidRPr="00163082">
        <w:rPr>
          <w:color w:val="000000"/>
          <w:sz w:val="20"/>
          <w:szCs w:val="20"/>
        </w:rPr>
        <w:t xml:space="preserve">,000 in </w:t>
      </w:r>
      <w:r w:rsidR="00CE1EFE" w:rsidRPr="00163082">
        <w:rPr>
          <w:color w:val="000000"/>
          <w:sz w:val="20"/>
          <w:szCs w:val="20"/>
        </w:rPr>
        <w:t>2011</w:t>
      </w:r>
      <w:r w:rsidR="00CE1EFE">
        <w:rPr>
          <w:color w:val="000000"/>
          <w:sz w:val="20"/>
          <w:szCs w:val="20"/>
        </w:rPr>
        <w:t xml:space="preserve"> </w:t>
      </w:r>
      <w:r>
        <w:rPr>
          <w:color w:val="000000"/>
          <w:sz w:val="20"/>
          <w:szCs w:val="20"/>
        </w:rPr>
        <w:t>compared to net income of $</w:t>
      </w:r>
      <w:r w:rsidR="00CE1EFE">
        <w:rPr>
          <w:color w:val="000000"/>
          <w:sz w:val="20"/>
          <w:szCs w:val="20"/>
        </w:rPr>
        <w:t>1,012</w:t>
      </w:r>
      <w:r>
        <w:rPr>
          <w:color w:val="000000"/>
          <w:sz w:val="20"/>
          <w:szCs w:val="20"/>
        </w:rPr>
        <w:t xml:space="preserve">,000 in </w:t>
      </w:r>
      <w:r w:rsidR="00CE1EFE">
        <w:rPr>
          <w:color w:val="000000"/>
          <w:sz w:val="20"/>
          <w:szCs w:val="20"/>
        </w:rPr>
        <w:t>2010</w:t>
      </w:r>
      <w:r>
        <w:rPr>
          <w:color w:val="000000"/>
          <w:sz w:val="20"/>
          <w:szCs w:val="20"/>
        </w:rPr>
        <w:t xml:space="preserve">. </w:t>
      </w:r>
    </w:p>
    <w:p w:rsidR="004851D7" w:rsidRDefault="004851D7">
      <w:pPr>
        <w:ind w:firstLine="720"/>
        <w:rPr>
          <w:color w:val="000000"/>
        </w:rPr>
      </w:pPr>
    </w:p>
    <w:p w:rsidR="00300F3E" w:rsidRPr="00B61912" w:rsidRDefault="00300F3E" w:rsidP="00300F3E">
      <w:pPr>
        <w:spacing w:after="240"/>
        <w:ind w:firstLine="720"/>
        <w:rPr>
          <w:color w:val="000000"/>
          <w:sz w:val="20"/>
        </w:rPr>
      </w:pPr>
      <w:r w:rsidRPr="00B61912">
        <w:rPr>
          <w:color w:val="000000"/>
          <w:sz w:val="20"/>
        </w:rPr>
        <w:t xml:space="preserve">We believe </w:t>
      </w:r>
      <w:r>
        <w:rPr>
          <w:color w:val="000000"/>
          <w:sz w:val="20"/>
        </w:rPr>
        <w:t>there is growth potential</w:t>
      </w:r>
      <w:r w:rsidRPr="00B61912">
        <w:rPr>
          <w:color w:val="000000"/>
          <w:sz w:val="20"/>
        </w:rPr>
        <w:t xml:space="preserve"> with </w:t>
      </w:r>
      <w:proofErr w:type="spellStart"/>
      <w:r w:rsidRPr="00B61912">
        <w:rPr>
          <w:color w:val="000000"/>
          <w:sz w:val="20"/>
        </w:rPr>
        <w:t>SmartMusic</w:t>
      </w:r>
      <w:proofErr w:type="spellEnd"/>
      <w:r w:rsidRPr="00B61912">
        <w:rPr>
          <w:color w:val="000000"/>
          <w:sz w:val="20"/>
        </w:rPr>
        <w:t xml:space="preserve">, a subscription-based product directed toward the very large and constantly renewing market of music students and </w:t>
      </w:r>
      <w:r w:rsidR="0071070C">
        <w:rPr>
          <w:color w:val="000000"/>
          <w:sz w:val="20"/>
        </w:rPr>
        <w:t>music</w:t>
      </w:r>
      <w:r w:rsidR="0071070C" w:rsidRPr="00B61912">
        <w:rPr>
          <w:color w:val="000000"/>
          <w:sz w:val="20"/>
        </w:rPr>
        <w:t xml:space="preserve"> </w:t>
      </w:r>
      <w:r w:rsidRPr="00B61912">
        <w:rPr>
          <w:color w:val="000000"/>
          <w:sz w:val="20"/>
        </w:rPr>
        <w:t xml:space="preserve">teachers. </w:t>
      </w:r>
      <w:proofErr w:type="spellStart"/>
      <w:r w:rsidRPr="00B61912">
        <w:rPr>
          <w:color w:val="000000"/>
          <w:sz w:val="20"/>
        </w:rPr>
        <w:t>SmartMusic</w:t>
      </w:r>
      <w:proofErr w:type="spellEnd"/>
      <w:r w:rsidRPr="00B61912">
        <w:rPr>
          <w:color w:val="000000"/>
          <w:sz w:val="20"/>
        </w:rPr>
        <w:t xml:space="preserve"> combines a software application</w:t>
      </w:r>
      <w:r w:rsidR="0071070C">
        <w:rPr>
          <w:color w:val="000000"/>
          <w:sz w:val="20"/>
        </w:rPr>
        <w:t xml:space="preserve"> with </w:t>
      </w:r>
      <w:r w:rsidRPr="00B61912">
        <w:rPr>
          <w:color w:val="000000"/>
          <w:sz w:val="20"/>
        </w:rPr>
        <w:t>a library of thousands of music titles</w:t>
      </w:r>
      <w:r w:rsidR="0071070C">
        <w:rPr>
          <w:color w:val="000000"/>
          <w:sz w:val="20"/>
        </w:rPr>
        <w:t xml:space="preserve"> and</w:t>
      </w:r>
      <w:r w:rsidRPr="00B61912">
        <w:rPr>
          <w:color w:val="000000"/>
          <w:sz w:val="20"/>
        </w:rPr>
        <w:t xml:space="preserve"> skill-development exercises</w:t>
      </w:r>
      <w:r w:rsidR="0071070C">
        <w:rPr>
          <w:color w:val="000000"/>
          <w:sz w:val="20"/>
        </w:rPr>
        <w:t>. It provides</w:t>
      </w:r>
      <w:r w:rsidRPr="00B61912">
        <w:rPr>
          <w:color w:val="000000"/>
          <w:sz w:val="20"/>
        </w:rPr>
        <w:t xml:space="preserve"> students </w:t>
      </w:r>
      <w:r w:rsidR="0071070C">
        <w:rPr>
          <w:color w:val="000000"/>
          <w:sz w:val="20"/>
        </w:rPr>
        <w:t xml:space="preserve">and musicians </w:t>
      </w:r>
      <w:r w:rsidRPr="00B61912">
        <w:rPr>
          <w:color w:val="000000"/>
          <w:sz w:val="20"/>
        </w:rPr>
        <w:t xml:space="preserve">with a compelling </w:t>
      </w:r>
      <w:r w:rsidR="0071070C">
        <w:rPr>
          <w:color w:val="000000"/>
          <w:sz w:val="20"/>
        </w:rPr>
        <w:t xml:space="preserve">practice or audition </w:t>
      </w:r>
      <w:r w:rsidRPr="00B61912">
        <w:rPr>
          <w:color w:val="000000"/>
          <w:sz w:val="20"/>
        </w:rPr>
        <w:t xml:space="preserve">experience and </w:t>
      </w:r>
      <w:r w:rsidR="0071070C">
        <w:rPr>
          <w:color w:val="000000"/>
          <w:sz w:val="20"/>
        </w:rPr>
        <w:t xml:space="preserve">music </w:t>
      </w:r>
      <w:r w:rsidRPr="00B61912">
        <w:rPr>
          <w:color w:val="000000"/>
          <w:sz w:val="20"/>
        </w:rPr>
        <w:t xml:space="preserve">teachers with the </w:t>
      </w:r>
      <w:r w:rsidR="0071070C">
        <w:rPr>
          <w:color w:val="000000"/>
          <w:sz w:val="20"/>
        </w:rPr>
        <w:t>efficiency and effectiveness to reach more students and assess student achievement and growth.</w:t>
      </w:r>
    </w:p>
    <w:p w:rsidR="00300F3E" w:rsidRDefault="00300F3E" w:rsidP="00300F3E">
      <w:pPr>
        <w:spacing w:after="240"/>
        <w:ind w:firstLine="720"/>
        <w:rPr>
          <w:color w:val="000000"/>
          <w:sz w:val="20"/>
        </w:rPr>
      </w:pPr>
      <w:proofErr w:type="spellStart"/>
      <w:r w:rsidRPr="00B61912">
        <w:rPr>
          <w:color w:val="000000"/>
          <w:sz w:val="20"/>
        </w:rPr>
        <w:t>SmartMusic</w:t>
      </w:r>
      <w:proofErr w:type="spellEnd"/>
      <w:r w:rsidRPr="00B61912">
        <w:rPr>
          <w:color w:val="000000"/>
          <w:sz w:val="20"/>
        </w:rPr>
        <w:t xml:space="preserve"> software enhances and transforms the hours spent practicing </w:t>
      </w:r>
      <w:r w:rsidR="0071070C">
        <w:rPr>
          <w:color w:val="000000"/>
          <w:sz w:val="20"/>
        </w:rPr>
        <w:t xml:space="preserve">and makes it more </w:t>
      </w:r>
      <w:r w:rsidRPr="00B61912">
        <w:rPr>
          <w:color w:val="000000"/>
          <w:sz w:val="20"/>
        </w:rPr>
        <w:t xml:space="preserve">engaging, causing students to practice longer and more often. </w:t>
      </w:r>
      <w:proofErr w:type="spellStart"/>
      <w:r w:rsidRPr="00B61912">
        <w:rPr>
          <w:color w:val="000000"/>
          <w:sz w:val="20"/>
        </w:rPr>
        <w:t>SmartMusic</w:t>
      </w:r>
      <w:proofErr w:type="spellEnd"/>
      <w:r w:rsidRPr="00B61912">
        <w:rPr>
          <w:color w:val="000000"/>
          <w:sz w:val="20"/>
        </w:rPr>
        <w:t xml:space="preserve"> provides access to an ever-increasing library of band, jazz ensemble and orchestra literature. Each title includes individual part assignments thereby providing music teachers with a time-saving solution for preparing selections</w:t>
      </w:r>
      <w:r>
        <w:rPr>
          <w:color w:val="000000"/>
          <w:sz w:val="20"/>
        </w:rPr>
        <w:t xml:space="preserve"> for their next performance. </w:t>
      </w:r>
      <w:proofErr w:type="spellStart"/>
      <w:r>
        <w:rPr>
          <w:color w:val="000000"/>
          <w:sz w:val="20"/>
        </w:rPr>
        <w:t>SmartMusic</w:t>
      </w:r>
      <w:proofErr w:type="spellEnd"/>
      <w:r>
        <w:rPr>
          <w:color w:val="000000"/>
          <w:sz w:val="20"/>
        </w:rPr>
        <w:t xml:space="preserve"> also offers a rich variety of effective practice tools that make practice time more efficient </w:t>
      </w:r>
      <w:r w:rsidRPr="00766BE8">
        <w:rPr>
          <w:color w:val="000000"/>
          <w:sz w:val="20"/>
        </w:rPr>
        <w:t>and productive. The combination of making practice time more engaging and productive leads to rapid student skill-development, increased student confidence, higher student retention, and stronger music programs. </w:t>
      </w:r>
      <w:proofErr w:type="spellStart"/>
      <w:r w:rsidRPr="00766BE8">
        <w:rPr>
          <w:color w:val="000000"/>
          <w:sz w:val="20"/>
        </w:rPr>
        <w:t>SmartMusic</w:t>
      </w:r>
      <w:proofErr w:type="spellEnd"/>
      <w:r w:rsidRPr="00766BE8">
        <w:rPr>
          <w:color w:val="000000"/>
          <w:sz w:val="20"/>
        </w:rPr>
        <w:t xml:space="preserve"> 2012 </w:t>
      </w:r>
      <w:r>
        <w:rPr>
          <w:color w:val="000000"/>
          <w:sz w:val="20"/>
        </w:rPr>
        <w:t>introduced new vocal and site-reading technology and included site-singing exercises which can be assessed for both pitch and rhythm</w:t>
      </w:r>
      <w:r w:rsidRPr="00732ED2">
        <w:rPr>
          <w:color w:val="000000"/>
          <w:sz w:val="20"/>
        </w:rPr>
        <w:t xml:space="preserve">. Choral directors and general music teachers </w:t>
      </w:r>
      <w:r>
        <w:rPr>
          <w:color w:val="000000"/>
          <w:sz w:val="20"/>
        </w:rPr>
        <w:t>now</w:t>
      </w:r>
      <w:r w:rsidRPr="00732ED2">
        <w:rPr>
          <w:color w:val="000000"/>
          <w:sz w:val="20"/>
        </w:rPr>
        <w:t xml:space="preserve"> have access to</w:t>
      </w:r>
      <w:r>
        <w:rPr>
          <w:color w:val="000000"/>
          <w:sz w:val="20"/>
        </w:rPr>
        <w:t xml:space="preserve"> the same award-winning interactive technology that has been available to band and orchestra directors.  </w:t>
      </w:r>
    </w:p>
    <w:p w:rsidR="00300F3E" w:rsidRDefault="00300F3E" w:rsidP="00300F3E">
      <w:pPr>
        <w:pStyle w:val="NormalWeb"/>
        <w:ind w:left="3" w:firstLine="1"/>
        <w:rPr>
          <w:sz w:val="20"/>
        </w:rPr>
      </w:pPr>
      <w:r>
        <w:rPr>
          <w:sz w:val="20"/>
        </w:rPr>
        <w:t xml:space="preserve">            </w:t>
      </w:r>
      <w:r w:rsidR="0071070C">
        <w:rPr>
          <w:sz w:val="20"/>
        </w:rPr>
        <w:t xml:space="preserve">Teachers use the </w:t>
      </w:r>
      <w:proofErr w:type="spellStart"/>
      <w:r>
        <w:rPr>
          <w:sz w:val="20"/>
        </w:rPr>
        <w:t>SmartMusic</w:t>
      </w:r>
      <w:proofErr w:type="spellEnd"/>
      <w:r>
        <w:rPr>
          <w:sz w:val="20"/>
        </w:rPr>
        <w:t xml:space="preserve"> </w:t>
      </w:r>
      <w:proofErr w:type="spellStart"/>
      <w:r>
        <w:rPr>
          <w:sz w:val="20"/>
        </w:rPr>
        <w:t>Gradebook</w:t>
      </w:r>
      <w:proofErr w:type="spellEnd"/>
      <w:r>
        <w:rPr>
          <w:sz w:val="20"/>
        </w:rPr>
        <w:t xml:space="preserve"> </w:t>
      </w:r>
      <w:r w:rsidR="0071070C">
        <w:rPr>
          <w:sz w:val="20"/>
        </w:rPr>
        <w:t xml:space="preserve">capability of the educator’s subscription to issue </w:t>
      </w:r>
      <w:r>
        <w:rPr>
          <w:sz w:val="20"/>
        </w:rPr>
        <w:t>assignments</w:t>
      </w:r>
      <w:r w:rsidR="0071070C">
        <w:rPr>
          <w:sz w:val="20"/>
        </w:rPr>
        <w:t xml:space="preserve"> to students, receive completed assignments from students, assess student achievement and manage student records. </w:t>
      </w:r>
      <w:r>
        <w:rPr>
          <w:sz w:val="20"/>
        </w:rPr>
        <w:t xml:space="preserve">This provides music educators (and students) with exciting new possibilities to assist in developing strong music programs and complying with accountability requirements. </w:t>
      </w:r>
    </w:p>
    <w:p w:rsidR="00300F3E" w:rsidRDefault="00300F3E" w:rsidP="00300F3E">
      <w:pPr>
        <w:pStyle w:val="NormalWeb"/>
        <w:ind w:left="12" w:firstLine="2"/>
        <w:rPr>
          <w:sz w:val="20"/>
        </w:rPr>
      </w:pPr>
      <w:r>
        <w:rPr>
          <w:sz w:val="20"/>
        </w:rPr>
        <w:t xml:space="preserve">            In July of 2011, we </w:t>
      </w:r>
      <w:r w:rsidR="00535B16">
        <w:rPr>
          <w:sz w:val="20"/>
        </w:rPr>
        <w:t xml:space="preserve">released </w:t>
      </w:r>
      <w:r>
        <w:rPr>
          <w:sz w:val="20"/>
        </w:rPr>
        <w:t xml:space="preserve">a </w:t>
      </w:r>
      <w:r w:rsidRPr="00766BE8">
        <w:rPr>
          <w:sz w:val="20"/>
        </w:rPr>
        <w:t xml:space="preserve">mobile application called </w:t>
      </w:r>
      <w:proofErr w:type="spellStart"/>
      <w:r w:rsidRPr="00766BE8">
        <w:rPr>
          <w:sz w:val="20"/>
        </w:rPr>
        <w:t>SmartMusic</w:t>
      </w:r>
      <w:proofErr w:type="spellEnd"/>
      <w:r w:rsidRPr="00766BE8">
        <w:rPr>
          <w:sz w:val="20"/>
        </w:rPr>
        <w:t xml:space="preserve"> </w:t>
      </w:r>
      <w:proofErr w:type="spellStart"/>
      <w:r w:rsidRPr="00766BE8">
        <w:rPr>
          <w:sz w:val="20"/>
        </w:rPr>
        <w:t>Inbox</w:t>
      </w:r>
      <w:r w:rsidRPr="0012039D">
        <w:rPr>
          <w:sz w:val="20"/>
          <w:vertAlign w:val="superscript"/>
        </w:rPr>
        <w:t>TM</w:t>
      </w:r>
      <w:proofErr w:type="spellEnd"/>
      <w:r w:rsidRPr="00766BE8">
        <w:rPr>
          <w:sz w:val="20"/>
        </w:rPr>
        <w:t xml:space="preserve">. </w:t>
      </w:r>
      <w:proofErr w:type="spellStart"/>
      <w:r w:rsidRPr="00766BE8">
        <w:rPr>
          <w:sz w:val="20"/>
        </w:rPr>
        <w:t>SmartMusic</w:t>
      </w:r>
      <w:proofErr w:type="spellEnd"/>
      <w:r w:rsidRPr="00766BE8">
        <w:rPr>
          <w:sz w:val="20"/>
        </w:rPr>
        <w:t xml:space="preserve"> Inbox is a free application for both Android and </w:t>
      </w:r>
      <w:proofErr w:type="spellStart"/>
      <w:r w:rsidR="002601ED">
        <w:rPr>
          <w:sz w:val="20"/>
        </w:rPr>
        <w:t>iOS</w:t>
      </w:r>
      <w:proofErr w:type="spellEnd"/>
      <w:r w:rsidRPr="00766BE8">
        <w:rPr>
          <w:sz w:val="20"/>
        </w:rPr>
        <w:t xml:space="preserve"> </w:t>
      </w:r>
      <w:r>
        <w:rPr>
          <w:sz w:val="20"/>
        </w:rPr>
        <w:t>platform</w:t>
      </w:r>
      <w:r w:rsidR="00535B16">
        <w:rPr>
          <w:sz w:val="20"/>
        </w:rPr>
        <w:t>s for mobile use by</w:t>
      </w:r>
      <w:r w:rsidRPr="00766BE8">
        <w:rPr>
          <w:sz w:val="20"/>
        </w:rPr>
        <w:t xml:space="preserve"> </w:t>
      </w:r>
      <w:proofErr w:type="spellStart"/>
      <w:r w:rsidRPr="00766BE8">
        <w:rPr>
          <w:sz w:val="20"/>
        </w:rPr>
        <w:t>SmartMusic</w:t>
      </w:r>
      <w:proofErr w:type="spellEnd"/>
      <w:r w:rsidRPr="00766BE8">
        <w:rPr>
          <w:sz w:val="20"/>
        </w:rPr>
        <w:t xml:space="preserve"> teachers</w:t>
      </w:r>
      <w:r w:rsidR="00535B16">
        <w:rPr>
          <w:sz w:val="20"/>
        </w:rPr>
        <w:t xml:space="preserve"> enabling them to</w:t>
      </w:r>
      <w:r w:rsidRPr="00766BE8">
        <w:rPr>
          <w:sz w:val="20"/>
        </w:rPr>
        <w:t xml:space="preserve"> listen and grade assignments</w:t>
      </w:r>
      <w:r w:rsidR="00535B16">
        <w:rPr>
          <w:sz w:val="20"/>
        </w:rPr>
        <w:t xml:space="preserve"> with ease and mobility.</w:t>
      </w:r>
      <w:r>
        <w:rPr>
          <w:sz w:val="20"/>
        </w:rPr>
        <w:t xml:space="preserve"> </w:t>
      </w:r>
    </w:p>
    <w:p w:rsidR="004851D7" w:rsidRDefault="00300F3E" w:rsidP="006964F2">
      <w:pPr>
        <w:pStyle w:val="NormalWeb"/>
        <w:ind w:left="12" w:firstLine="618"/>
        <w:rPr>
          <w:sz w:val="20"/>
        </w:rPr>
      </w:pPr>
      <w:r w:rsidRPr="00E00B9A">
        <w:rPr>
          <w:sz w:val="20"/>
        </w:rPr>
        <w:tab/>
        <w:t xml:space="preserve">We believe that our technological investments in </w:t>
      </w:r>
      <w:proofErr w:type="spellStart"/>
      <w:r w:rsidRPr="00E00B9A">
        <w:rPr>
          <w:sz w:val="20"/>
        </w:rPr>
        <w:t>SmartMusic</w:t>
      </w:r>
      <w:proofErr w:type="spellEnd"/>
      <w:r w:rsidRPr="00E00B9A">
        <w:rPr>
          <w:sz w:val="20"/>
        </w:rPr>
        <w:t xml:space="preserve"> have created a digital pipeline between our growing subscriber base of more than </w:t>
      </w:r>
      <w:r w:rsidR="00071E76" w:rsidRPr="00E00B9A">
        <w:rPr>
          <w:sz w:val="20"/>
        </w:rPr>
        <w:t>17</w:t>
      </w:r>
      <w:r w:rsidR="00071E76">
        <w:rPr>
          <w:sz w:val="20"/>
        </w:rPr>
        <w:t>8</w:t>
      </w:r>
      <w:r w:rsidRPr="00E00B9A">
        <w:rPr>
          <w:sz w:val="20"/>
        </w:rPr>
        <w:t xml:space="preserve">,000 and the music publishers who provide </w:t>
      </w:r>
      <w:proofErr w:type="spellStart"/>
      <w:r w:rsidRPr="00E00B9A">
        <w:rPr>
          <w:sz w:val="20"/>
        </w:rPr>
        <w:t>SmartMusic</w:t>
      </w:r>
      <w:proofErr w:type="spellEnd"/>
      <w:r w:rsidRPr="00E00B9A">
        <w:rPr>
          <w:sz w:val="20"/>
        </w:rPr>
        <w:t xml:space="preserve"> content. This growing platform is a strategic asset for </w:t>
      </w:r>
      <w:proofErr w:type="spellStart"/>
      <w:r w:rsidRPr="00E00B9A">
        <w:rPr>
          <w:sz w:val="20"/>
        </w:rPr>
        <w:t>MakeMusic</w:t>
      </w:r>
      <w:proofErr w:type="spellEnd"/>
      <w:r>
        <w:rPr>
          <w:sz w:val="20"/>
        </w:rPr>
        <w:t>.</w:t>
      </w:r>
      <w:r w:rsidRPr="00E00B9A">
        <w:rPr>
          <w:sz w:val="20"/>
        </w:rPr>
        <w:t xml:space="preserve"> </w:t>
      </w:r>
      <w:r w:rsidR="004851D7">
        <w:rPr>
          <w:sz w:val="20"/>
          <w:szCs w:val="20"/>
        </w:rPr>
        <w:t xml:space="preserve"> </w:t>
      </w:r>
    </w:p>
    <w:p w:rsidR="004851D7" w:rsidRDefault="004851D7">
      <w:pPr>
        <w:autoSpaceDE w:val="0"/>
        <w:autoSpaceDN w:val="0"/>
        <w:adjustRightInd w:val="0"/>
        <w:rPr>
          <w:sz w:val="20"/>
        </w:rPr>
      </w:pPr>
      <w:r>
        <w:rPr>
          <w:sz w:val="20"/>
        </w:rPr>
        <w:t xml:space="preserve">The following table illustrates our quarterly </w:t>
      </w:r>
      <w:proofErr w:type="spellStart"/>
      <w:r>
        <w:rPr>
          <w:sz w:val="20"/>
        </w:rPr>
        <w:t>SmartMusic</w:t>
      </w:r>
      <w:proofErr w:type="spellEnd"/>
      <w:r>
        <w:rPr>
          <w:sz w:val="20"/>
        </w:rPr>
        <w:t xml:space="preserve"> metrics:</w:t>
      </w:r>
    </w:p>
    <w:p w:rsidR="00071E76" w:rsidRDefault="00071E76">
      <w:pPr>
        <w:autoSpaceDE w:val="0"/>
        <w:autoSpaceDN w:val="0"/>
        <w:adjustRightInd w:val="0"/>
        <w:rPr>
          <w:sz w:val="20"/>
        </w:rPr>
      </w:pPr>
    </w:p>
    <w:tbl>
      <w:tblPr>
        <w:tblW w:w="5000" w:type="pct"/>
        <w:tblLook w:val="04A0" w:firstRow="1" w:lastRow="0" w:firstColumn="1" w:lastColumn="0" w:noHBand="0" w:noVBand="1"/>
      </w:tblPr>
      <w:tblGrid>
        <w:gridCol w:w="4175"/>
        <w:gridCol w:w="241"/>
        <w:gridCol w:w="1000"/>
        <w:gridCol w:w="1000"/>
        <w:gridCol w:w="1002"/>
        <w:gridCol w:w="1002"/>
        <w:gridCol w:w="1214"/>
      </w:tblGrid>
      <w:tr w:rsidR="00071E76" w:rsidTr="0039741E">
        <w:trPr>
          <w:trHeight w:val="300"/>
        </w:trPr>
        <w:tc>
          <w:tcPr>
            <w:tcW w:w="2167" w:type="pct"/>
            <w:tcBorders>
              <w:top w:val="nil"/>
              <w:left w:val="nil"/>
              <w:bottom w:val="nil"/>
              <w:right w:val="nil"/>
            </w:tcBorders>
            <w:shd w:val="clear" w:color="auto" w:fill="auto"/>
            <w:noWrap/>
            <w:vAlign w:val="center"/>
            <w:hideMark/>
          </w:tcPr>
          <w:p w:rsidR="00071E76" w:rsidRDefault="00071E76">
            <w:pPr>
              <w:rPr>
                <w:i/>
                <w:iCs/>
                <w:color w:val="000000"/>
                <w:sz w:val="20"/>
                <w:szCs w:val="20"/>
              </w:rPr>
            </w:pPr>
          </w:p>
        </w:tc>
        <w:tc>
          <w:tcPr>
            <w:tcW w:w="125" w:type="pct"/>
            <w:tcBorders>
              <w:top w:val="nil"/>
              <w:left w:val="nil"/>
              <w:bottom w:val="nil"/>
              <w:right w:val="nil"/>
            </w:tcBorders>
            <w:shd w:val="clear" w:color="auto" w:fill="auto"/>
            <w:noWrap/>
            <w:vAlign w:val="center"/>
            <w:hideMark/>
          </w:tcPr>
          <w:p w:rsidR="00071E76" w:rsidRDefault="00071E76">
            <w:pPr>
              <w:rPr>
                <w:color w:val="000000"/>
                <w:sz w:val="22"/>
                <w:szCs w:val="22"/>
              </w:rPr>
            </w:pPr>
          </w:p>
        </w:tc>
        <w:tc>
          <w:tcPr>
            <w:tcW w:w="519" w:type="pct"/>
            <w:tcBorders>
              <w:top w:val="nil"/>
              <w:left w:val="nil"/>
              <w:bottom w:val="nil"/>
              <w:right w:val="nil"/>
            </w:tcBorders>
            <w:shd w:val="clear" w:color="auto" w:fill="auto"/>
            <w:noWrap/>
            <w:vAlign w:val="bottom"/>
            <w:hideMark/>
          </w:tcPr>
          <w:p w:rsidR="00071E76" w:rsidRDefault="00071E76" w:rsidP="0039741E">
            <w:pPr>
              <w:jc w:val="right"/>
              <w:rPr>
                <w:color w:val="000000"/>
                <w:sz w:val="20"/>
                <w:szCs w:val="20"/>
                <w:u w:val="single"/>
              </w:rPr>
            </w:pPr>
            <w:r>
              <w:rPr>
                <w:color w:val="000000"/>
                <w:sz w:val="20"/>
                <w:szCs w:val="20"/>
                <w:u w:val="single"/>
              </w:rPr>
              <w:t>Dec-10</w:t>
            </w:r>
          </w:p>
        </w:tc>
        <w:tc>
          <w:tcPr>
            <w:tcW w:w="519" w:type="pct"/>
            <w:tcBorders>
              <w:top w:val="nil"/>
              <w:left w:val="nil"/>
              <w:bottom w:val="nil"/>
              <w:right w:val="nil"/>
            </w:tcBorders>
            <w:shd w:val="clear" w:color="auto" w:fill="auto"/>
            <w:noWrap/>
            <w:vAlign w:val="bottom"/>
            <w:hideMark/>
          </w:tcPr>
          <w:p w:rsidR="00071E76" w:rsidRDefault="00071E76" w:rsidP="0039741E">
            <w:pPr>
              <w:jc w:val="right"/>
              <w:rPr>
                <w:color w:val="000000"/>
                <w:sz w:val="20"/>
                <w:szCs w:val="20"/>
                <w:u w:val="single"/>
              </w:rPr>
            </w:pPr>
            <w:r>
              <w:rPr>
                <w:color w:val="000000"/>
                <w:sz w:val="20"/>
                <w:szCs w:val="20"/>
                <w:u w:val="single"/>
              </w:rPr>
              <w:t>Mar-11</w:t>
            </w:r>
          </w:p>
        </w:tc>
        <w:tc>
          <w:tcPr>
            <w:tcW w:w="520" w:type="pct"/>
            <w:tcBorders>
              <w:top w:val="nil"/>
              <w:left w:val="nil"/>
              <w:bottom w:val="nil"/>
              <w:right w:val="nil"/>
            </w:tcBorders>
            <w:shd w:val="clear" w:color="auto" w:fill="auto"/>
            <w:noWrap/>
            <w:vAlign w:val="bottom"/>
            <w:hideMark/>
          </w:tcPr>
          <w:p w:rsidR="00071E76" w:rsidRDefault="00071E76" w:rsidP="0039741E">
            <w:pPr>
              <w:jc w:val="right"/>
              <w:rPr>
                <w:color w:val="000000"/>
                <w:sz w:val="20"/>
                <w:szCs w:val="20"/>
                <w:u w:val="single"/>
              </w:rPr>
            </w:pPr>
            <w:r>
              <w:rPr>
                <w:color w:val="000000"/>
                <w:sz w:val="20"/>
                <w:szCs w:val="20"/>
                <w:u w:val="single"/>
              </w:rPr>
              <w:t>Jun-11</w:t>
            </w:r>
          </w:p>
        </w:tc>
        <w:tc>
          <w:tcPr>
            <w:tcW w:w="520" w:type="pct"/>
            <w:tcBorders>
              <w:top w:val="nil"/>
              <w:left w:val="nil"/>
              <w:bottom w:val="nil"/>
              <w:right w:val="nil"/>
            </w:tcBorders>
            <w:shd w:val="clear" w:color="auto" w:fill="auto"/>
            <w:noWrap/>
            <w:vAlign w:val="bottom"/>
            <w:hideMark/>
          </w:tcPr>
          <w:p w:rsidR="00071E76" w:rsidRDefault="00071E76" w:rsidP="0039741E">
            <w:pPr>
              <w:jc w:val="right"/>
              <w:rPr>
                <w:color w:val="000000"/>
                <w:sz w:val="20"/>
                <w:szCs w:val="20"/>
                <w:u w:val="single"/>
              </w:rPr>
            </w:pPr>
            <w:r>
              <w:rPr>
                <w:color w:val="000000"/>
                <w:sz w:val="20"/>
                <w:szCs w:val="20"/>
                <w:u w:val="single"/>
              </w:rPr>
              <w:t>Sep-11</w:t>
            </w:r>
          </w:p>
        </w:tc>
        <w:tc>
          <w:tcPr>
            <w:tcW w:w="631" w:type="pct"/>
            <w:tcBorders>
              <w:top w:val="nil"/>
              <w:left w:val="nil"/>
              <w:bottom w:val="nil"/>
              <w:right w:val="nil"/>
            </w:tcBorders>
            <w:shd w:val="clear" w:color="auto" w:fill="auto"/>
            <w:noWrap/>
            <w:vAlign w:val="bottom"/>
            <w:hideMark/>
          </w:tcPr>
          <w:p w:rsidR="00071E76" w:rsidRDefault="00071E76" w:rsidP="0039741E">
            <w:pPr>
              <w:jc w:val="right"/>
              <w:rPr>
                <w:color w:val="000000"/>
                <w:sz w:val="20"/>
                <w:szCs w:val="20"/>
                <w:u w:val="single"/>
              </w:rPr>
            </w:pPr>
            <w:r>
              <w:rPr>
                <w:color w:val="000000"/>
                <w:sz w:val="20"/>
                <w:szCs w:val="20"/>
                <w:u w:val="single"/>
              </w:rPr>
              <w:t>Dec-11</w:t>
            </w:r>
          </w:p>
        </w:tc>
      </w:tr>
      <w:tr w:rsidR="00071E76" w:rsidTr="0039741E">
        <w:trPr>
          <w:trHeight w:val="300"/>
        </w:trPr>
        <w:tc>
          <w:tcPr>
            <w:tcW w:w="2167" w:type="pct"/>
            <w:tcBorders>
              <w:top w:val="nil"/>
              <w:left w:val="nil"/>
              <w:bottom w:val="nil"/>
              <w:right w:val="nil"/>
            </w:tcBorders>
            <w:shd w:val="clear" w:color="auto" w:fill="auto"/>
            <w:noWrap/>
            <w:vAlign w:val="center"/>
            <w:hideMark/>
          </w:tcPr>
          <w:p w:rsidR="00071E76" w:rsidRDefault="00071E76">
            <w:pPr>
              <w:rPr>
                <w:color w:val="000000"/>
                <w:sz w:val="20"/>
                <w:szCs w:val="20"/>
              </w:rPr>
            </w:pPr>
            <w:r>
              <w:rPr>
                <w:color w:val="000000"/>
                <w:sz w:val="20"/>
                <w:szCs w:val="20"/>
              </w:rPr>
              <w:t>Total Subscriptions</w:t>
            </w:r>
          </w:p>
        </w:tc>
        <w:tc>
          <w:tcPr>
            <w:tcW w:w="125" w:type="pct"/>
            <w:tcBorders>
              <w:top w:val="nil"/>
              <w:left w:val="nil"/>
              <w:bottom w:val="nil"/>
              <w:right w:val="nil"/>
            </w:tcBorders>
            <w:shd w:val="clear" w:color="auto" w:fill="auto"/>
            <w:noWrap/>
            <w:vAlign w:val="center"/>
            <w:hideMark/>
          </w:tcPr>
          <w:p w:rsidR="00071E76" w:rsidRDefault="00071E76">
            <w:pPr>
              <w:rPr>
                <w:color w:val="000000"/>
                <w:sz w:val="22"/>
                <w:szCs w:val="22"/>
              </w:rPr>
            </w:pPr>
          </w:p>
        </w:tc>
        <w:tc>
          <w:tcPr>
            <w:tcW w:w="519" w:type="pct"/>
            <w:tcBorders>
              <w:top w:val="nil"/>
              <w:left w:val="nil"/>
              <w:bottom w:val="nil"/>
              <w:right w:val="nil"/>
            </w:tcBorders>
            <w:shd w:val="clear" w:color="auto" w:fill="auto"/>
            <w:noWrap/>
            <w:vAlign w:val="bottom"/>
            <w:hideMark/>
          </w:tcPr>
          <w:p w:rsidR="00071E76" w:rsidRDefault="00071E76" w:rsidP="0039741E">
            <w:pPr>
              <w:jc w:val="right"/>
              <w:rPr>
                <w:sz w:val="20"/>
                <w:szCs w:val="20"/>
              </w:rPr>
            </w:pPr>
            <w:r>
              <w:rPr>
                <w:sz w:val="20"/>
                <w:szCs w:val="20"/>
              </w:rPr>
              <w:t>162,189</w:t>
            </w:r>
          </w:p>
        </w:tc>
        <w:tc>
          <w:tcPr>
            <w:tcW w:w="519" w:type="pct"/>
            <w:tcBorders>
              <w:top w:val="nil"/>
              <w:left w:val="nil"/>
              <w:bottom w:val="nil"/>
              <w:right w:val="nil"/>
            </w:tcBorders>
            <w:shd w:val="clear" w:color="auto" w:fill="auto"/>
            <w:noWrap/>
            <w:vAlign w:val="bottom"/>
            <w:hideMark/>
          </w:tcPr>
          <w:p w:rsidR="00071E76" w:rsidRDefault="00071E76" w:rsidP="0039741E">
            <w:pPr>
              <w:jc w:val="right"/>
              <w:rPr>
                <w:sz w:val="20"/>
                <w:szCs w:val="20"/>
              </w:rPr>
            </w:pPr>
            <w:r>
              <w:rPr>
                <w:sz w:val="20"/>
                <w:szCs w:val="20"/>
              </w:rPr>
              <w:t>164,836</w:t>
            </w:r>
          </w:p>
        </w:tc>
        <w:tc>
          <w:tcPr>
            <w:tcW w:w="520" w:type="pct"/>
            <w:tcBorders>
              <w:top w:val="nil"/>
              <w:left w:val="nil"/>
              <w:bottom w:val="nil"/>
              <w:right w:val="nil"/>
            </w:tcBorders>
            <w:shd w:val="clear" w:color="auto" w:fill="auto"/>
            <w:noWrap/>
            <w:vAlign w:val="bottom"/>
            <w:hideMark/>
          </w:tcPr>
          <w:p w:rsidR="00071E76" w:rsidRDefault="00071E76" w:rsidP="0039741E">
            <w:pPr>
              <w:jc w:val="right"/>
              <w:rPr>
                <w:color w:val="000000"/>
                <w:sz w:val="20"/>
                <w:szCs w:val="20"/>
              </w:rPr>
            </w:pPr>
            <w:r>
              <w:rPr>
                <w:color w:val="000000"/>
                <w:sz w:val="20"/>
                <w:szCs w:val="20"/>
              </w:rPr>
              <w:t>173,295</w:t>
            </w:r>
          </w:p>
        </w:tc>
        <w:tc>
          <w:tcPr>
            <w:tcW w:w="520" w:type="pct"/>
            <w:tcBorders>
              <w:top w:val="nil"/>
              <w:left w:val="nil"/>
              <w:bottom w:val="nil"/>
              <w:right w:val="nil"/>
            </w:tcBorders>
            <w:shd w:val="clear" w:color="auto" w:fill="auto"/>
            <w:noWrap/>
            <w:vAlign w:val="bottom"/>
            <w:hideMark/>
          </w:tcPr>
          <w:p w:rsidR="00071E76" w:rsidRDefault="00071E76" w:rsidP="0039741E">
            <w:pPr>
              <w:jc w:val="right"/>
              <w:rPr>
                <w:color w:val="000000"/>
                <w:sz w:val="20"/>
                <w:szCs w:val="20"/>
              </w:rPr>
            </w:pPr>
            <w:r>
              <w:rPr>
                <w:color w:val="000000"/>
                <w:sz w:val="20"/>
                <w:szCs w:val="20"/>
              </w:rPr>
              <w:t>176,352</w:t>
            </w:r>
          </w:p>
        </w:tc>
        <w:tc>
          <w:tcPr>
            <w:tcW w:w="631" w:type="pct"/>
            <w:tcBorders>
              <w:top w:val="nil"/>
              <w:left w:val="nil"/>
              <w:bottom w:val="nil"/>
              <w:right w:val="nil"/>
            </w:tcBorders>
            <w:shd w:val="clear" w:color="auto" w:fill="auto"/>
            <w:noWrap/>
            <w:vAlign w:val="bottom"/>
            <w:hideMark/>
          </w:tcPr>
          <w:p w:rsidR="00071E76" w:rsidRDefault="00071E76" w:rsidP="0039741E">
            <w:pPr>
              <w:jc w:val="right"/>
              <w:rPr>
                <w:color w:val="000000"/>
                <w:sz w:val="20"/>
                <w:szCs w:val="20"/>
              </w:rPr>
            </w:pPr>
            <w:r>
              <w:rPr>
                <w:color w:val="000000"/>
                <w:sz w:val="20"/>
                <w:szCs w:val="20"/>
              </w:rPr>
              <w:t>178,609</w:t>
            </w:r>
          </w:p>
        </w:tc>
      </w:tr>
      <w:tr w:rsidR="00071E76" w:rsidTr="0039741E">
        <w:trPr>
          <w:trHeight w:val="300"/>
        </w:trPr>
        <w:tc>
          <w:tcPr>
            <w:tcW w:w="2167" w:type="pct"/>
            <w:tcBorders>
              <w:top w:val="nil"/>
              <w:left w:val="nil"/>
              <w:bottom w:val="nil"/>
              <w:right w:val="nil"/>
            </w:tcBorders>
            <w:shd w:val="clear" w:color="auto" w:fill="auto"/>
            <w:noWrap/>
            <w:vAlign w:val="center"/>
            <w:hideMark/>
          </w:tcPr>
          <w:p w:rsidR="00071E76" w:rsidRDefault="00071E76">
            <w:pPr>
              <w:rPr>
                <w:color w:val="000000"/>
                <w:sz w:val="20"/>
                <w:szCs w:val="20"/>
              </w:rPr>
            </w:pPr>
            <w:r>
              <w:rPr>
                <w:color w:val="000000"/>
                <w:sz w:val="20"/>
                <w:szCs w:val="20"/>
              </w:rPr>
              <w:t>Subscriptions purchased during quarter</w:t>
            </w:r>
          </w:p>
        </w:tc>
        <w:tc>
          <w:tcPr>
            <w:tcW w:w="125" w:type="pct"/>
            <w:tcBorders>
              <w:top w:val="nil"/>
              <w:left w:val="nil"/>
              <w:bottom w:val="nil"/>
              <w:right w:val="nil"/>
            </w:tcBorders>
            <w:shd w:val="clear" w:color="auto" w:fill="auto"/>
            <w:noWrap/>
            <w:vAlign w:val="center"/>
            <w:hideMark/>
          </w:tcPr>
          <w:p w:rsidR="00071E76" w:rsidRDefault="00071E76">
            <w:pPr>
              <w:rPr>
                <w:color w:val="000000"/>
                <w:sz w:val="22"/>
                <w:szCs w:val="22"/>
              </w:rPr>
            </w:pPr>
          </w:p>
        </w:tc>
        <w:tc>
          <w:tcPr>
            <w:tcW w:w="519" w:type="pct"/>
            <w:tcBorders>
              <w:top w:val="nil"/>
              <w:left w:val="nil"/>
              <w:bottom w:val="nil"/>
              <w:right w:val="nil"/>
            </w:tcBorders>
            <w:shd w:val="clear" w:color="auto" w:fill="auto"/>
            <w:noWrap/>
            <w:vAlign w:val="bottom"/>
            <w:hideMark/>
          </w:tcPr>
          <w:p w:rsidR="00071E76" w:rsidRDefault="00071E76" w:rsidP="0039741E">
            <w:pPr>
              <w:jc w:val="right"/>
              <w:rPr>
                <w:sz w:val="20"/>
                <w:szCs w:val="20"/>
              </w:rPr>
            </w:pPr>
            <w:r>
              <w:rPr>
                <w:sz w:val="20"/>
                <w:szCs w:val="20"/>
              </w:rPr>
              <w:t>46,496</w:t>
            </w:r>
          </w:p>
        </w:tc>
        <w:tc>
          <w:tcPr>
            <w:tcW w:w="519" w:type="pct"/>
            <w:tcBorders>
              <w:top w:val="nil"/>
              <w:left w:val="nil"/>
              <w:bottom w:val="nil"/>
              <w:right w:val="nil"/>
            </w:tcBorders>
            <w:shd w:val="clear" w:color="auto" w:fill="auto"/>
            <w:noWrap/>
            <w:vAlign w:val="bottom"/>
            <w:hideMark/>
          </w:tcPr>
          <w:p w:rsidR="00071E76" w:rsidRDefault="00071E76" w:rsidP="0039741E">
            <w:pPr>
              <w:jc w:val="right"/>
              <w:rPr>
                <w:sz w:val="20"/>
                <w:szCs w:val="20"/>
              </w:rPr>
            </w:pPr>
            <w:r>
              <w:rPr>
                <w:sz w:val="20"/>
                <w:szCs w:val="20"/>
              </w:rPr>
              <w:t>25,246</w:t>
            </w:r>
          </w:p>
        </w:tc>
        <w:tc>
          <w:tcPr>
            <w:tcW w:w="520" w:type="pct"/>
            <w:tcBorders>
              <w:top w:val="nil"/>
              <w:left w:val="nil"/>
              <w:bottom w:val="nil"/>
              <w:right w:val="nil"/>
            </w:tcBorders>
            <w:shd w:val="clear" w:color="auto" w:fill="auto"/>
            <w:noWrap/>
            <w:vAlign w:val="bottom"/>
            <w:hideMark/>
          </w:tcPr>
          <w:p w:rsidR="00071E76" w:rsidRDefault="00071E76" w:rsidP="0039741E">
            <w:pPr>
              <w:jc w:val="right"/>
              <w:rPr>
                <w:color w:val="000000"/>
                <w:sz w:val="20"/>
                <w:szCs w:val="20"/>
              </w:rPr>
            </w:pPr>
            <w:r>
              <w:rPr>
                <w:color w:val="000000"/>
                <w:sz w:val="20"/>
                <w:szCs w:val="20"/>
              </w:rPr>
              <w:t>24,487</w:t>
            </w:r>
          </w:p>
        </w:tc>
        <w:tc>
          <w:tcPr>
            <w:tcW w:w="520" w:type="pct"/>
            <w:tcBorders>
              <w:top w:val="nil"/>
              <w:left w:val="nil"/>
              <w:bottom w:val="nil"/>
              <w:right w:val="nil"/>
            </w:tcBorders>
            <w:shd w:val="clear" w:color="auto" w:fill="auto"/>
            <w:noWrap/>
            <w:vAlign w:val="bottom"/>
            <w:hideMark/>
          </w:tcPr>
          <w:p w:rsidR="00071E76" w:rsidRDefault="00071E76" w:rsidP="0039741E">
            <w:pPr>
              <w:jc w:val="right"/>
              <w:rPr>
                <w:color w:val="000000"/>
                <w:sz w:val="20"/>
                <w:szCs w:val="20"/>
              </w:rPr>
            </w:pPr>
            <w:r>
              <w:rPr>
                <w:color w:val="000000"/>
                <w:sz w:val="20"/>
                <w:szCs w:val="20"/>
              </w:rPr>
              <w:t>74,550</w:t>
            </w:r>
          </w:p>
        </w:tc>
        <w:tc>
          <w:tcPr>
            <w:tcW w:w="631" w:type="pct"/>
            <w:tcBorders>
              <w:top w:val="nil"/>
              <w:left w:val="nil"/>
              <w:bottom w:val="nil"/>
              <w:right w:val="nil"/>
            </w:tcBorders>
            <w:shd w:val="clear" w:color="auto" w:fill="auto"/>
            <w:noWrap/>
            <w:vAlign w:val="bottom"/>
            <w:hideMark/>
          </w:tcPr>
          <w:p w:rsidR="00071E76" w:rsidRDefault="0071070C" w:rsidP="0039741E">
            <w:pPr>
              <w:jc w:val="right"/>
              <w:rPr>
                <w:color w:val="000000"/>
                <w:sz w:val="20"/>
                <w:szCs w:val="20"/>
              </w:rPr>
            </w:pPr>
            <w:r>
              <w:rPr>
                <w:color w:val="000000"/>
                <w:sz w:val="20"/>
                <w:szCs w:val="20"/>
              </w:rPr>
              <w:t>51,0</w:t>
            </w:r>
            <w:r w:rsidR="00535B16">
              <w:rPr>
                <w:color w:val="000000"/>
                <w:sz w:val="20"/>
                <w:szCs w:val="20"/>
              </w:rPr>
              <w:t>03</w:t>
            </w:r>
          </w:p>
        </w:tc>
      </w:tr>
      <w:tr w:rsidR="00071E76" w:rsidTr="0039741E">
        <w:trPr>
          <w:trHeight w:val="300"/>
        </w:trPr>
        <w:tc>
          <w:tcPr>
            <w:tcW w:w="2167" w:type="pct"/>
            <w:tcBorders>
              <w:top w:val="nil"/>
              <w:left w:val="nil"/>
              <w:bottom w:val="nil"/>
              <w:right w:val="nil"/>
            </w:tcBorders>
            <w:shd w:val="clear" w:color="auto" w:fill="auto"/>
            <w:noWrap/>
            <w:vAlign w:val="center"/>
            <w:hideMark/>
          </w:tcPr>
          <w:p w:rsidR="00071E76" w:rsidRDefault="00071E76">
            <w:pPr>
              <w:rPr>
                <w:color w:val="000000"/>
                <w:sz w:val="20"/>
                <w:szCs w:val="20"/>
              </w:rPr>
            </w:pPr>
            <w:r>
              <w:rPr>
                <w:color w:val="000000"/>
                <w:sz w:val="20"/>
                <w:szCs w:val="20"/>
              </w:rPr>
              <w:t>Educator Accounts</w:t>
            </w:r>
          </w:p>
        </w:tc>
        <w:tc>
          <w:tcPr>
            <w:tcW w:w="125" w:type="pct"/>
            <w:tcBorders>
              <w:top w:val="nil"/>
              <w:left w:val="nil"/>
              <w:bottom w:val="nil"/>
              <w:right w:val="nil"/>
            </w:tcBorders>
            <w:shd w:val="clear" w:color="auto" w:fill="auto"/>
            <w:noWrap/>
            <w:vAlign w:val="center"/>
            <w:hideMark/>
          </w:tcPr>
          <w:p w:rsidR="00071E76" w:rsidRDefault="00071E76">
            <w:pPr>
              <w:rPr>
                <w:color w:val="000000"/>
                <w:sz w:val="22"/>
                <w:szCs w:val="22"/>
              </w:rPr>
            </w:pPr>
          </w:p>
        </w:tc>
        <w:tc>
          <w:tcPr>
            <w:tcW w:w="519" w:type="pct"/>
            <w:tcBorders>
              <w:top w:val="nil"/>
              <w:left w:val="nil"/>
              <w:bottom w:val="nil"/>
              <w:right w:val="nil"/>
            </w:tcBorders>
            <w:shd w:val="clear" w:color="auto" w:fill="auto"/>
            <w:noWrap/>
            <w:vAlign w:val="bottom"/>
            <w:hideMark/>
          </w:tcPr>
          <w:p w:rsidR="00071E76" w:rsidRDefault="00071E76" w:rsidP="0039741E">
            <w:pPr>
              <w:jc w:val="right"/>
              <w:rPr>
                <w:sz w:val="20"/>
                <w:szCs w:val="20"/>
              </w:rPr>
            </w:pPr>
            <w:r>
              <w:rPr>
                <w:sz w:val="20"/>
                <w:szCs w:val="20"/>
              </w:rPr>
              <w:t>9,402</w:t>
            </w:r>
          </w:p>
        </w:tc>
        <w:tc>
          <w:tcPr>
            <w:tcW w:w="519" w:type="pct"/>
            <w:tcBorders>
              <w:top w:val="nil"/>
              <w:left w:val="nil"/>
              <w:bottom w:val="nil"/>
              <w:right w:val="nil"/>
            </w:tcBorders>
            <w:shd w:val="clear" w:color="auto" w:fill="auto"/>
            <w:noWrap/>
            <w:vAlign w:val="bottom"/>
            <w:hideMark/>
          </w:tcPr>
          <w:p w:rsidR="00071E76" w:rsidRDefault="00071E76" w:rsidP="0039741E">
            <w:pPr>
              <w:jc w:val="right"/>
              <w:rPr>
                <w:sz w:val="20"/>
                <w:szCs w:val="20"/>
              </w:rPr>
            </w:pPr>
            <w:r>
              <w:rPr>
                <w:sz w:val="20"/>
                <w:szCs w:val="20"/>
              </w:rPr>
              <w:t>9,727</w:t>
            </w:r>
          </w:p>
        </w:tc>
        <w:tc>
          <w:tcPr>
            <w:tcW w:w="520" w:type="pct"/>
            <w:tcBorders>
              <w:top w:val="nil"/>
              <w:left w:val="nil"/>
              <w:bottom w:val="nil"/>
              <w:right w:val="nil"/>
            </w:tcBorders>
            <w:shd w:val="clear" w:color="auto" w:fill="auto"/>
            <w:noWrap/>
            <w:vAlign w:val="bottom"/>
            <w:hideMark/>
          </w:tcPr>
          <w:p w:rsidR="00071E76" w:rsidRDefault="00071E76" w:rsidP="0039741E">
            <w:pPr>
              <w:jc w:val="right"/>
              <w:rPr>
                <w:color w:val="000000"/>
                <w:sz w:val="20"/>
                <w:szCs w:val="20"/>
              </w:rPr>
            </w:pPr>
            <w:r>
              <w:rPr>
                <w:color w:val="000000"/>
                <w:sz w:val="20"/>
                <w:szCs w:val="20"/>
              </w:rPr>
              <w:t>9,633</w:t>
            </w:r>
          </w:p>
        </w:tc>
        <w:tc>
          <w:tcPr>
            <w:tcW w:w="520" w:type="pct"/>
            <w:tcBorders>
              <w:top w:val="nil"/>
              <w:left w:val="nil"/>
              <w:bottom w:val="nil"/>
              <w:right w:val="nil"/>
            </w:tcBorders>
            <w:shd w:val="clear" w:color="auto" w:fill="auto"/>
            <w:noWrap/>
            <w:vAlign w:val="bottom"/>
            <w:hideMark/>
          </w:tcPr>
          <w:p w:rsidR="00071E76" w:rsidRDefault="00071E76" w:rsidP="0039741E">
            <w:pPr>
              <w:jc w:val="right"/>
              <w:rPr>
                <w:color w:val="000000"/>
                <w:sz w:val="20"/>
                <w:szCs w:val="20"/>
              </w:rPr>
            </w:pPr>
            <w:r>
              <w:rPr>
                <w:color w:val="000000"/>
                <w:sz w:val="20"/>
                <w:szCs w:val="20"/>
              </w:rPr>
              <w:t>9,744</w:t>
            </w:r>
          </w:p>
        </w:tc>
        <w:tc>
          <w:tcPr>
            <w:tcW w:w="631" w:type="pct"/>
            <w:tcBorders>
              <w:top w:val="nil"/>
              <w:left w:val="nil"/>
              <w:bottom w:val="nil"/>
              <w:right w:val="nil"/>
            </w:tcBorders>
            <w:shd w:val="clear" w:color="auto" w:fill="auto"/>
            <w:noWrap/>
            <w:vAlign w:val="bottom"/>
            <w:hideMark/>
          </w:tcPr>
          <w:p w:rsidR="00071E76" w:rsidRDefault="00071E76" w:rsidP="0039741E">
            <w:pPr>
              <w:jc w:val="right"/>
              <w:rPr>
                <w:color w:val="000000"/>
                <w:sz w:val="20"/>
                <w:szCs w:val="20"/>
              </w:rPr>
            </w:pPr>
            <w:r>
              <w:rPr>
                <w:color w:val="000000"/>
                <w:sz w:val="20"/>
                <w:szCs w:val="20"/>
              </w:rPr>
              <w:t>10,544</w:t>
            </w:r>
          </w:p>
        </w:tc>
      </w:tr>
    </w:tbl>
    <w:p w:rsidR="004851D7" w:rsidRDefault="004851D7">
      <w:pPr>
        <w:autoSpaceDE w:val="0"/>
        <w:autoSpaceDN w:val="0"/>
        <w:adjustRightInd w:val="0"/>
        <w:rPr>
          <w:sz w:val="20"/>
        </w:rPr>
      </w:pPr>
    </w:p>
    <w:p w:rsidR="00071E76" w:rsidRDefault="00071E76" w:rsidP="00071E76">
      <w:pPr>
        <w:autoSpaceDE w:val="0"/>
        <w:autoSpaceDN w:val="0"/>
        <w:adjustRightInd w:val="0"/>
        <w:ind w:firstLine="720"/>
        <w:rPr>
          <w:color w:val="000000"/>
          <w:sz w:val="20"/>
        </w:rPr>
      </w:pPr>
      <w:r>
        <w:rPr>
          <w:color w:val="000000"/>
          <w:sz w:val="20"/>
        </w:rPr>
        <w:t xml:space="preserve">Our educational sales organization focuses on direct school district sales aimed at the 17,000 schools who match our ideal demographic profile. We increased the size of our educational sales force from 5 to 7 and our marketing staff from 8 to 9 in 2010 to strengthen our strategic sales and marketing initiatives. During 2011, we further increased our education sales force to 13. </w:t>
      </w:r>
      <w:r w:rsidR="000D48D6">
        <w:rPr>
          <w:color w:val="000000"/>
          <w:sz w:val="20"/>
        </w:rPr>
        <w:t>We inten</w:t>
      </w:r>
      <w:r w:rsidR="001F383B">
        <w:rPr>
          <w:color w:val="000000"/>
          <w:sz w:val="20"/>
        </w:rPr>
        <w:t>d</w:t>
      </w:r>
      <w:r w:rsidR="000D48D6">
        <w:rPr>
          <w:color w:val="000000"/>
          <w:sz w:val="20"/>
        </w:rPr>
        <w:t xml:space="preserve"> to hire a sales executive in</w:t>
      </w:r>
      <w:r w:rsidR="00A2653E">
        <w:rPr>
          <w:color w:val="000000"/>
          <w:sz w:val="20"/>
        </w:rPr>
        <w:t xml:space="preserve"> early</w:t>
      </w:r>
      <w:r w:rsidR="000D48D6">
        <w:rPr>
          <w:color w:val="000000"/>
          <w:sz w:val="20"/>
        </w:rPr>
        <w:t xml:space="preserve"> 2012 to lead our sales and business development initiatives.</w:t>
      </w:r>
    </w:p>
    <w:p w:rsidR="00071E76" w:rsidRDefault="00071E76" w:rsidP="00071E76">
      <w:pPr>
        <w:autoSpaceDE w:val="0"/>
        <w:autoSpaceDN w:val="0"/>
        <w:adjustRightInd w:val="0"/>
        <w:ind w:firstLine="720"/>
        <w:rPr>
          <w:color w:val="000000"/>
          <w:sz w:val="20"/>
        </w:rPr>
      </w:pPr>
    </w:p>
    <w:p w:rsidR="00E76F80" w:rsidRDefault="00E76F80" w:rsidP="00071E76">
      <w:pPr>
        <w:spacing w:after="100" w:afterAutospacing="1"/>
        <w:ind w:firstLine="720"/>
        <w:rPr>
          <w:color w:val="000000"/>
          <w:sz w:val="20"/>
        </w:rPr>
      </w:pPr>
    </w:p>
    <w:p w:rsidR="00E76F80" w:rsidRDefault="00E76F80" w:rsidP="00071E76">
      <w:pPr>
        <w:spacing w:after="100" w:afterAutospacing="1"/>
        <w:ind w:firstLine="720"/>
        <w:rPr>
          <w:color w:val="000000"/>
          <w:sz w:val="20"/>
        </w:rPr>
      </w:pPr>
    </w:p>
    <w:p w:rsidR="00E76F80" w:rsidRDefault="00E76F80" w:rsidP="00071E76">
      <w:pPr>
        <w:spacing w:after="100" w:afterAutospacing="1"/>
        <w:ind w:firstLine="720"/>
        <w:rPr>
          <w:color w:val="000000"/>
          <w:sz w:val="20"/>
        </w:rPr>
      </w:pPr>
    </w:p>
    <w:p w:rsidR="00E76F80" w:rsidRDefault="00E76F80" w:rsidP="00071E76">
      <w:pPr>
        <w:spacing w:after="100" w:afterAutospacing="1"/>
        <w:ind w:firstLine="720"/>
        <w:rPr>
          <w:color w:val="000000"/>
          <w:sz w:val="20"/>
        </w:rPr>
      </w:pPr>
    </w:p>
    <w:p w:rsidR="00E76F80" w:rsidRDefault="00E76F80" w:rsidP="00071E76">
      <w:pPr>
        <w:spacing w:after="100" w:afterAutospacing="1"/>
        <w:ind w:firstLine="720"/>
        <w:rPr>
          <w:color w:val="000000"/>
          <w:sz w:val="20"/>
        </w:rPr>
      </w:pPr>
    </w:p>
    <w:p w:rsidR="00E76F80" w:rsidRDefault="00E76F80" w:rsidP="00071E76">
      <w:pPr>
        <w:spacing w:after="100" w:afterAutospacing="1"/>
        <w:ind w:firstLine="720"/>
        <w:rPr>
          <w:color w:val="000000"/>
          <w:sz w:val="20"/>
        </w:rPr>
      </w:pPr>
    </w:p>
    <w:p w:rsidR="00071E76" w:rsidRDefault="00071E76" w:rsidP="00071E76">
      <w:pPr>
        <w:spacing w:after="100" w:afterAutospacing="1"/>
        <w:ind w:firstLine="720"/>
        <w:rPr>
          <w:color w:val="000000"/>
          <w:sz w:val="20"/>
        </w:rPr>
      </w:pPr>
      <w:r>
        <w:rPr>
          <w:color w:val="000000"/>
          <w:sz w:val="20"/>
        </w:rPr>
        <w:t xml:space="preserve">The following table illustrates the total net new </w:t>
      </w:r>
      <w:proofErr w:type="spellStart"/>
      <w:r>
        <w:rPr>
          <w:color w:val="000000"/>
          <w:sz w:val="20"/>
        </w:rPr>
        <w:t>SmartMusic</w:t>
      </w:r>
      <w:proofErr w:type="spellEnd"/>
      <w:r>
        <w:rPr>
          <w:color w:val="000000"/>
          <w:sz w:val="20"/>
        </w:rPr>
        <w:t xml:space="preserve"> educator subscriptions for each quarter during the years ended December 31, 2010 and December 31, 2011: </w:t>
      </w:r>
    </w:p>
    <w:tbl>
      <w:tblPr>
        <w:tblW w:w="9932" w:type="dxa"/>
        <w:tblInd w:w="108" w:type="dxa"/>
        <w:tblLook w:val="04A0" w:firstRow="1" w:lastRow="0" w:firstColumn="1" w:lastColumn="0" w:noHBand="0" w:noVBand="1"/>
      </w:tblPr>
      <w:tblGrid>
        <w:gridCol w:w="1078"/>
        <w:gridCol w:w="232"/>
        <w:gridCol w:w="1097"/>
        <w:gridCol w:w="230"/>
        <w:gridCol w:w="1097"/>
        <w:gridCol w:w="230"/>
        <w:gridCol w:w="1088"/>
        <w:gridCol w:w="230"/>
        <w:gridCol w:w="806"/>
        <w:gridCol w:w="230"/>
        <w:gridCol w:w="1088"/>
        <w:gridCol w:w="230"/>
        <w:gridCol w:w="1097"/>
        <w:gridCol w:w="230"/>
        <w:gridCol w:w="1088"/>
      </w:tblGrid>
      <w:tr w:rsidR="00071E76" w:rsidTr="006964F2">
        <w:trPr>
          <w:trHeight w:val="224"/>
        </w:trPr>
        <w:tc>
          <w:tcPr>
            <w:tcW w:w="1078" w:type="dxa"/>
            <w:tcBorders>
              <w:top w:val="nil"/>
              <w:left w:val="nil"/>
              <w:bottom w:val="nil"/>
              <w:right w:val="nil"/>
            </w:tcBorders>
            <w:shd w:val="clear" w:color="auto" w:fill="auto"/>
            <w:noWrap/>
            <w:vAlign w:val="bottom"/>
            <w:hideMark/>
          </w:tcPr>
          <w:p w:rsidR="00071E76" w:rsidRDefault="00071E76">
            <w:pPr>
              <w:rPr>
                <w:color w:val="000000"/>
                <w:sz w:val="16"/>
                <w:szCs w:val="16"/>
              </w:rPr>
            </w:pPr>
            <w:r>
              <w:rPr>
                <w:color w:val="000000"/>
                <w:sz w:val="16"/>
                <w:szCs w:val="16"/>
              </w:rPr>
              <w:t>Educators:</w:t>
            </w:r>
          </w:p>
        </w:tc>
        <w:tc>
          <w:tcPr>
            <w:tcW w:w="232" w:type="dxa"/>
            <w:tcBorders>
              <w:top w:val="nil"/>
              <w:left w:val="nil"/>
              <w:bottom w:val="nil"/>
              <w:right w:val="nil"/>
            </w:tcBorders>
            <w:shd w:val="clear" w:color="auto" w:fill="auto"/>
            <w:noWrap/>
            <w:vAlign w:val="bottom"/>
            <w:hideMark/>
          </w:tcPr>
          <w:p w:rsidR="00071E76" w:rsidRDefault="00071E76">
            <w:pPr>
              <w:rPr>
                <w:rFonts w:ascii="Calibri" w:hAnsi="Calibri" w:cs="Calibri"/>
                <w:color w:val="000000"/>
                <w:sz w:val="16"/>
                <w:szCs w:val="16"/>
              </w:rPr>
            </w:pPr>
          </w:p>
        </w:tc>
        <w:tc>
          <w:tcPr>
            <w:tcW w:w="1097" w:type="dxa"/>
            <w:tcBorders>
              <w:top w:val="nil"/>
              <w:left w:val="nil"/>
              <w:bottom w:val="nil"/>
              <w:right w:val="nil"/>
            </w:tcBorders>
            <w:shd w:val="clear" w:color="auto" w:fill="auto"/>
            <w:noWrap/>
            <w:vAlign w:val="bottom"/>
            <w:hideMark/>
          </w:tcPr>
          <w:p w:rsidR="00071E76" w:rsidRDefault="00071E76">
            <w:pPr>
              <w:rPr>
                <w:rFonts w:ascii="Calibri" w:hAnsi="Calibri" w:cs="Calibri"/>
                <w:color w:val="000000"/>
                <w:sz w:val="16"/>
                <w:szCs w:val="16"/>
              </w:rPr>
            </w:pPr>
          </w:p>
        </w:tc>
        <w:tc>
          <w:tcPr>
            <w:tcW w:w="230" w:type="dxa"/>
            <w:tcBorders>
              <w:top w:val="nil"/>
              <w:left w:val="nil"/>
              <w:bottom w:val="nil"/>
              <w:right w:val="nil"/>
            </w:tcBorders>
            <w:shd w:val="clear" w:color="auto" w:fill="auto"/>
            <w:noWrap/>
            <w:vAlign w:val="bottom"/>
            <w:hideMark/>
          </w:tcPr>
          <w:p w:rsidR="00071E76" w:rsidRDefault="00071E76">
            <w:pPr>
              <w:rPr>
                <w:rFonts w:ascii="Calibri" w:hAnsi="Calibri" w:cs="Calibri"/>
                <w:color w:val="000000"/>
                <w:sz w:val="16"/>
                <w:szCs w:val="16"/>
              </w:rPr>
            </w:pPr>
          </w:p>
        </w:tc>
        <w:tc>
          <w:tcPr>
            <w:tcW w:w="1097" w:type="dxa"/>
            <w:tcBorders>
              <w:top w:val="nil"/>
              <w:left w:val="nil"/>
              <w:bottom w:val="nil"/>
              <w:right w:val="nil"/>
            </w:tcBorders>
            <w:shd w:val="clear" w:color="auto" w:fill="auto"/>
            <w:noWrap/>
            <w:vAlign w:val="bottom"/>
            <w:hideMark/>
          </w:tcPr>
          <w:p w:rsidR="00071E76" w:rsidRDefault="00071E76">
            <w:pPr>
              <w:rPr>
                <w:rFonts w:ascii="Calibri" w:hAnsi="Calibri" w:cs="Calibri"/>
                <w:color w:val="000000"/>
                <w:sz w:val="16"/>
                <w:szCs w:val="16"/>
              </w:rPr>
            </w:pPr>
          </w:p>
        </w:tc>
        <w:tc>
          <w:tcPr>
            <w:tcW w:w="230" w:type="dxa"/>
            <w:tcBorders>
              <w:top w:val="nil"/>
              <w:left w:val="nil"/>
              <w:bottom w:val="nil"/>
              <w:right w:val="nil"/>
            </w:tcBorders>
            <w:shd w:val="clear" w:color="auto" w:fill="auto"/>
            <w:noWrap/>
            <w:vAlign w:val="bottom"/>
            <w:hideMark/>
          </w:tcPr>
          <w:p w:rsidR="00071E76" w:rsidRDefault="00071E76">
            <w:pPr>
              <w:rPr>
                <w:rFonts w:ascii="Calibri" w:hAnsi="Calibri" w:cs="Calibri"/>
                <w:color w:val="000000"/>
                <w:sz w:val="16"/>
                <w:szCs w:val="16"/>
              </w:rPr>
            </w:pPr>
          </w:p>
        </w:tc>
        <w:tc>
          <w:tcPr>
            <w:tcW w:w="1042" w:type="dxa"/>
            <w:tcBorders>
              <w:top w:val="nil"/>
              <w:left w:val="nil"/>
              <w:bottom w:val="nil"/>
              <w:right w:val="nil"/>
            </w:tcBorders>
            <w:shd w:val="clear" w:color="auto" w:fill="auto"/>
            <w:noWrap/>
            <w:vAlign w:val="bottom"/>
            <w:hideMark/>
          </w:tcPr>
          <w:p w:rsidR="00071E76" w:rsidRDefault="00071E76">
            <w:pPr>
              <w:rPr>
                <w:rFonts w:ascii="Calibri" w:hAnsi="Calibri" w:cs="Calibri"/>
                <w:color w:val="000000"/>
                <w:sz w:val="16"/>
                <w:szCs w:val="16"/>
              </w:rPr>
            </w:pPr>
          </w:p>
        </w:tc>
        <w:tc>
          <w:tcPr>
            <w:tcW w:w="230" w:type="dxa"/>
            <w:tcBorders>
              <w:top w:val="nil"/>
              <w:left w:val="nil"/>
              <w:bottom w:val="nil"/>
              <w:right w:val="nil"/>
            </w:tcBorders>
            <w:shd w:val="clear" w:color="auto" w:fill="auto"/>
            <w:noWrap/>
            <w:vAlign w:val="bottom"/>
            <w:hideMark/>
          </w:tcPr>
          <w:p w:rsidR="00071E76" w:rsidRDefault="00071E76">
            <w:pPr>
              <w:rPr>
                <w:rFonts w:ascii="Calibri" w:hAnsi="Calibri" w:cs="Calibri"/>
                <w:color w:val="000000"/>
                <w:sz w:val="16"/>
                <w:szCs w:val="16"/>
              </w:rPr>
            </w:pPr>
          </w:p>
        </w:tc>
        <w:tc>
          <w:tcPr>
            <w:tcW w:w="806" w:type="dxa"/>
            <w:tcBorders>
              <w:top w:val="nil"/>
              <w:left w:val="nil"/>
              <w:bottom w:val="nil"/>
              <w:right w:val="nil"/>
            </w:tcBorders>
            <w:shd w:val="clear" w:color="auto" w:fill="auto"/>
            <w:noWrap/>
            <w:vAlign w:val="bottom"/>
            <w:hideMark/>
          </w:tcPr>
          <w:p w:rsidR="00071E76" w:rsidRDefault="00071E76">
            <w:pPr>
              <w:rPr>
                <w:rFonts w:ascii="Calibri" w:hAnsi="Calibri" w:cs="Calibri"/>
                <w:color w:val="000000"/>
                <w:sz w:val="16"/>
                <w:szCs w:val="16"/>
              </w:rPr>
            </w:pPr>
          </w:p>
        </w:tc>
        <w:tc>
          <w:tcPr>
            <w:tcW w:w="230" w:type="dxa"/>
            <w:tcBorders>
              <w:top w:val="nil"/>
              <w:left w:val="nil"/>
              <w:bottom w:val="nil"/>
              <w:right w:val="nil"/>
            </w:tcBorders>
            <w:shd w:val="clear" w:color="auto" w:fill="auto"/>
            <w:noWrap/>
            <w:vAlign w:val="bottom"/>
            <w:hideMark/>
          </w:tcPr>
          <w:p w:rsidR="00071E76" w:rsidRDefault="00071E76">
            <w:pPr>
              <w:rPr>
                <w:rFonts w:ascii="Calibri" w:hAnsi="Calibri" w:cs="Calibri"/>
                <w:color w:val="000000"/>
                <w:sz w:val="16"/>
                <w:szCs w:val="16"/>
              </w:rPr>
            </w:pPr>
          </w:p>
        </w:tc>
        <w:tc>
          <w:tcPr>
            <w:tcW w:w="1061" w:type="dxa"/>
            <w:tcBorders>
              <w:top w:val="nil"/>
              <w:left w:val="nil"/>
              <w:bottom w:val="nil"/>
              <w:right w:val="nil"/>
            </w:tcBorders>
            <w:shd w:val="clear" w:color="auto" w:fill="auto"/>
            <w:noWrap/>
            <w:vAlign w:val="bottom"/>
            <w:hideMark/>
          </w:tcPr>
          <w:p w:rsidR="00071E76" w:rsidRDefault="00071E76">
            <w:pPr>
              <w:rPr>
                <w:rFonts w:ascii="Calibri" w:hAnsi="Calibri" w:cs="Calibri"/>
                <w:color w:val="000000"/>
                <w:sz w:val="16"/>
                <w:szCs w:val="16"/>
              </w:rPr>
            </w:pPr>
          </w:p>
        </w:tc>
        <w:tc>
          <w:tcPr>
            <w:tcW w:w="230" w:type="dxa"/>
            <w:tcBorders>
              <w:top w:val="nil"/>
              <w:left w:val="nil"/>
              <w:bottom w:val="nil"/>
              <w:right w:val="nil"/>
            </w:tcBorders>
            <w:shd w:val="clear" w:color="auto" w:fill="auto"/>
            <w:noWrap/>
            <w:vAlign w:val="bottom"/>
            <w:hideMark/>
          </w:tcPr>
          <w:p w:rsidR="00071E76" w:rsidRDefault="00071E76">
            <w:pPr>
              <w:rPr>
                <w:rFonts w:ascii="Calibri" w:hAnsi="Calibri" w:cs="Calibri"/>
                <w:color w:val="000000"/>
                <w:sz w:val="16"/>
                <w:szCs w:val="16"/>
              </w:rPr>
            </w:pPr>
          </w:p>
        </w:tc>
        <w:tc>
          <w:tcPr>
            <w:tcW w:w="1097" w:type="dxa"/>
            <w:tcBorders>
              <w:top w:val="nil"/>
              <w:left w:val="nil"/>
              <w:bottom w:val="nil"/>
              <w:right w:val="nil"/>
            </w:tcBorders>
            <w:shd w:val="clear" w:color="auto" w:fill="auto"/>
            <w:noWrap/>
            <w:vAlign w:val="bottom"/>
            <w:hideMark/>
          </w:tcPr>
          <w:p w:rsidR="00071E76" w:rsidRDefault="00071E76">
            <w:pPr>
              <w:rPr>
                <w:rFonts w:ascii="Calibri" w:hAnsi="Calibri" w:cs="Calibri"/>
                <w:color w:val="000000"/>
                <w:sz w:val="16"/>
                <w:szCs w:val="16"/>
              </w:rPr>
            </w:pPr>
          </w:p>
        </w:tc>
        <w:tc>
          <w:tcPr>
            <w:tcW w:w="230" w:type="dxa"/>
            <w:tcBorders>
              <w:top w:val="nil"/>
              <w:left w:val="nil"/>
              <w:bottom w:val="nil"/>
              <w:right w:val="nil"/>
            </w:tcBorders>
            <w:shd w:val="clear" w:color="auto" w:fill="auto"/>
            <w:noWrap/>
            <w:vAlign w:val="bottom"/>
            <w:hideMark/>
          </w:tcPr>
          <w:p w:rsidR="00071E76" w:rsidRDefault="00071E76">
            <w:pPr>
              <w:rPr>
                <w:rFonts w:ascii="Calibri" w:hAnsi="Calibri" w:cs="Calibri"/>
                <w:color w:val="000000"/>
                <w:sz w:val="16"/>
                <w:szCs w:val="16"/>
              </w:rPr>
            </w:pPr>
          </w:p>
        </w:tc>
        <w:tc>
          <w:tcPr>
            <w:tcW w:w="1042" w:type="dxa"/>
            <w:tcBorders>
              <w:top w:val="nil"/>
              <w:left w:val="nil"/>
              <w:bottom w:val="nil"/>
              <w:right w:val="nil"/>
            </w:tcBorders>
            <w:shd w:val="clear" w:color="auto" w:fill="auto"/>
            <w:noWrap/>
            <w:vAlign w:val="bottom"/>
            <w:hideMark/>
          </w:tcPr>
          <w:p w:rsidR="00071E76" w:rsidRDefault="00071E76">
            <w:pPr>
              <w:rPr>
                <w:rFonts w:ascii="Calibri" w:hAnsi="Calibri" w:cs="Calibri"/>
                <w:color w:val="000000"/>
                <w:sz w:val="16"/>
                <w:szCs w:val="16"/>
              </w:rPr>
            </w:pPr>
          </w:p>
        </w:tc>
      </w:tr>
      <w:tr w:rsidR="00071E76" w:rsidTr="006964F2">
        <w:trPr>
          <w:trHeight w:val="687"/>
        </w:trPr>
        <w:tc>
          <w:tcPr>
            <w:tcW w:w="1078" w:type="dxa"/>
            <w:tcBorders>
              <w:top w:val="nil"/>
              <w:left w:val="nil"/>
              <w:bottom w:val="single" w:sz="8" w:space="0" w:color="auto"/>
              <w:right w:val="nil"/>
            </w:tcBorders>
            <w:shd w:val="clear" w:color="auto" w:fill="auto"/>
            <w:vAlign w:val="bottom"/>
            <w:hideMark/>
          </w:tcPr>
          <w:p w:rsidR="00071E76" w:rsidRDefault="00071E76">
            <w:pPr>
              <w:jc w:val="center"/>
              <w:rPr>
                <w:color w:val="000000"/>
                <w:sz w:val="16"/>
                <w:szCs w:val="16"/>
              </w:rPr>
            </w:pPr>
            <w:r>
              <w:rPr>
                <w:color w:val="000000"/>
                <w:sz w:val="16"/>
                <w:szCs w:val="16"/>
              </w:rPr>
              <w:t xml:space="preserve">            Quarter End Date</w:t>
            </w:r>
          </w:p>
        </w:tc>
        <w:tc>
          <w:tcPr>
            <w:tcW w:w="232" w:type="dxa"/>
            <w:tcBorders>
              <w:top w:val="nil"/>
              <w:left w:val="nil"/>
              <w:bottom w:val="nil"/>
              <w:right w:val="nil"/>
            </w:tcBorders>
            <w:shd w:val="clear" w:color="auto" w:fill="auto"/>
            <w:vAlign w:val="bottom"/>
            <w:hideMark/>
          </w:tcPr>
          <w:p w:rsidR="00071E76" w:rsidRDefault="00071E76">
            <w:pPr>
              <w:jc w:val="center"/>
              <w:rPr>
                <w:color w:val="000000"/>
                <w:sz w:val="16"/>
                <w:szCs w:val="16"/>
              </w:rPr>
            </w:pPr>
          </w:p>
        </w:tc>
        <w:tc>
          <w:tcPr>
            <w:tcW w:w="1097" w:type="dxa"/>
            <w:tcBorders>
              <w:top w:val="nil"/>
              <w:left w:val="nil"/>
              <w:bottom w:val="single" w:sz="8" w:space="0" w:color="auto"/>
              <w:right w:val="nil"/>
            </w:tcBorders>
            <w:shd w:val="clear" w:color="auto" w:fill="auto"/>
            <w:vAlign w:val="bottom"/>
            <w:hideMark/>
          </w:tcPr>
          <w:p w:rsidR="00071E76" w:rsidRDefault="00071E76">
            <w:pPr>
              <w:jc w:val="center"/>
              <w:rPr>
                <w:color w:val="000000"/>
                <w:sz w:val="16"/>
                <w:szCs w:val="16"/>
              </w:rPr>
            </w:pPr>
            <w:r>
              <w:rPr>
                <w:color w:val="000000"/>
                <w:sz w:val="16"/>
                <w:szCs w:val="16"/>
              </w:rPr>
              <w:t xml:space="preserve">          Beginning Subscriptions</w:t>
            </w:r>
          </w:p>
        </w:tc>
        <w:tc>
          <w:tcPr>
            <w:tcW w:w="230" w:type="dxa"/>
            <w:tcBorders>
              <w:top w:val="nil"/>
              <w:left w:val="nil"/>
              <w:bottom w:val="nil"/>
              <w:right w:val="nil"/>
            </w:tcBorders>
            <w:shd w:val="clear" w:color="auto" w:fill="auto"/>
            <w:vAlign w:val="bottom"/>
            <w:hideMark/>
          </w:tcPr>
          <w:p w:rsidR="00071E76" w:rsidRDefault="00071E76">
            <w:pPr>
              <w:jc w:val="center"/>
              <w:rPr>
                <w:color w:val="000000"/>
                <w:sz w:val="16"/>
                <w:szCs w:val="16"/>
              </w:rPr>
            </w:pPr>
          </w:p>
        </w:tc>
        <w:tc>
          <w:tcPr>
            <w:tcW w:w="1097" w:type="dxa"/>
            <w:tcBorders>
              <w:top w:val="nil"/>
              <w:left w:val="nil"/>
              <w:bottom w:val="single" w:sz="8" w:space="0" w:color="auto"/>
              <w:right w:val="nil"/>
            </w:tcBorders>
            <w:shd w:val="clear" w:color="auto" w:fill="auto"/>
            <w:vAlign w:val="bottom"/>
            <w:hideMark/>
          </w:tcPr>
          <w:p w:rsidR="00071E76" w:rsidRDefault="00071E76">
            <w:pPr>
              <w:jc w:val="center"/>
              <w:rPr>
                <w:color w:val="000000"/>
                <w:sz w:val="16"/>
                <w:szCs w:val="16"/>
              </w:rPr>
            </w:pPr>
            <w:r>
              <w:rPr>
                <w:color w:val="000000"/>
                <w:sz w:val="16"/>
                <w:szCs w:val="16"/>
              </w:rPr>
              <w:t xml:space="preserve">                   New Subscriptions</w:t>
            </w:r>
          </w:p>
        </w:tc>
        <w:tc>
          <w:tcPr>
            <w:tcW w:w="230" w:type="dxa"/>
            <w:tcBorders>
              <w:top w:val="nil"/>
              <w:left w:val="nil"/>
              <w:bottom w:val="nil"/>
              <w:right w:val="nil"/>
            </w:tcBorders>
            <w:shd w:val="clear" w:color="auto" w:fill="auto"/>
            <w:vAlign w:val="bottom"/>
            <w:hideMark/>
          </w:tcPr>
          <w:p w:rsidR="00071E76" w:rsidRDefault="00071E76">
            <w:pPr>
              <w:jc w:val="center"/>
              <w:rPr>
                <w:color w:val="000000"/>
                <w:sz w:val="16"/>
                <w:szCs w:val="16"/>
              </w:rPr>
            </w:pPr>
          </w:p>
        </w:tc>
        <w:tc>
          <w:tcPr>
            <w:tcW w:w="1042" w:type="dxa"/>
            <w:tcBorders>
              <w:top w:val="nil"/>
              <w:left w:val="nil"/>
              <w:bottom w:val="single" w:sz="8" w:space="0" w:color="auto"/>
              <w:right w:val="nil"/>
            </w:tcBorders>
            <w:shd w:val="clear" w:color="auto" w:fill="auto"/>
            <w:vAlign w:val="bottom"/>
            <w:hideMark/>
          </w:tcPr>
          <w:p w:rsidR="00071E76" w:rsidRDefault="00071E76">
            <w:pPr>
              <w:jc w:val="center"/>
              <w:rPr>
                <w:color w:val="000000"/>
                <w:sz w:val="16"/>
                <w:szCs w:val="16"/>
              </w:rPr>
            </w:pPr>
            <w:r>
              <w:rPr>
                <w:color w:val="000000"/>
                <w:sz w:val="16"/>
                <w:szCs w:val="16"/>
              </w:rPr>
              <w:t xml:space="preserve">            Renewed Subscriptions</w:t>
            </w:r>
          </w:p>
        </w:tc>
        <w:tc>
          <w:tcPr>
            <w:tcW w:w="230" w:type="dxa"/>
            <w:tcBorders>
              <w:top w:val="nil"/>
              <w:left w:val="nil"/>
              <w:bottom w:val="nil"/>
              <w:right w:val="nil"/>
            </w:tcBorders>
            <w:shd w:val="clear" w:color="auto" w:fill="auto"/>
            <w:vAlign w:val="bottom"/>
            <w:hideMark/>
          </w:tcPr>
          <w:p w:rsidR="00071E76" w:rsidRDefault="00071E76">
            <w:pPr>
              <w:jc w:val="center"/>
              <w:rPr>
                <w:color w:val="000000"/>
                <w:sz w:val="16"/>
                <w:szCs w:val="16"/>
              </w:rPr>
            </w:pPr>
          </w:p>
        </w:tc>
        <w:tc>
          <w:tcPr>
            <w:tcW w:w="806" w:type="dxa"/>
            <w:tcBorders>
              <w:top w:val="nil"/>
              <w:left w:val="nil"/>
              <w:bottom w:val="single" w:sz="8" w:space="0" w:color="auto"/>
              <w:right w:val="nil"/>
            </w:tcBorders>
            <w:shd w:val="clear" w:color="auto" w:fill="auto"/>
            <w:vAlign w:val="bottom"/>
            <w:hideMark/>
          </w:tcPr>
          <w:p w:rsidR="00071E76" w:rsidRDefault="00071E76">
            <w:pPr>
              <w:jc w:val="center"/>
              <w:rPr>
                <w:color w:val="000000"/>
                <w:sz w:val="16"/>
                <w:szCs w:val="16"/>
              </w:rPr>
            </w:pPr>
            <w:r>
              <w:rPr>
                <w:color w:val="000000"/>
                <w:sz w:val="16"/>
                <w:szCs w:val="16"/>
              </w:rPr>
              <w:t xml:space="preserve">    Renewal Rate</w:t>
            </w:r>
          </w:p>
        </w:tc>
        <w:tc>
          <w:tcPr>
            <w:tcW w:w="230" w:type="dxa"/>
            <w:tcBorders>
              <w:top w:val="nil"/>
              <w:left w:val="nil"/>
              <w:bottom w:val="nil"/>
              <w:right w:val="nil"/>
            </w:tcBorders>
            <w:shd w:val="clear" w:color="auto" w:fill="auto"/>
            <w:vAlign w:val="bottom"/>
            <w:hideMark/>
          </w:tcPr>
          <w:p w:rsidR="00071E76" w:rsidRDefault="00071E76">
            <w:pPr>
              <w:jc w:val="center"/>
              <w:rPr>
                <w:color w:val="000000"/>
                <w:sz w:val="16"/>
                <w:szCs w:val="16"/>
              </w:rPr>
            </w:pPr>
          </w:p>
        </w:tc>
        <w:tc>
          <w:tcPr>
            <w:tcW w:w="1061" w:type="dxa"/>
            <w:tcBorders>
              <w:top w:val="nil"/>
              <w:left w:val="nil"/>
              <w:bottom w:val="single" w:sz="8" w:space="0" w:color="auto"/>
              <w:right w:val="nil"/>
            </w:tcBorders>
            <w:shd w:val="clear" w:color="auto" w:fill="auto"/>
            <w:vAlign w:val="bottom"/>
            <w:hideMark/>
          </w:tcPr>
          <w:p w:rsidR="00071E76" w:rsidRDefault="00071E76">
            <w:pPr>
              <w:jc w:val="center"/>
              <w:rPr>
                <w:color w:val="000000"/>
                <w:sz w:val="16"/>
                <w:szCs w:val="16"/>
              </w:rPr>
            </w:pPr>
            <w:r>
              <w:rPr>
                <w:color w:val="000000"/>
                <w:sz w:val="16"/>
                <w:szCs w:val="16"/>
              </w:rPr>
              <w:t xml:space="preserve">     Subscriptions Ended</w:t>
            </w:r>
          </w:p>
        </w:tc>
        <w:tc>
          <w:tcPr>
            <w:tcW w:w="230" w:type="dxa"/>
            <w:tcBorders>
              <w:top w:val="nil"/>
              <w:left w:val="nil"/>
              <w:bottom w:val="nil"/>
              <w:right w:val="nil"/>
            </w:tcBorders>
            <w:shd w:val="clear" w:color="auto" w:fill="auto"/>
            <w:vAlign w:val="bottom"/>
            <w:hideMark/>
          </w:tcPr>
          <w:p w:rsidR="00071E76" w:rsidRDefault="00071E76">
            <w:pPr>
              <w:jc w:val="center"/>
              <w:rPr>
                <w:color w:val="000000"/>
                <w:sz w:val="16"/>
                <w:szCs w:val="16"/>
              </w:rPr>
            </w:pPr>
          </w:p>
        </w:tc>
        <w:tc>
          <w:tcPr>
            <w:tcW w:w="1097" w:type="dxa"/>
            <w:tcBorders>
              <w:top w:val="nil"/>
              <w:left w:val="nil"/>
              <w:bottom w:val="single" w:sz="8" w:space="0" w:color="auto"/>
              <w:right w:val="nil"/>
            </w:tcBorders>
            <w:shd w:val="clear" w:color="auto" w:fill="auto"/>
            <w:vAlign w:val="bottom"/>
            <w:hideMark/>
          </w:tcPr>
          <w:p w:rsidR="00071E76" w:rsidRDefault="00071E76">
            <w:pPr>
              <w:jc w:val="center"/>
              <w:rPr>
                <w:color w:val="000000"/>
                <w:sz w:val="16"/>
                <w:szCs w:val="16"/>
              </w:rPr>
            </w:pPr>
            <w:r>
              <w:rPr>
                <w:color w:val="000000"/>
                <w:sz w:val="16"/>
                <w:szCs w:val="16"/>
              </w:rPr>
              <w:t xml:space="preserve">             Quarter End Subscriptions</w:t>
            </w:r>
          </w:p>
        </w:tc>
        <w:tc>
          <w:tcPr>
            <w:tcW w:w="230" w:type="dxa"/>
            <w:tcBorders>
              <w:top w:val="nil"/>
              <w:left w:val="nil"/>
              <w:bottom w:val="nil"/>
              <w:right w:val="nil"/>
            </w:tcBorders>
            <w:shd w:val="clear" w:color="auto" w:fill="auto"/>
            <w:vAlign w:val="bottom"/>
            <w:hideMark/>
          </w:tcPr>
          <w:p w:rsidR="00071E76" w:rsidRDefault="00071E76">
            <w:pPr>
              <w:jc w:val="center"/>
              <w:rPr>
                <w:color w:val="000000"/>
                <w:sz w:val="16"/>
                <w:szCs w:val="16"/>
              </w:rPr>
            </w:pPr>
          </w:p>
        </w:tc>
        <w:tc>
          <w:tcPr>
            <w:tcW w:w="1042" w:type="dxa"/>
            <w:tcBorders>
              <w:top w:val="nil"/>
              <w:left w:val="nil"/>
              <w:bottom w:val="single" w:sz="8" w:space="0" w:color="auto"/>
              <w:right w:val="nil"/>
            </w:tcBorders>
            <w:shd w:val="clear" w:color="auto" w:fill="auto"/>
            <w:vAlign w:val="bottom"/>
            <w:hideMark/>
          </w:tcPr>
          <w:p w:rsidR="00071E76" w:rsidRDefault="00071E76">
            <w:pPr>
              <w:jc w:val="center"/>
              <w:rPr>
                <w:color w:val="000000"/>
                <w:sz w:val="16"/>
                <w:szCs w:val="16"/>
              </w:rPr>
            </w:pPr>
            <w:r>
              <w:rPr>
                <w:color w:val="000000"/>
                <w:sz w:val="16"/>
                <w:szCs w:val="16"/>
              </w:rPr>
              <w:t>Quarterly             Net New Subscriptions</w:t>
            </w:r>
          </w:p>
        </w:tc>
      </w:tr>
      <w:tr w:rsidR="00071E76" w:rsidTr="006964F2">
        <w:trPr>
          <w:trHeight w:val="224"/>
        </w:trPr>
        <w:tc>
          <w:tcPr>
            <w:tcW w:w="1078" w:type="dxa"/>
            <w:tcBorders>
              <w:top w:val="nil"/>
              <w:left w:val="nil"/>
              <w:bottom w:val="nil"/>
              <w:right w:val="nil"/>
            </w:tcBorders>
            <w:shd w:val="clear" w:color="auto" w:fill="auto"/>
            <w:noWrap/>
            <w:vAlign w:val="center"/>
            <w:hideMark/>
          </w:tcPr>
          <w:p w:rsidR="00071E76" w:rsidRDefault="00071E76">
            <w:pPr>
              <w:jc w:val="center"/>
              <w:rPr>
                <w:color w:val="000000"/>
                <w:sz w:val="16"/>
                <w:szCs w:val="16"/>
              </w:rPr>
            </w:pPr>
            <w:r>
              <w:rPr>
                <w:color w:val="000000"/>
                <w:sz w:val="16"/>
                <w:szCs w:val="16"/>
              </w:rPr>
              <w:t>3/31/2010</w:t>
            </w:r>
          </w:p>
        </w:tc>
        <w:tc>
          <w:tcPr>
            <w:tcW w:w="232" w:type="dxa"/>
            <w:tcBorders>
              <w:top w:val="nil"/>
              <w:left w:val="nil"/>
              <w:bottom w:val="nil"/>
              <w:right w:val="nil"/>
            </w:tcBorders>
            <w:shd w:val="clear" w:color="auto" w:fill="auto"/>
            <w:noWrap/>
            <w:vAlign w:val="center"/>
            <w:hideMark/>
          </w:tcPr>
          <w:p w:rsidR="00071E76" w:rsidRDefault="00071E76">
            <w:pPr>
              <w:jc w:val="center"/>
              <w:rPr>
                <w:color w:val="000000"/>
                <w:sz w:val="16"/>
                <w:szCs w:val="16"/>
              </w:rPr>
            </w:pPr>
          </w:p>
        </w:tc>
        <w:tc>
          <w:tcPr>
            <w:tcW w:w="1097"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11,667</w:t>
            </w:r>
          </w:p>
        </w:tc>
        <w:tc>
          <w:tcPr>
            <w:tcW w:w="230" w:type="dxa"/>
            <w:tcBorders>
              <w:top w:val="nil"/>
              <w:left w:val="nil"/>
              <w:bottom w:val="nil"/>
              <w:right w:val="nil"/>
            </w:tcBorders>
            <w:shd w:val="clear" w:color="auto" w:fill="auto"/>
            <w:vAlign w:val="center"/>
            <w:hideMark/>
          </w:tcPr>
          <w:p w:rsidR="00071E76" w:rsidRDefault="00071E76">
            <w:pPr>
              <w:jc w:val="center"/>
              <w:rPr>
                <w:color w:val="000000"/>
                <w:sz w:val="16"/>
                <w:szCs w:val="16"/>
              </w:rPr>
            </w:pPr>
          </w:p>
        </w:tc>
        <w:tc>
          <w:tcPr>
            <w:tcW w:w="1097"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728</w:t>
            </w:r>
          </w:p>
        </w:tc>
        <w:tc>
          <w:tcPr>
            <w:tcW w:w="230" w:type="dxa"/>
            <w:tcBorders>
              <w:top w:val="nil"/>
              <w:left w:val="nil"/>
              <w:bottom w:val="nil"/>
              <w:right w:val="nil"/>
            </w:tcBorders>
            <w:shd w:val="clear" w:color="auto" w:fill="auto"/>
            <w:vAlign w:val="center"/>
            <w:hideMark/>
          </w:tcPr>
          <w:p w:rsidR="00071E76" w:rsidRDefault="00071E76">
            <w:pPr>
              <w:jc w:val="center"/>
              <w:rPr>
                <w:color w:val="000000"/>
                <w:sz w:val="16"/>
                <w:szCs w:val="16"/>
              </w:rPr>
            </w:pPr>
          </w:p>
        </w:tc>
        <w:tc>
          <w:tcPr>
            <w:tcW w:w="1042"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2,087</w:t>
            </w:r>
          </w:p>
        </w:tc>
        <w:tc>
          <w:tcPr>
            <w:tcW w:w="230" w:type="dxa"/>
            <w:tcBorders>
              <w:top w:val="nil"/>
              <w:left w:val="nil"/>
              <w:bottom w:val="nil"/>
              <w:right w:val="nil"/>
            </w:tcBorders>
            <w:shd w:val="clear" w:color="auto" w:fill="auto"/>
            <w:vAlign w:val="center"/>
            <w:hideMark/>
          </w:tcPr>
          <w:p w:rsidR="00071E76" w:rsidRDefault="00071E76">
            <w:pPr>
              <w:jc w:val="center"/>
              <w:rPr>
                <w:color w:val="000000"/>
                <w:sz w:val="16"/>
                <w:szCs w:val="16"/>
              </w:rPr>
            </w:pPr>
          </w:p>
        </w:tc>
        <w:tc>
          <w:tcPr>
            <w:tcW w:w="806"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80%</w:t>
            </w:r>
          </w:p>
        </w:tc>
        <w:tc>
          <w:tcPr>
            <w:tcW w:w="230" w:type="dxa"/>
            <w:tcBorders>
              <w:top w:val="nil"/>
              <w:left w:val="nil"/>
              <w:bottom w:val="nil"/>
              <w:right w:val="nil"/>
            </w:tcBorders>
            <w:shd w:val="clear" w:color="auto" w:fill="auto"/>
            <w:vAlign w:val="center"/>
            <w:hideMark/>
          </w:tcPr>
          <w:p w:rsidR="00071E76" w:rsidRDefault="00071E76">
            <w:pPr>
              <w:jc w:val="center"/>
              <w:rPr>
                <w:color w:val="000000"/>
                <w:sz w:val="16"/>
                <w:szCs w:val="16"/>
              </w:rPr>
            </w:pPr>
          </w:p>
        </w:tc>
        <w:tc>
          <w:tcPr>
            <w:tcW w:w="1061"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2,606</w:t>
            </w:r>
          </w:p>
        </w:tc>
        <w:tc>
          <w:tcPr>
            <w:tcW w:w="230" w:type="dxa"/>
            <w:tcBorders>
              <w:top w:val="nil"/>
              <w:left w:val="nil"/>
              <w:bottom w:val="nil"/>
              <w:right w:val="nil"/>
            </w:tcBorders>
            <w:shd w:val="clear" w:color="auto" w:fill="auto"/>
            <w:vAlign w:val="center"/>
            <w:hideMark/>
          </w:tcPr>
          <w:p w:rsidR="00071E76" w:rsidRDefault="00071E76">
            <w:pPr>
              <w:jc w:val="center"/>
              <w:rPr>
                <w:color w:val="000000"/>
                <w:sz w:val="16"/>
                <w:szCs w:val="16"/>
              </w:rPr>
            </w:pPr>
          </w:p>
        </w:tc>
        <w:tc>
          <w:tcPr>
            <w:tcW w:w="1097"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11,876</w:t>
            </w:r>
          </w:p>
        </w:tc>
        <w:tc>
          <w:tcPr>
            <w:tcW w:w="230" w:type="dxa"/>
            <w:tcBorders>
              <w:top w:val="nil"/>
              <w:left w:val="nil"/>
              <w:bottom w:val="nil"/>
              <w:right w:val="nil"/>
            </w:tcBorders>
            <w:shd w:val="clear" w:color="auto" w:fill="auto"/>
            <w:vAlign w:val="center"/>
            <w:hideMark/>
          </w:tcPr>
          <w:p w:rsidR="00071E76" w:rsidRDefault="00071E76">
            <w:pPr>
              <w:jc w:val="center"/>
              <w:rPr>
                <w:color w:val="000000"/>
                <w:sz w:val="16"/>
                <w:szCs w:val="16"/>
              </w:rPr>
            </w:pPr>
          </w:p>
        </w:tc>
        <w:tc>
          <w:tcPr>
            <w:tcW w:w="1042"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 xml:space="preserve">209 </w:t>
            </w:r>
          </w:p>
        </w:tc>
      </w:tr>
      <w:tr w:rsidR="00071E76" w:rsidTr="006964F2">
        <w:trPr>
          <w:trHeight w:val="224"/>
        </w:trPr>
        <w:tc>
          <w:tcPr>
            <w:tcW w:w="1078" w:type="dxa"/>
            <w:tcBorders>
              <w:top w:val="nil"/>
              <w:left w:val="nil"/>
              <w:bottom w:val="nil"/>
              <w:right w:val="nil"/>
            </w:tcBorders>
            <w:shd w:val="clear" w:color="auto" w:fill="auto"/>
            <w:noWrap/>
            <w:vAlign w:val="center"/>
            <w:hideMark/>
          </w:tcPr>
          <w:p w:rsidR="00071E76" w:rsidRDefault="00071E76">
            <w:pPr>
              <w:jc w:val="center"/>
              <w:rPr>
                <w:color w:val="000000"/>
                <w:sz w:val="16"/>
                <w:szCs w:val="16"/>
              </w:rPr>
            </w:pPr>
            <w:r>
              <w:rPr>
                <w:color w:val="000000"/>
                <w:sz w:val="16"/>
                <w:szCs w:val="16"/>
              </w:rPr>
              <w:t>6/30/2010</w:t>
            </w:r>
          </w:p>
        </w:tc>
        <w:tc>
          <w:tcPr>
            <w:tcW w:w="232" w:type="dxa"/>
            <w:tcBorders>
              <w:top w:val="nil"/>
              <w:left w:val="nil"/>
              <w:bottom w:val="nil"/>
              <w:right w:val="nil"/>
            </w:tcBorders>
            <w:shd w:val="clear" w:color="auto" w:fill="auto"/>
            <w:noWrap/>
            <w:vAlign w:val="center"/>
            <w:hideMark/>
          </w:tcPr>
          <w:p w:rsidR="00071E76" w:rsidRDefault="00071E76">
            <w:pPr>
              <w:jc w:val="center"/>
              <w:rPr>
                <w:color w:val="000000"/>
                <w:sz w:val="16"/>
                <w:szCs w:val="16"/>
              </w:rPr>
            </w:pPr>
          </w:p>
        </w:tc>
        <w:tc>
          <w:tcPr>
            <w:tcW w:w="1097"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11,876</w:t>
            </w:r>
          </w:p>
        </w:tc>
        <w:tc>
          <w:tcPr>
            <w:tcW w:w="230" w:type="dxa"/>
            <w:tcBorders>
              <w:top w:val="nil"/>
              <w:left w:val="nil"/>
              <w:bottom w:val="nil"/>
              <w:right w:val="nil"/>
            </w:tcBorders>
            <w:shd w:val="clear" w:color="auto" w:fill="auto"/>
            <w:vAlign w:val="center"/>
            <w:hideMark/>
          </w:tcPr>
          <w:p w:rsidR="00071E76" w:rsidRDefault="00071E76">
            <w:pPr>
              <w:jc w:val="center"/>
              <w:rPr>
                <w:color w:val="000000"/>
                <w:sz w:val="16"/>
                <w:szCs w:val="16"/>
              </w:rPr>
            </w:pPr>
          </w:p>
        </w:tc>
        <w:tc>
          <w:tcPr>
            <w:tcW w:w="1097"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500</w:t>
            </w:r>
          </w:p>
        </w:tc>
        <w:tc>
          <w:tcPr>
            <w:tcW w:w="230" w:type="dxa"/>
            <w:tcBorders>
              <w:top w:val="nil"/>
              <w:left w:val="nil"/>
              <w:bottom w:val="nil"/>
              <w:right w:val="nil"/>
            </w:tcBorders>
            <w:shd w:val="clear" w:color="auto" w:fill="auto"/>
            <w:vAlign w:val="center"/>
            <w:hideMark/>
          </w:tcPr>
          <w:p w:rsidR="00071E76" w:rsidRDefault="00071E76">
            <w:pPr>
              <w:jc w:val="center"/>
              <w:rPr>
                <w:color w:val="000000"/>
                <w:sz w:val="16"/>
                <w:szCs w:val="16"/>
              </w:rPr>
            </w:pPr>
          </w:p>
        </w:tc>
        <w:tc>
          <w:tcPr>
            <w:tcW w:w="1042"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1,837</w:t>
            </w:r>
          </w:p>
        </w:tc>
        <w:tc>
          <w:tcPr>
            <w:tcW w:w="230" w:type="dxa"/>
            <w:tcBorders>
              <w:top w:val="nil"/>
              <w:left w:val="nil"/>
              <w:bottom w:val="nil"/>
              <w:right w:val="nil"/>
            </w:tcBorders>
            <w:shd w:val="clear" w:color="auto" w:fill="auto"/>
            <w:vAlign w:val="center"/>
            <w:hideMark/>
          </w:tcPr>
          <w:p w:rsidR="00071E76" w:rsidRDefault="00071E76">
            <w:pPr>
              <w:jc w:val="center"/>
              <w:rPr>
                <w:color w:val="000000"/>
                <w:sz w:val="16"/>
                <w:szCs w:val="16"/>
              </w:rPr>
            </w:pPr>
          </w:p>
        </w:tc>
        <w:tc>
          <w:tcPr>
            <w:tcW w:w="806"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72%</w:t>
            </w:r>
          </w:p>
        </w:tc>
        <w:tc>
          <w:tcPr>
            <w:tcW w:w="230" w:type="dxa"/>
            <w:tcBorders>
              <w:top w:val="nil"/>
              <w:left w:val="nil"/>
              <w:bottom w:val="nil"/>
              <w:right w:val="nil"/>
            </w:tcBorders>
            <w:shd w:val="clear" w:color="auto" w:fill="auto"/>
            <w:vAlign w:val="center"/>
            <w:hideMark/>
          </w:tcPr>
          <w:p w:rsidR="00071E76" w:rsidRDefault="00071E76">
            <w:pPr>
              <w:jc w:val="center"/>
              <w:rPr>
                <w:color w:val="000000"/>
                <w:sz w:val="16"/>
                <w:szCs w:val="16"/>
              </w:rPr>
            </w:pPr>
          </w:p>
        </w:tc>
        <w:tc>
          <w:tcPr>
            <w:tcW w:w="1061"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2,561</w:t>
            </w:r>
          </w:p>
        </w:tc>
        <w:tc>
          <w:tcPr>
            <w:tcW w:w="230" w:type="dxa"/>
            <w:tcBorders>
              <w:top w:val="nil"/>
              <w:left w:val="nil"/>
              <w:bottom w:val="nil"/>
              <w:right w:val="nil"/>
            </w:tcBorders>
            <w:shd w:val="clear" w:color="auto" w:fill="auto"/>
            <w:vAlign w:val="center"/>
            <w:hideMark/>
          </w:tcPr>
          <w:p w:rsidR="00071E76" w:rsidRDefault="00071E76">
            <w:pPr>
              <w:jc w:val="center"/>
              <w:rPr>
                <w:color w:val="000000"/>
                <w:sz w:val="16"/>
                <w:szCs w:val="16"/>
              </w:rPr>
            </w:pPr>
          </w:p>
        </w:tc>
        <w:tc>
          <w:tcPr>
            <w:tcW w:w="1097"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11,652</w:t>
            </w:r>
          </w:p>
        </w:tc>
        <w:tc>
          <w:tcPr>
            <w:tcW w:w="230" w:type="dxa"/>
            <w:tcBorders>
              <w:top w:val="nil"/>
              <w:left w:val="nil"/>
              <w:bottom w:val="nil"/>
              <w:right w:val="nil"/>
            </w:tcBorders>
            <w:shd w:val="clear" w:color="auto" w:fill="auto"/>
            <w:vAlign w:val="center"/>
            <w:hideMark/>
          </w:tcPr>
          <w:p w:rsidR="00071E76" w:rsidRDefault="00071E76">
            <w:pPr>
              <w:jc w:val="center"/>
              <w:rPr>
                <w:color w:val="000000"/>
                <w:sz w:val="16"/>
                <w:szCs w:val="16"/>
              </w:rPr>
            </w:pPr>
          </w:p>
        </w:tc>
        <w:tc>
          <w:tcPr>
            <w:tcW w:w="1042"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(224)</w:t>
            </w:r>
          </w:p>
        </w:tc>
      </w:tr>
      <w:tr w:rsidR="00071E76" w:rsidTr="006964F2">
        <w:trPr>
          <w:trHeight w:val="224"/>
        </w:trPr>
        <w:tc>
          <w:tcPr>
            <w:tcW w:w="1078" w:type="dxa"/>
            <w:tcBorders>
              <w:top w:val="nil"/>
              <w:left w:val="nil"/>
              <w:bottom w:val="nil"/>
              <w:right w:val="nil"/>
            </w:tcBorders>
            <w:shd w:val="clear" w:color="auto" w:fill="auto"/>
            <w:noWrap/>
            <w:vAlign w:val="center"/>
            <w:hideMark/>
          </w:tcPr>
          <w:p w:rsidR="00071E76" w:rsidRDefault="00071E76">
            <w:pPr>
              <w:jc w:val="center"/>
              <w:rPr>
                <w:color w:val="000000"/>
                <w:sz w:val="16"/>
                <w:szCs w:val="16"/>
              </w:rPr>
            </w:pPr>
            <w:r>
              <w:rPr>
                <w:color w:val="000000"/>
                <w:sz w:val="16"/>
                <w:szCs w:val="16"/>
              </w:rPr>
              <w:t>9/30/2010</w:t>
            </w:r>
          </w:p>
        </w:tc>
        <w:tc>
          <w:tcPr>
            <w:tcW w:w="232" w:type="dxa"/>
            <w:tcBorders>
              <w:top w:val="nil"/>
              <w:left w:val="nil"/>
              <w:bottom w:val="nil"/>
              <w:right w:val="nil"/>
            </w:tcBorders>
            <w:shd w:val="clear" w:color="auto" w:fill="auto"/>
            <w:noWrap/>
            <w:vAlign w:val="center"/>
            <w:hideMark/>
          </w:tcPr>
          <w:p w:rsidR="00071E76" w:rsidRDefault="00071E76">
            <w:pPr>
              <w:jc w:val="center"/>
              <w:rPr>
                <w:color w:val="000000"/>
                <w:sz w:val="16"/>
                <w:szCs w:val="16"/>
              </w:rPr>
            </w:pPr>
          </w:p>
        </w:tc>
        <w:tc>
          <w:tcPr>
            <w:tcW w:w="1097"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11,652</w:t>
            </w:r>
          </w:p>
        </w:tc>
        <w:tc>
          <w:tcPr>
            <w:tcW w:w="230" w:type="dxa"/>
            <w:tcBorders>
              <w:top w:val="nil"/>
              <w:left w:val="nil"/>
              <w:bottom w:val="nil"/>
              <w:right w:val="nil"/>
            </w:tcBorders>
            <w:shd w:val="clear" w:color="auto" w:fill="auto"/>
            <w:vAlign w:val="center"/>
            <w:hideMark/>
          </w:tcPr>
          <w:p w:rsidR="00071E76" w:rsidRDefault="00071E76">
            <w:pPr>
              <w:jc w:val="center"/>
              <w:rPr>
                <w:color w:val="000000"/>
                <w:sz w:val="16"/>
                <w:szCs w:val="16"/>
              </w:rPr>
            </w:pPr>
          </w:p>
        </w:tc>
        <w:tc>
          <w:tcPr>
            <w:tcW w:w="1097"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1,434</w:t>
            </w:r>
          </w:p>
        </w:tc>
        <w:tc>
          <w:tcPr>
            <w:tcW w:w="230" w:type="dxa"/>
            <w:tcBorders>
              <w:top w:val="nil"/>
              <w:left w:val="nil"/>
              <w:bottom w:val="nil"/>
              <w:right w:val="nil"/>
            </w:tcBorders>
            <w:shd w:val="clear" w:color="auto" w:fill="auto"/>
            <w:vAlign w:val="center"/>
            <w:hideMark/>
          </w:tcPr>
          <w:p w:rsidR="00071E76" w:rsidRDefault="00071E76">
            <w:pPr>
              <w:jc w:val="center"/>
              <w:rPr>
                <w:color w:val="000000"/>
                <w:sz w:val="16"/>
                <w:szCs w:val="16"/>
              </w:rPr>
            </w:pPr>
          </w:p>
        </w:tc>
        <w:tc>
          <w:tcPr>
            <w:tcW w:w="1042"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3,440</w:t>
            </w:r>
          </w:p>
        </w:tc>
        <w:tc>
          <w:tcPr>
            <w:tcW w:w="230" w:type="dxa"/>
            <w:tcBorders>
              <w:top w:val="nil"/>
              <w:left w:val="nil"/>
              <w:bottom w:val="nil"/>
              <w:right w:val="nil"/>
            </w:tcBorders>
            <w:shd w:val="clear" w:color="auto" w:fill="auto"/>
            <w:vAlign w:val="center"/>
            <w:hideMark/>
          </w:tcPr>
          <w:p w:rsidR="00071E76" w:rsidRDefault="00071E76">
            <w:pPr>
              <w:jc w:val="center"/>
              <w:rPr>
                <w:color w:val="000000"/>
                <w:sz w:val="16"/>
                <w:szCs w:val="16"/>
              </w:rPr>
            </w:pPr>
          </w:p>
        </w:tc>
        <w:tc>
          <w:tcPr>
            <w:tcW w:w="806"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87%</w:t>
            </w:r>
          </w:p>
        </w:tc>
        <w:tc>
          <w:tcPr>
            <w:tcW w:w="230" w:type="dxa"/>
            <w:tcBorders>
              <w:top w:val="nil"/>
              <w:left w:val="nil"/>
              <w:bottom w:val="nil"/>
              <w:right w:val="nil"/>
            </w:tcBorders>
            <w:shd w:val="clear" w:color="auto" w:fill="auto"/>
            <w:vAlign w:val="center"/>
            <w:hideMark/>
          </w:tcPr>
          <w:p w:rsidR="00071E76" w:rsidRDefault="00071E76">
            <w:pPr>
              <w:jc w:val="center"/>
              <w:rPr>
                <w:color w:val="000000"/>
                <w:sz w:val="16"/>
                <w:szCs w:val="16"/>
              </w:rPr>
            </w:pPr>
          </w:p>
        </w:tc>
        <w:tc>
          <w:tcPr>
            <w:tcW w:w="1061"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3,932</w:t>
            </w:r>
          </w:p>
        </w:tc>
        <w:tc>
          <w:tcPr>
            <w:tcW w:w="230" w:type="dxa"/>
            <w:tcBorders>
              <w:top w:val="nil"/>
              <w:left w:val="nil"/>
              <w:bottom w:val="nil"/>
              <w:right w:val="nil"/>
            </w:tcBorders>
            <w:shd w:val="clear" w:color="auto" w:fill="auto"/>
            <w:vAlign w:val="center"/>
            <w:hideMark/>
          </w:tcPr>
          <w:p w:rsidR="00071E76" w:rsidRDefault="00071E76">
            <w:pPr>
              <w:jc w:val="center"/>
              <w:rPr>
                <w:color w:val="000000"/>
                <w:sz w:val="16"/>
                <w:szCs w:val="16"/>
              </w:rPr>
            </w:pPr>
          </w:p>
        </w:tc>
        <w:tc>
          <w:tcPr>
            <w:tcW w:w="1097"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12,594</w:t>
            </w:r>
          </w:p>
        </w:tc>
        <w:tc>
          <w:tcPr>
            <w:tcW w:w="230" w:type="dxa"/>
            <w:tcBorders>
              <w:top w:val="nil"/>
              <w:left w:val="nil"/>
              <w:bottom w:val="nil"/>
              <w:right w:val="nil"/>
            </w:tcBorders>
            <w:shd w:val="clear" w:color="auto" w:fill="auto"/>
            <w:vAlign w:val="center"/>
            <w:hideMark/>
          </w:tcPr>
          <w:p w:rsidR="00071E76" w:rsidRDefault="00071E76">
            <w:pPr>
              <w:jc w:val="center"/>
              <w:rPr>
                <w:color w:val="000000"/>
                <w:sz w:val="16"/>
                <w:szCs w:val="16"/>
              </w:rPr>
            </w:pPr>
          </w:p>
        </w:tc>
        <w:tc>
          <w:tcPr>
            <w:tcW w:w="1042"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 xml:space="preserve">942 </w:t>
            </w:r>
          </w:p>
        </w:tc>
      </w:tr>
      <w:tr w:rsidR="00071E76" w:rsidTr="006964F2">
        <w:trPr>
          <w:trHeight w:val="224"/>
        </w:trPr>
        <w:tc>
          <w:tcPr>
            <w:tcW w:w="1078" w:type="dxa"/>
            <w:tcBorders>
              <w:top w:val="nil"/>
              <w:left w:val="nil"/>
              <w:bottom w:val="nil"/>
              <w:right w:val="nil"/>
            </w:tcBorders>
            <w:shd w:val="clear" w:color="auto" w:fill="auto"/>
            <w:noWrap/>
            <w:vAlign w:val="center"/>
            <w:hideMark/>
          </w:tcPr>
          <w:p w:rsidR="00071E76" w:rsidRDefault="00071E76">
            <w:pPr>
              <w:jc w:val="center"/>
              <w:rPr>
                <w:color w:val="000000"/>
                <w:sz w:val="16"/>
                <w:szCs w:val="16"/>
              </w:rPr>
            </w:pPr>
            <w:r>
              <w:rPr>
                <w:color w:val="000000"/>
                <w:sz w:val="16"/>
                <w:szCs w:val="16"/>
              </w:rPr>
              <w:t>12/31/2010</w:t>
            </w:r>
          </w:p>
        </w:tc>
        <w:tc>
          <w:tcPr>
            <w:tcW w:w="232" w:type="dxa"/>
            <w:tcBorders>
              <w:top w:val="nil"/>
              <w:left w:val="nil"/>
              <w:bottom w:val="nil"/>
              <w:right w:val="nil"/>
            </w:tcBorders>
            <w:shd w:val="clear" w:color="auto" w:fill="auto"/>
            <w:noWrap/>
            <w:vAlign w:val="center"/>
            <w:hideMark/>
          </w:tcPr>
          <w:p w:rsidR="00071E76" w:rsidRDefault="00071E76">
            <w:pPr>
              <w:jc w:val="center"/>
              <w:rPr>
                <w:color w:val="000000"/>
                <w:sz w:val="16"/>
                <w:szCs w:val="16"/>
              </w:rPr>
            </w:pPr>
          </w:p>
        </w:tc>
        <w:tc>
          <w:tcPr>
            <w:tcW w:w="1097"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12,594</w:t>
            </w:r>
          </w:p>
        </w:tc>
        <w:tc>
          <w:tcPr>
            <w:tcW w:w="230" w:type="dxa"/>
            <w:tcBorders>
              <w:top w:val="nil"/>
              <w:left w:val="nil"/>
              <w:bottom w:val="nil"/>
              <w:right w:val="nil"/>
            </w:tcBorders>
            <w:shd w:val="clear" w:color="auto" w:fill="auto"/>
            <w:vAlign w:val="center"/>
            <w:hideMark/>
          </w:tcPr>
          <w:p w:rsidR="00071E76" w:rsidRDefault="00071E76">
            <w:pPr>
              <w:jc w:val="center"/>
              <w:rPr>
                <w:color w:val="000000"/>
                <w:sz w:val="16"/>
                <w:szCs w:val="16"/>
              </w:rPr>
            </w:pPr>
          </w:p>
        </w:tc>
        <w:tc>
          <w:tcPr>
            <w:tcW w:w="1097"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873</w:t>
            </w:r>
          </w:p>
        </w:tc>
        <w:tc>
          <w:tcPr>
            <w:tcW w:w="230" w:type="dxa"/>
            <w:tcBorders>
              <w:top w:val="nil"/>
              <w:left w:val="nil"/>
              <w:bottom w:val="nil"/>
              <w:right w:val="nil"/>
            </w:tcBorders>
            <w:shd w:val="clear" w:color="auto" w:fill="auto"/>
            <w:vAlign w:val="center"/>
            <w:hideMark/>
          </w:tcPr>
          <w:p w:rsidR="00071E76" w:rsidRDefault="00071E76">
            <w:pPr>
              <w:jc w:val="center"/>
              <w:rPr>
                <w:color w:val="000000"/>
                <w:sz w:val="16"/>
                <w:szCs w:val="16"/>
              </w:rPr>
            </w:pPr>
          </w:p>
        </w:tc>
        <w:tc>
          <w:tcPr>
            <w:tcW w:w="1042"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2,192</w:t>
            </w:r>
          </w:p>
        </w:tc>
        <w:tc>
          <w:tcPr>
            <w:tcW w:w="230" w:type="dxa"/>
            <w:tcBorders>
              <w:top w:val="nil"/>
              <w:left w:val="nil"/>
              <w:bottom w:val="nil"/>
              <w:right w:val="nil"/>
            </w:tcBorders>
            <w:shd w:val="clear" w:color="auto" w:fill="auto"/>
            <w:vAlign w:val="center"/>
            <w:hideMark/>
          </w:tcPr>
          <w:p w:rsidR="00071E76" w:rsidRDefault="00071E76">
            <w:pPr>
              <w:jc w:val="center"/>
              <w:rPr>
                <w:color w:val="000000"/>
                <w:sz w:val="16"/>
                <w:szCs w:val="16"/>
              </w:rPr>
            </w:pPr>
          </w:p>
        </w:tc>
        <w:tc>
          <w:tcPr>
            <w:tcW w:w="806"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66%</w:t>
            </w:r>
          </w:p>
        </w:tc>
        <w:tc>
          <w:tcPr>
            <w:tcW w:w="230" w:type="dxa"/>
            <w:tcBorders>
              <w:top w:val="nil"/>
              <w:left w:val="nil"/>
              <w:bottom w:val="nil"/>
              <w:right w:val="nil"/>
            </w:tcBorders>
            <w:shd w:val="clear" w:color="auto" w:fill="auto"/>
            <w:vAlign w:val="center"/>
            <w:hideMark/>
          </w:tcPr>
          <w:p w:rsidR="00071E76" w:rsidRDefault="00071E76">
            <w:pPr>
              <w:jc w:val="center"/>
              <w:rPr>
                <w:color w:val="000000"/>
                <w:sz w:val="16"/>
                <w:szCs w:val="16"/>
              </w:rPr>
            </w:pPr>
          </w:p>
        </w:tc>
        <w:tc>
          <w:tcPr>
            <w:tcW w:w="1061"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3,299</w:t>
            </w:r>
          </w:p>
        </w:tc>
        <w:tc>
          <w:tcPr>
            <w:tcW w:w="230" w:type="dxa"/>
            <w:tcBorders>
              <w:top w:val="nil"/>
              <w:left w:val="nil"/>
              <w:bottom w:val="nil"/>
              <w:right w:val="nil"/>
            </w:tcBorders>
            <w:shd w:val="clear" w:color="auto" w:fill="auto"/>
            <w:vAlign w:val="center"/>
            <w:hideMark/>
          </w:tcPr>
          <w:p w:rsidR="00071E76" w:rsidRDefault="00071E76">
            <w:pPr>
              <w:jc w:val="center"/>
              <w:rPr>
                <w:color w:val="000000"/>
                <w:sz w:val="16"/>
                <w:szCs w:val="16"/>
              </w:rPr>
            </w:pPr>
          </w:p>
        </w:tc>
        <w:tc>
          <w:tcPr>
            <w:tcW w:w="1097"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12,360</w:t>
            </w:r>
          </w:p>
        </w:tc>
        <w:tc>
          <w:tcPr>
            <w:tcW w:w="230" w:type="dxa"/>
            <w:tcBorders>
              <w:top w:val="nil"/>
              <w:left w:val="nil"/>
              <w:bottom w:val="nil"/>
              <w:right w:val="nil"/>
            </w:tcBorders>
            <w:shd w:val="clear" w:color="auto" w:fill="auto"/>
            <w:vAlign w:val="center"/>
            <w:hideMark/>
          </w:tcPr>
          <w:p w:rsidR="00071E76" w:rsidRDefault="00071E76">
            <w:pPr>
              <w:jc w:val="center"/>
              <w:rPr>
                <w:color w:val="000000"/>
                <w:sz w:val="16"/>
                <w:szCs w:val="16"/>
              </w:rPr>
            </w:pPr>
          </w:p>
        </w:tc>
        <w:tc>
          <w:tcPr>
            <w:tcW w:w="1042"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(234)</w:t>
            </w:r>
          </w:p>
        </w:tc>
      </w:tr>
      <w:tr w:rsidR="00071E76" w:rsidTr="006964F2">
        <w:trPr>
          <w:trHeight w:val="224"/>
        </w:trPr>
        <w:tc>
          <w:tcPr>
            <w:tcW w:w="1078" w:type="dxa"/>
            <w:tcBorders>
              <w:top w:val="nil"/>
              <w:left w:val="nil"/>
              <w:bottom w:val="nil"/>
              <w:right w:val="nil"/>
            </w:tcBorders>
            <w:shd w:val="clear" w:color="auto" w:fill="auto"/>
            <w:noWrap/>
            <w:vAlign w:val="center"/>
            <w:hideMark/>
          </w:tcPr>
          <w:p w:rsidR="00071E76" w:rsidRDefault="00071E76">
            <w:pPr>
              <w:jc w:val="center"/>
              <w:rPr>
                <w:color w:val="000000"/>
                <w:sz w:val="16"/>
                <w:szCs w:val="16"/>
              </w:rPr>
            </w:pPr>
            <w:r>
              <w:rPr>
                <w:color w:val="000000"/>
                <w:sz w:val="16"/>
                <w:szCs w:val="16"/>
              </w:rPr>
              <w:t>3/31/2011</w:t>
            </w:r>
          </w:p>
        </w:tc>
        <w:tc>
          <w:tcPr>
            <w:tcW w:w="232" w:type="dxa"/>
            <w:tcBorders>
              <w:top w:val="nil"/>
              <w:left w:val="nil"/>
              <w:bottom w:val="nil"/>
              <w:right w:val="nil"/>
            </w:tcBorders>
            <w:shd w:val="clear" w:color="auto" w:fill="auto"/>
            <w:noWrap/>
            <w:vAlign w:val="center"/>
            <w:hideMark/>
          </w:tcPr>
          <w:p w:rsidR="00071E76" w:rsidRDefault="00071E76">
            <w:pPr>
              <w:jc w:val="center"/>
              <w:rPr>
                <w:color w:val="000000"/>
                <w:sz w:val="16"/>
                <w:szCs w:val="16"/>
              </w:rPr>
            </w:pPr>
          </w:p>
        </w:tc>
        <w:tc>
          <w:tcPr>
            <w:tcW w:w="1097"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12,360</w:t>
            </w:r>
          </w:p>
        </w:tc>
        <w:tc>
          <w:tcPr>
            <w:tcW w:w="230" w:type="dxa"/>
            <w:tcBorders>
              <w:top w:val="nil"/>
              <w:left w:val="nil"/>
              <w:bottom w:val="nil"/>
              <w:right w:val="nil"/>
            </w:tcBorders>
            <w:shd w:val="clear" w:color="auto" w:fill="auto"/>
            <w:vAlign w:val="center"/>
            <w:hideMark/>
          </w:tcPr>
          <w:p w:rsidR="00071E76" w:rsidRDefault="00071E76">
            <w:pPr>
              <w:jc w:val="center"/>
              <w:rPr>
                <w:color w:val="000000"/>
                <w:sz w:val="16"/>
                <w:szCs w:val="16"/>
              </w:rPr>
            </w:pPr>
          </w:p>
        </w:tc>
        <w:tc>
          <w:tcPr>
            <w:tcW w:w="1097"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741</w:t>
            </w:r>
          </w:p>
        </w:tc>
        <w:tc>
          <w:tcPr>
            <w:tcW w:w="230" w:type="dxa"/>
            <w:tcBorders>
              <w:top w:val="nil"/>
              <w:left w:val="nil"/>
              <w:bottom w:val="nil"/>
              <w:right w:val="nil"/>
            </w:tcBorders>
            <w:shd w:val="clear" w:color="auto" w:fill="auto"/>
            <w:vAlign w:val="center"/>
            <w:hideMark/>
          </w:tcPr>
          <w:p w:rsidR="00071E76" w:rsidRDefault="00071E76">
            <w:pPr>
              <w:jc w:val="center"/>
              <w:rPr>
                <w:color w:val="000000"/>
                <w:sz w:val="16"/>
                <w:szCs w:val="16"/>
              </w:rPr>
            </w:pPr>
          </w:p>
        </w:tc>
        <w:tc>
          <w:tcPr>
            <w:tcW w:w="1042"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2,026</w:t>
            </w:r>
          </w:p>
        </w:tc>
        <w:tc>
          <w:tcPr>
            <w:tcW w:w="230" w:type="dxa"/>
            <w:tcBorders>
              <w:top w:val="nil"/>
              <w:left w:val="nil"/>
              <w:bottom w:val="nil"/>
              <w:right w:val="nil"/>
            </w:tcBorders>
            <w:shd w:val="clear" w:color="auto" w:fill="auto"/>
            <w:vAlign w:val="center"/>
            <w:hideMark/>
          </w:tcPr>
          <w:p w:rsidR="00071E76" w:rsidRDefault="00071E76">
            <w:pPr>
              <w:jc w:val="center"/>
              <w:rPr>
                <w:color w:val="000000"/>
                <w:sz w:val="16"/>
                <w:szCs w:val="16"/>
              </w:rPr>
            </w:pPr>
          </w:p>
        </w:tc>
        <w:tc>
          <w:tcPr>
            <w:tcW w:w="806"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77%</w:t>
            </w:r>
          </w:p>
        </w:tc>
        <w:tc>
          <w:tcPr>
            <w:tcW w:w="230" w:type="dxa"/>
            <w:tcBorders>
              <w:top w:val="nil"/>
              <w:left w:val="nil"/>
              <w:bottom w:val="nil"/>
              <w:right w:val="nil"/>
            </w:tcBorders>
            <w:shd w:val="clear" w:color="auto" w:fill="auto"/>
            <w:vAlign w:val="center"/>
            <w:hideMark/>
          </w:tcPr>
          <w:p w:rsidR="00071E76" w:rsidRDefault="00071E76">
            <w:pPr>
              <w:jc w:val="center"/>
              <w:rPr>
                <w:color w:val="000000"/>
                <w:sz w:val="16"/>
                <w:szCs w:val="16"/>
              </w:rPr>
            </w:pPr>
          </w:p>
        </w:tc>
        <w:tc>
          <w:tcPr>
            <w:tcW w:w="1061"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2,618</w:t>
            </w:r>
          </w:p>
        </w:tc>
        <w:tc>
          <w:tcPr>
            <w:tcW w:w="230" w:type="dxa"/>
            <w:tcBorders>
              <w:top w:val="nil"/>
              <w:left w:val="nil"/>
              <w:bottom w:val="nil"/>
              <w:right w:val="nil"/>
            </w:tcBorders>
            <w:shd w:val="clear" w:color="auto" w:fill="auto"/>
            <w:vAlign w:val="center"/>
            <w:hideMark/>
          </w:tcPr>
          <w:p w:rsidR="00071E76" w:rsidRDefault="00071E76">
            <w:pPr>
              <w:jc w:val="center"/>
              <w:rPr>
                <w:color w:val="000000"/>
                <w:sz w:val="16"/>
                <w:szCs w:val="16"/>
              </w:rPr>
            </w:pPr>
          </w:p>
        </w:tc>
        <w:tc>
          <w:tcPr>
            <w:tcW w:w="1097"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12,509</w:t>
            </w:r>
          </w:p>
        </w:tc>
        <w:tc>
          <w:tcPr>
            <w:tcW w:w="230" w:type="dxa"/>
            <w:tcBorders>
              <w:top w:val="nil"/>
              <w:left w:val="nil"/>
              <w:bottom w:val="nil"/>
              <w:right w:val="nil"/>
            </w:tcBorders>
            <w:shd w:val="clear" w:color="auto" w:fill="auto"/>
            <w:vAlign w:val="center"/>
            <w:hideMark/>
          </w:tcPr>
          <w:p w:rsidR="00071E76" w:rsidRDefault="00071E76">
            <w:pPr>
              <w:jc w:val="center"/>
              <w:rPr>
                <w:color w:val="000000"/>
                <w:sz w:val="16"/>
                <w:szCs w:val="16"/>
              </w:rPr>
            </w:pPr>
          </w:p>
        </w:tc>
        <w:tc>
          <w:tcPr>
            <w:tcW w:w="1042"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 xml:space="preserve">149 </w:t>
            </w:r>
          </w:p>
        </w:tc>
      </w:tr>
      <w:tr w:rsidR="00071E76" w:rsidTr="006964F2">
        <w:trPr>
          <w:trHeight w:val="224"/>
        </w:trPr>
        <w:tc>
          <w:tcPr>
            <w:tcW w:w="1078" w:type="dxa"/>
            <w:tcBorders>
              <w:top w:val="nil"/>
              <w:left w:val="nil"/>
              <w:bottom w:val="nil"/>
              <w:right w:val="nil"/>
            </w:tcBorders>
            <w:shd w:val="clear" w:color="auto" w:fill="auto"/>
            <w:noWrap/>
            <w:vAlign w:val="center"/>
            <w:hideMark/>
          </w:tcPr>
          <w:p w:rsidR="00071E76" w:rsidRDefault="00071E76">
            <w:pPr>
              <w:jc w:val="center"/>
              <w:rPr>
                <w:color w:val="000000"/>
                <w:sz w:val="16"/>
                <w:szCs w:val="16"/>
              </w:rPr>
            </w:pPr>
            <w:r>
              <w:rPr>
                <w:color w:val="000000"/>
                <w:sz w:val="16"/>
                <w:szCs w:val="16"/>
              </w:rPr>
              <w:t>6/30/2011</w:t>
            </w:r>
          </w:p>
        </w:tc>
        <w:tc>
          <w:tcPr>
            <w:tcW w:w="232" w:type="dxa"/>
            <w:tcBorders>
              <w:top w:val="nil"/>
              <w:left w:val="nil"/>
              <w:bottom w:val="nil"/>
              <w:right w:val="nil"/>
            </w:tcBorders>
            <w:shd w:val="clear" w:color="auto" w:fill="auto"/>
            <w:noWrap/>
            <w:vAlign w:val="bottom"/>
            <w:hideMark/>
          </w:tcPr>
          <w:p w:rsidR="00071E76" w:rsidRDefault="00071E76">
            <w:pPr>
              <w:rPr>
                <w:rFonts w:ascii="Calibri" w:hAnsi="Calibri" w:cs="Calibri"/>
                <w:color w:val="000000"/>
                <w:sz w:val="16"/>
                <w:szCs w:val="16"/>
              </w:rPr>
            </w:pPr>
          </w:p>
        </w:tc>
        <w:tc>
          <w:tcPr>
            <w:tcW w:w="1097"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12,509</w:t>
            </w:r>
          </w:p>
        </w:tc>
        <w:tc>
          <w:tcPr>
            <w:tcW w:w="230" w:type="dxa"/>
            <w:tcBorders>
              <w:top w:val="nil"/>
              <w:left w:val="nil"/>
              <w:bottom w:val="nil"/>
              <w:right w:val="nil"/>
            </w:tcBorders>
            <w:shd w:val="clear" w:color="auto" w:fill="auto"/>
            <w:noWrap/>
            <w:vAlign w:val="bottom"/>
            <w:hideMark/>
          </w:tcPr>
          <w:p w:rsidR="00071E76" w:rsidRDefault="00071E76">
            <w:pPr>
              <w:rPr>
                <w:rFonts w:ascii="Calibri" w:hAnsi="Calibri" w:cs="Calibri"/>
                <w:color w:val="000000"/>
                <w:sz w:val="16"/>
                <w:szCs w:val="16"/>
              </w:rPr>
            </w:pPr>
          </w:p>
        </w:tc>
        <w:tc>
          <w:tcPr>
            <w:tcW w:w="1097"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742</w:t>
            </w:r>
          </w:p>
        </w:tc>
        <w:tc>
          <w:tcPr>
            <w:tcW w:w="230" w:type="dxa"/>
            <w:tcBorders>
              <w:top w:val="nil"/>
              <w:left w:val="nil"/>
              <w:bottom w:val="nil"/>
              <w:right w:val="nil"/>
            </w:tcBorders>
            <w:shd w:val="clear" w:color="auto" w:fill="auto"/>
            <w:noWrap/>
            <w:vAlign w:val="bottom"/>
            <w:hideMark/>
          </w:tcPr>
          <w:p w:rsidR="00071E76" w:rsidRDefault="00071E76">
            <w:pPr>
              <w:rPr>
                <w:rFonts w:ascii="Calibri" w:hAnsi="Calibri" w:cs="Calibri"/>
                <w:color w:val="000000"/>
                <w:sz w:val="16"/>
                <w:szCs w:val="16"/>
              </w:rPr>
            </w:pPr>
          </w:p>
        </w:tc>
        <w:tc>
          <w:tcPr>
            <w:tcW w:w="1042"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2,232</w:t>
            </w:r>
          </w:p>
        </w:tc>
        <w:tc>
          <w:tcPr>
            <w:tcW w:w="230" w:type="dxa"/>
            <w:tcBorders>
              <w:top w:val="nil"/>
              <w:left w:val="nil"/>
              <w:bottom w:val="nil"/>
              <w:right w:val="nil"/>
            </w:tcBorders>
            <w:shd w:val="clear" w:color="auto" w:fill="auto"/>
            <w:noWrap/>
            <w:vAlign w:val="bottom"/>
            <w:hideMark/>
          </w:tcPr>
          <w:p w:rsidR="00071E76" w:rsidRDefault="00071E76">
            <w:pPr>
              <w:rPr>
                <w:rFonts w:ascii="Calibri" w:hAnsi="Calibri" w:cs="Calibri"/>
                <w:color w:val="000000"/>
                <w:sz w:val="16"/>
                <w:szCs w:val="16"/>
              </w:rPr>
            </w:pPr>
          </w:p>
        </w:tc>
        <w:tc>
          <w:tcPr>
            <w:tcW w:w="806"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86%</w:t>
            </w:r>
          </w:p>
        </w:tc>
        <w:tc>
          <w:tcPr>
            <w:tcW w:w="230" w:type="dxa"/>
            <w:tcBorders>
              <w:top w:val="nil"/>
              <w:left w:val="nil"/>
              <w:bottom w:val="nil"/>
              <w:right w:val="nil"/>
            </w:tcBorders>
            <w:shd w:val="clear" w:color="auto" w:fill="auto"/>
            <w:noWrap/>
            <w:vAlign w:val="bottom"/>
            <w:hideMark/>
          </w:tcPr>
          <w:p w:rsidR="00071E76" w:rsidRDefault="00071E76">
            <w:pPr>
              <w:rPr>
                <w:rFonts w:ascii="Calibri" w:hAnsi="Calibri" w:cs="Calibri"/>
                <w:color w:val="000000"/>
                <w:sz w:val="16"/>
                <w:szCs w:val="16"/>
              </w:rPr>
            </w:pPr>
          </w:p>
        </w:tc>
        <w:tc>
          <w:tcPr>
            <w:tcW w:w="1061"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2,591</w:t>
            </w:r>
          </w:p>
        </w:tc>
        <w:tc>
          <w:tcPr>
            <w:tcW w:w="230" w:type="dxa"/>
            <w:tcBorders>
              <w:top w:val="nil"/>
              <w:left w:val="nil"/>
              <w:bottom w:val="nil"/>
              <w:right w:val="nil"/>
            </w:tcBorders>
            <w:shd w:val="clear" w:color="auto" w:fill="auto"/>
            <w:vAlign w:val="center"/>
            <w:hideMark/>
          </w:tcPr>
          <w:p w:rsidR="00071E76" w:rsidRDefault="00071E76">
            <w:pPr>
              <w:jc w:val="center"/>
              <w:rPr>
                <w:color w:val="000000"/>
                <w:sz w:val="16"/>
                <w:szCs w:val="16"/>
              </w:rPr>
            </w:pPr>
          </w:p>
        </w:tc>
        <w:tc>
          <w:tcPr>
            <w:tcW w:w="1097"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12,892</w:t>
            </w:r>
          </w:p>
        </w:tc>
        <w:tc>
          <w:tcPr>
            <w:tcW w:w="230" w:type="dxa"/>
            <w:tcBorders>
              <w:top w:val="nil"/>
              <w:left w:val="nil"/>
              <w:bottom w:val="nil"/>
              <w:right w:val="nil"/>
            </w:tcBorders>
            <w:shd w:val="clear" w:color="auto" w:fill="auto"/>
            <w:vAlign w:val="center"/>
            <w:hideMark/>
          </w:tcPr>
          <w:p w:rsidR="00071E76" w:rsidRDefault="00071E76">
            <w:pPr>
              <w:jc w:val="center"/>
              <w:rPr>
                <w:color w:val="000000"/>
                <w:sz w:val="16"/>
                <w:szCs w:val="16"/>
              </w:rPr>
            </w:pPr>
          </w:p>
        </w:tc>
        <w:tc>
          <w:tcPr>
            <w:tcW w:w="1042"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 xml:space="preserve">383 </w:t>
            </w:r>
          </w:p>
        </w:tc>
      </w:tr>
      <w:tr w:rsidR="00071E76" w:rsidTr="006964F2">
        <w:trPr>
          <w:trHeight w:val="224"/>
        </w:trPr>
        <w:tc>
          <w:tcPr>
            <w:tcW w:w="1078" w:type="dxa"/>
            <w:tcBorders>
              <w:top w:val="nil"/>
              <w:left w:val="nil"/>
              <w:bottom w:val="nil"/>
              <w:right w:val="nil"/>
            </w:tcBorders>
            <w:shd w:val="clear" w:color="auto" w:fill="auto"/>
            <w:noWrap/>
            <w:vAlign w:val="center"/>
            <w:hideMark/>
          </w:tcPr>
          <w:p w:rsidR="00071E76" w:rsidRDefault="00071E76">
            <w:pPr>
              <w:jc w:val="center"/>
              <w:rPr>
                <w:color w:val="000000"/>
                <w:sz w:val="16"/>
                <w:szCs w:val="16"/>
              </w:rPr>
            </w:pPr>
            <w:r>
              <w:rPr>
                <w:color w:val="000000"/>
                <w:sz w:val="16"/>
                <w:szCs w:val="16"/>
              </w:rPr>
              <w:t>9/30/2011</w:t>
            </w:r>
          </w:p>
        </w:tc>
        <w:tc>
          <w:tcPr>
            <w:tcW w:w="232" w:type="dxa"/>
            <w:tcBorders>
              <w:top w:val="nil"/>
              <w:left w:val="nil"/>
              <w:bottom w:val="nil"/>
              <w:right w:val="nil"/>
            </w:tcBorders>
            <w:shd w:val="clear" w:color="auto" w:fill="auto"/>
            <w:noWrap/>
            <w:vAlign w:val="bottom"/>
            <w:hideMark/>
          </w:tcPr>
          <w:p w:rsidR="00071E76" w:rsidRDefault="00071E76">
            <w:pPr>
              <w:rPr>
                <w:rFonts w:ascii="Calibri" w:hAnsi="Calibri" w:cs="Calibri"/>
                <w:color w:val="000000"/>
                <w:sz w:val="16"/>
                <w:szCs w:val="16"/>
              </w:rPr>
            </w:pPr>
          </w:p>
        </w:tc>
        <w:tc>
          <w:tcPr>
            <w:tcW w:w="1097"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12,892</w:t>
            </w:r>
          </w:p>
        </w:tc>
        <w:tc>
          <w:tcPr>
            <w:tcW w:w="230" w:type="dxa"/>
            <w:tcBorders>
              <w:top w:val="nil"/>
              <w:left w:val="nil"/>
              <w:bottom w:val="nil"/>
              <w:right w:val="nil"/>
            </w:tcBorders>
            <w:shd w:val="clear" w:color="auto" w:fill="auto"/>
            <w:noWrap/>
            <w:vAlign w:val="bottom"/>
            <w:hideMark/>
          </w:tcPr>
          <w:p w:rsidR="00071E76" w:rsidRDefault="00071E76">
            <w:pPr>
              <w:rPr>
                <w:rFonts w:ascii="Calibri" w:hAnsi="Calibri" w:cs="Calibri"/>
                <w:color w:val="000000"/>
                <w:sz w:val="16"/>
                <w:szCs w:val="16"/>
              </w:rPr>
            </w:pPr>
          </w:p>
        </w:tc>
        <w:tc>
          <w:tcPr>
            <w:tcW w:w="1097"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1,420</w:t>
            </w:r>
          </w:p>
        </w:tc>
        <w:tc>
          <w:tcPr>
            <w:tcW w:w="230" w:type="dxa"/>
            <w:tcBorders>
              <w:top w:val="nil"/>
              <w:left w:val="nil"/>
              <w:bottom w:val="nil"/>
              <w:right w:val="nil"/>
            </w:tcBorders>
            <w:shd w:val="clear" w:color="auto" w:fill="auto"/>
            <w:noWrap/>
            <w:vAlign w:val="bottom"/>
            <w:hideMark/>
          </w:tcPr>
          <w:p w:rsidR="00071E76" w:rsidRDefault="00071E76">
            <w:pPr>
              <w:rPr>
                <w:rFonts w:ascii="Calibri" w:hAnsi="Calibri" w:cs="Calibri"/>
                <w:color w:val="000000"/>
                <w:sz w:val="16"/>
                <w:szCs w:val="16"/>
              </w:rPr>
            </w:pPr>
          </w:p>
        </w:tc>
        <w:tc>
          <w:tcPr>
            <w:tcW w:w="1042"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3,957</w:t>
            </w:r>
          </w:p>
        </w:tc>
        <w:tc>
          <w:tcPr>
            <w:tcW w:w="230" w:type="dxa"/>
            <w:tcBorders>
              <w:top w:val="nil"/>
              <w:left w:val="nil"/>
              <w:bottom w:val="nil"/>
              <w:right w:val="nil"/>
            </w:tcBorders>
            <w:shd w:val="clear" w:color="auto" w:fill="auto"/>
            <w:noWrap/>
            <w:vAlign w:val="bottom"/>
            <w:hideMark/>
          </w:tcPr>
          <w:p w:rsidR="00071E76" w:rsidRDefault="00071E76">
            <w:pPr>
              <w:rPr>
                <w:rFonts w:ascii="Calibri" w:hAnsi="Calibri" w:cs="Calibri"/>
                <w:color w:val="000000"/>
                <w:sz w:val="16"/>
                <w:szCs w:val="16"/>
              </w:rPr>
            </w:pPr>
          </w:p>
        </w:tc>
        <w:tc>
          <w:tcPr>
            <w:tcW w:w="806"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80%</w:t>
            </w:r>
          </w:p>
        </w:tc>
        <w:tc>
          <w:tcPr>
            <w:tcW w:w="230" w:type="dxa"/>
            <w:tcBorders>
              <w:top w:val="nil"/>
              <w:left w:val="nil"/>
              <w:bottom w:val="nil"/>
              <w:right w:val="nil"/>
            </w:tcBorders>
            <w:shd w:val="clear" w:color="auto" w:fill="auto"/>
            <w:noWrap/>
            <w:vAlign w:val="bottom"/>
            <w:hideMark/>
          </w:tcPr>
          <w:p w:rsidR="00071E76" w:rsidRDefault="00071E76">
            <w:pPr>
              <w:rPr>
                <w:rFonts w:ascii="Calibri" w:hAnsi="Calibri" w:cs="Calibri"/>
                <w:color w:val="000000"/>
                <w:sz w:val="16"/>
                <w:szCs w:val="16"/>
              </w:rPr>
            </w:pPr>
          </w:p>
        </w:tc>
        <w:tc>
          <w:tcPr>
            <w:tcW w:w="1061"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4,972</w:t>
            </w:r>
          </w:p>
        </w:tc>
        <w:tc>
          <w:tcPr>
            <w:tcW w:w="230" w:type="dxa"/>
            <w:tcBorders>
              <w:top w:val="nil"/>
              <w:left w:val="nil"/>
              <w:bottom w:val="nil"/>
              <w:right w:val="nil"/>
            </w:tcBorders>
            <w:shd w:val="clear" w:color="auto" w:fill="auto"/>
            <w:vAlign w:val="center"/>
            <w:hideMark/>
          </w:tcPr>
          <w:p w:rsidR="00071E76" w:rsidRDefault="00071E76">
            <w:pPr>
              <w:jc w:val="center"/>
              <w:rPr>
                <w:color w:val="000000"/>
                <w:sz w:val="16"/>
                <w:szCs w:val="16"/>
              </w:rPr>
            </w:pPr>
          </w:p>
        </w:tc>
        <w:tc>
          <w:tcPr>
            <w:tcW w:w="1097"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13,297</w:t>
            </w:r>
          </w:p>
        </w:tc>
        <w:tc>
          <w:tcPr>
            <w:tcW w:w="230" w:type="dxa"/>
            <w:tcBorders>
              <w:top w:val="nil"/>
              <w:left w:val="nil"/>
              <w:bottom w:val="nil"/>
              <w:right w:val="nil"/>
            </w:tcBorders>
            <w:shd w:val="clear" w:color="auto" w:fill="auto"/>
            <w:vAlign w:val="center"/>
            <w:hideMark/>
          </w:tcPr>
          <w:p w:rsidR="00071E76" w:rsidRDefault="00071E76">
            <w:pPr>
              <w:jc w:val="center"/>
              <w:rPr>
                <w:color w:val="000000"/>
                <w:sz w:val="16"/>
                <w:szCs w:val="16"/>
              </w:rPr>
            </w:pPr>
          </w:p>
        </w:tc>
        <w:tc>
          <w:tcPr>
            <w:tcW w:w="1042"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 xml:space="preserve">405 </w:t>
            </w:r>
          </w:p>
        </w:tc>
      </w:tr>
      <w:tr w:rsidR="00071E76" w:rsidTr="006964F2">
        <w:trPr>
          <w:trHeight w:val="224"/>
        </w:trPr>
        <w:tc>
          <w:tcPr>
            <w:tcW w:w="1078" w:type="dxa"/>
            <w:tcBorders>
              <w:top w:val="nil"/>
              <w:left w:val="nil"/>
              <w:bottom w:val="nil"/>
              <w:right w:val="nil"/>
            </w:tcBorders>
            <w:shd w:val="clear" w:color="auto" w:fill="auto"/>
            <w:noWrap/>
            <w:vAlign w:val="center"/>
            <w:hideMark/>
          </w:tcPr>
          <w:p w:rsidR="00071E76" w:rsidRDefault="00071E76">
            <w:pPr>
              <w:jc w:val="center"/>
              <w:rPr>
                <w:color w:val="000000"/>
                <w:sz w:val="16"/>
                <w:szCs w:val="16"/>
              </w:rPr>
            </w:pPr>
            <w:r>
              <w:rPr>
                <w:color w:val="000000"/>
                <w:sz w:val="16"/>
                <w:szCs w:val="16"/>
              </w:rPr>
              <w:t>12/31/2011</w:t>
            </w:r>
          </w:p>
        </w:tc>
        <w:tc>
          <w:tcPr>
            <w:tcW w:w="232" w:type="dxa"/>
            <w:tcBorders>
              <w:top w:val="nil"/>
              <w:left w:val="nil"/>
              <w:bottom w:val="nil"/>
              <w:right w:val="nil"/>
            </w:tcBorders>
            <w:shd w:val="clear" w:color="auto" w:fill="auto"/>
            <w:noWrap/>
            <w:vAlign w:val="bottom"/>
            <w:hideMark/>
          </w:tcPr>
          <w:p w:rsidR="00071E76" w:rsidRDefault="00071E76">
            <w:pPr>
              <w:rPr>
                <w:rFonts w:ascii="Calibri" w:hAnsi="Calibri" w:cs="Calibri"/>
                <w:color w:val="000000"/>
                <w:sz w:val="16"/>
                <w:szCs w:val="16"/>
              </w:rPr>
            </w:pPr>
          </w:p>
        </w:tc>
        <w:tc>
          <w:tcPr>
            <w:tcW w:w="1097"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13,297</w:t>
            </w:r>
          </w:p>
        </w:tc>
        <w:tc>
          <w:tcPr>
            <w:tcW w:w="230" w:type="dxa"/>
            <w:tcBorders>
              <w:top w:val="nil"/>
              <w:left w:val="nil"/>
              <w:bottom w:val="nil"/>
              <w:right w:val="nil"/>
            </w:tcBorders>
            <w:shd w:val="clear" w:color="auto" w:fill="auto"/>
            <w:noWrap/>
            <w:vAlign w:val="bottom"/>
            <w:hideMark/>
          </w:tcPr>
          <w:p w:rsidR="00071E76" w:rsidRDefault="00071E76">
            <w:pPr>
              <w:rPr>
                <w:rFonts w:ascii="Calibri" w:hAnsi="Calibri" w:cs="Calibri"/>
                <w:color w:val="000000"/>
                <w:sz w:val="16"/>
                <w:szCs w:val="16"/>
              </w:rPr>
            </w:pPr>
          </w:p>
        </w:tc>
        <w:tc>
          <w:tcPr>
            <w:tcW w:w="1097"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894</w:t>
            </w:r>
          </w:p>
        </w:tc>
        <w:tc>
          <w:tcPr>
            <w:tcW w:w="230" w:type="dxa"/>
            <w:tcBorders>
              <w:top w:val="nil"/>
              <w:left w:val="nil"/>
              <w:bottom w:val="nil"/>
              <w:right w:val="nil"/>
            </w:tcBorders>
            <w:shd w:val="clear" w:color="auto" w:fill="auto"/>
            <w:noWrap/>
            <w:vAlign w:val="bottom"/>
            <w:hideMark/>
          </w:tcPr>
          <w:p w:rsidR="00071E76" w:rsidRDefault="00071E76">
            <w:pPr>
              <w:rPr>
                <w:rFonts w:ascii="Calibri" w:hAnsi="Calibri" w:cs="Calibri"/>
                <w:color w:val="000000"/>
                <w:sz w:val="16"/>
                <w:szCs w:val="16"/>
              </w:rPr>
            </w:pPr>
          </w:p>
        </w:tc>
        <w:tc>
          <w:tcPr>
            <w:tcW w:w="1042"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2,616</w:t>
            </w:r>
          </w:p>
        </w:tc>
        <w:tc>
          <w:tcPr>
            <w:tcW w:w="230" w:type="dxa"/>
            <w:tcBorders>
              <w:top w:val="nil"/>
              <w:left w:val="nil"/>
              <w:bottom w:val="nil"/>
              <w:right w:val="nil"/>
            </w:tcBorders>
            <w:shd w:val="clear" w:color="auto" w:fill="auto"/>
            <w:noWrap/>
            <w:vAlign w:val="bottom"/>
            <w:hideMark/>
          </w:tcPr>
          <w:p w:rsidR="00071E76" w:rsidRDefault="00071E76">
            <w:pPr>
              <w:rPr>
                <w:rFonts w:ascii="Calibri" w:hAnsi="Calibri" w:cs="Calibri"/>
                <w:color w:val="000000"/>
                <w:sz w:val="16"/>
                <w:szCs w:val="16"/>
              </w:rPr>
            </w:pPr>
          </w:p>
        </w:tc>
        <w:tc>
          <w:tcPr>
            <w:tcW w:w="806"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79%</w:t>
            </w:r>
          </w:p>
        </w:tc>
        <w:tc>
          <w:tcPr>
            <w:tcW w:w="230" w:type="dxa"/>
            <w:tcBorders>
              <w:top w:val="nil"/>
              <w:left w:val="nil"/>
              <w:bottom w:val="nil"/>
              <w:right w:val="nil"/>
            </w:tcBorders>
            <w:shd w:val="clear" w:color="auto" w:fill="auto"/>
            <w:noWrap/>
            <w:vAlign w:val="bottom"/>
            <w:hideMark/>
          </w:tcPr>
          <w:p w:rsidR="00071E76" w:rsidRDefault="00071E76">
            <w:pPr>
              <w:rPr>
                <w:rFonts w:ascii="Calibri" w:hAnsi="Calibri" w:cs="Calibri"/>
                <w:color w:val="000000"/>
                <w:sz w:val="16"/>
                <w:szCs w:val="16"/>
              </w:rPr>
            </w:pPr>
          </w:p>
        </w:tc>
        <w:tc>
          <w:tcPr>
            <w:tcW w:w="1061"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3,327</w:t>
            </w:r>
          </w:p>
        </w:tc>
        <w:tc>
          <w:tcPr>
            <w:tcW w:w="230" w:type="dxa"/>
            <w:tcBorders>
              <w:top w:val="nil"/>
              <w:left w:val="nil"/>
              <w:bottom w:val="nil"/>
              <w:right w:val="nil"/>
            </w:tcBorders>
            <w:shd w:val="clear" w:color="auto" w:fill="auto"/>
            <w:vAlign w:val="center"/>
            <w:hideMark/>
          </w:tcPr>
          <w:p w:rsidR="00071E76" w:rsidRDefault="00071E76">
            <w:pPr>
              <w:jc w:val="center"/>
              <w:rPr>
                <w:color w:val="000000"/>
                <w:sz w:val="16"/>
                <w:szCs w:val="16"/>
              </w:rPr>
            </w:pPr>
          </w:p>
        </w:tc>
        <w:tc>
          <w:tcPr>
            <w:tcW w:w="1097"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13,480</w:t>
            </w:r>
          </w:p>
        </w:tc>
        <w:tc>
          <w:tcPr>
            <w:tcW w:w="230" w:type="dxa"/>
            <w:tcBorders>
              <w:top w:val="nil"/>
              <w:left w:val="nil"/>
              <w:bottom w:val="nil"/>
              <w:right w:val="nil"/>
            </w:tcBorders>
            <w:shd w:val="clear" w:color="auto" w:fill="auto"/>
            <w:vAlign w:val="center"/>
            <w:hideMark/>
          </w:tcPr>
          <w:p w:rsidR="00071E76" w:rsidRDefault="00071E76">
            <w:pPr>
              <w:jc w:val="center"/>
              <w:rPr>
                <w:color w:val="000000"/>
                <w:sz w:val="16"/>
                <w:szCs w:val="16"/>
              </w:rPr>
            </w:pPr>
          </w:p>
        </w:tc>
        <w:tc>
          <w:tcPr>
            <w:tcW w:w="1042" w:type="dxa"/>
            <w:tcBorders>
              <w:top w:val="nil"/>
              <w:left w:val="nil"/>
              <w:bottom w:val="nil"/>
              <w:right w:val="nil"/>
            </w:tcBorders>
            <w:shd w:val="clear" w:color="auto" w:fill="auto"/>
            <w:vAlign w:val="center"/>
            <w:hideMark/>
          </w:tcPr>
          <w:p w:rsidR="00071E76" w:rsidRDefault="00071E76">
            <w:pPr>
              <w:jc w:val="center"/>
              <w:rPr>
                <w:color w:val="000000"/>
                <w:sz w:val="16"/>
                <w:szCs w:val="16"/>
              </w:rPr>
            </w:pPr>
            <w:r>
              <w:rPr>
                <w:color w:val="000000"/>
                <w:sz w:val="16"/>
                <w:szCs w:val="16"/>
              </w:rPr>
              <w:t xml:space="preserve">183 </w:t>
            </w:r>
          </w:p>
        </w:tc>
      </w:tr>
    </w:tbl>
    <w:p w:rsidR="00071E76" w:rsidRDefault="00071E76" w:rsidP="006964F2">
      <w:pPr>
        <w:spacing w:after="100" w:afterAutospacing="1"/>
        <w:rPr>
          <w:color w:val="000000"/>
          <w:sz w:val="20"/>
        </w:rPr>
      </w:pPr>
    </w:p>
    <w:p w:rsidR="002969C0" w:rsidRDefault="00071E76" w:rsidP="002969C0">
      <w:pPr>
        <w:spacing w:after="240"/>
        <w:ind w:firstLine="720"/>
        <w:rPr>
          <w:color w:val="000000"/>
          <w:sz w:val="20"/>
          <w:szCs w:val="20"/>
        </w:rPr>
      </w:pPr>
      <w:r>
        <w:rPr>
          <w:color w:val="000000"/>
          <w:sz w:val="20"/>
        </w:rPr>
        <w:t xml:space="preserve">We define renewed subscriptions as those subscriptions that educators purchase within the two-month period after their prior subscription ended. Because of changes to the start of school from year to year, fluctuations in the date that music teachers implement their curriculum, and promotional programs that encourage early renewals, the majority of subscribers renew their subscriptions within approximately a two-month window of the anniversary date of their previous subscription rather than exactly on the anniversary date. As a result, we believe that using the above definition of a renewal more accurately reflects the renewal rate for </w:t>
      </w:r>
      <w:proofErr w:type="spellStart"/>
      <w:r>
        <w:rPr>
          <w:color w:val="000000"/>
          <w:sz w:val="20"/>
        </w:rPr>
        <w:t>SmartMusic</w:t>
      </w:r>
      <w:proofErr w:type="spellEnd"/>
      <w:r>
        <w:rPr>
          <w:color w:val="000000"/>
          <w:sz w:val="20"/>
        </w:rPr>
        <w:t xml:space="preserve"> </w:t>
      </w:r>
      <w:r w:rsidR="002601ED">
        <w:rPr>
          <w:color w:val="000000"/>
          <w:sz w:val="20"/>
        </w:rPr>
        <w:t xml:space="preserve">educator </w:t>
      </w:r>
      <w:r>
        <w:rPr>
          <w:color w:val="000000"/>
          <w:sz w:val="20"/>
        </w:rPr>
        <w:t xml:space="preserve">subscriptions. </w:t>
      </w:r>
      <w:r w:rsidR="002969C0">
        <w:rPr>
          <w:color w:val="000000"/>
          <w:sz w:val="20"/>
          <w:szCs w:val="20"/>
        </w:rPr>
        <w:t>In the fourth quarter of 201</w:t>
      </w:r>
      <w:r w:rsidR="00DD03C2">
        <w:rPr>
          <w:color w:val="000000"/>
          <w:sz w:val="20"/>
          <w:szCs w:val="20"/>
        </w:rPr>
        <w:t>1</w:t>
      </w:r>
      <w:r w:rsidR="002969C0">
        <w:rPr>
          <w:color w:val="000000"/>
          <w:sz w:val="20"/>
          <w:szCs w:val="20"/>
        </w:rPr>
        <w:t xml:space="preserve">, the </w:t>
      </w:r>
      <w:r w:rsidR="00DD03C2">
        <w:rPr>
          <w:color w:val="000000"/>
          <w:sz w:val="20"/>
          <w:szCs w:val="20"/>
        </w:rPr>
        <w:t>educator</w:t>
      </w:r>
      <w:r w:rsidR="002969C0">
        <w:rPr>
          <w:color w:val="000000"/>
          <w:sz w:val="20"/>
          <w:szCs w:val="20"/>
        </w:rPr>
        <w:t xml:space="preserve"> renewal ra</w:t>
      </w:r>
      <w:r w:rsidR="00991641">
        <w:rPr>
          <w:color w:val="000000"/>
          <w:sz w:val="20"/>
          <w:szCs w:val="20"/>
        </w:rPr>
        <w:t xml:space="preserve">te </w:t>
      </w:r>
      <w:r w:rsidR="002601ED">
        <w:rPr>
          <w:color w:val="000000"/>
          <w:sz w:val="20"/>
          <w:szCs w:val="20"/>
        </w:rPr>
        <w:t>was generally comparable with prior quarters</w:t>
      </w:r>
      <w:r w:rsidR="00991641">
        <w:rPr>
          <w:color w:val="000000"/>
          <w:sz w:val="20"/>
          <w:szCs w:val="20"/>
        </w:rPr>
        <w:t>.</w:t>
      </w:r>
      <w:r w:rsidR="002969C0">
        <w:rPr>
          <w:color w:val="000000"/>
          <w:sz w:val="20"/>
          <w:szCs w:val="20"/>
        </w:rPr>
        <w:t xml:space="preserve"> </w:t>
      </w:r>
      <w:r w:rsidR="00DD03C2">
        <w:rPr>
          <w:color w:val="000000"/>
          <w:sz w:val="20"/>
        </w:rPr>
        <w:t xml:space="preserve">The educator renewal rate for the fourth quarter of 2011 was </w:t>
      </w:r>
      <w:r w:rsidR="00A541F2">
        <w:rPr>
          <w:color w:val="000000"/>
          <w:sz w:val="20"/>
        </w:rPr>
        <w:t>79</w:t>
      </w:r>
      <w:r w:rsidR="00DD03C2">
        <w:rPr>
          <w:color w:val="000000"/>
          <w:sz w:val="20"/>
        </w:rPr>
        <w:t>% compared to</w:t>
      </w:r>
      <w:r w:rsidR="00A541F2">
        <w:rPr>
          <w:color w:val="000000"/>
          <w:sz w:val="20"/>
        </w:rPr>
        <w:t xml:space="preserve"> 80% in the third quarter of 2011 and</w:t>
      </w:r>
      <w:r w:rsidR="00DD03C2">
        <w:rPr>
          <w:color w:val="000000"/>
          <w:sz w:val="20"/>
        </w:rPr>
        <w:t xml:space="preserve"> 86% in the second quarter of 2011.</w:t>
      </w:r>
      <w:r w:rsidR="00A541F2">
        <w:rPr>
          <w:color w:val="000000"/>
          <w:sz w:val="20"/>
        </w:rPr>
        <w:t>The educator renewal rate in the fourth</w:t>
      </w:r>
      <w:r w:rsidR="00C841C2">
        <w:rPr>
          <w:color w:val="000000"/>
          <w:sz w:val="20"/>
        </w:rPr>
        <w:t xml:space="preserve"> quarter of 2011</w:t>
      </w:r>
      <w:r w:rsidR="00A541F2">
        <w:rPr>
          <w:color w:val="000000"/>
          <w:sz w:val="20"/>
        </w:rPr>
        <w:t xml:space="preserve"> increased compared to the fourth quarter of 2010</w:t>
      </w:r>
      <w:r w:rsidR="00C841C2">
        <w:rPr>
          <w:color w:val="000000"/>
          <w:sz w:val="20"/>
        </w:rPr>
        <w:t xml:space="preserve"> rate of 66%</w:t>
      </w:r>
      <w:r w:rsidR="00A541F2">
        <w:rPr>
          <w:color w:val="000000"/>
          <w:sz w:val="20"/>
        </w:rPr>
        <w:t xml:space="preserve">. </w:t>
      </w:r>
      <w:r w:rsidR="002969C0">
        <w:rPr>
          <w:color w:val="000000"/>
          <w:sz w:val="20"/>
          <w:szCs w:val="20"/>
        </w:rPr>
        <w:t xml:space="preserve">We believe </w:t>
      </w:r>
      <w:r w:rsidR="00A541F2">
        <w:rPr>
          <w:color w:val="000000"/>
          <w:sz w:val="20"/>
          <w:szCs w:val="20"/>
        </w:rPr>
        <w:t xml:space="preserve">the lower renewal rate in the fourth quarter of 2010 </w:t>
      </w:r>
      <w:r w:rsidR="002969C0">
        <w:rPr>
          <w:color w:val="000000"/>
          <w:sz w:val="20"/>
          <w:szCs w:val="20"/>
        </w:rPr>
        <w:t>can be attributed to the price increase that was implemented during the third quarter</w:t>
      </w:r>
      <w:r w:rsidR="00A541F2">
        <w:rPr>
          <w:color w:val="000000"/>
          <w:sz w:val="20"/>
          <w:szCs w:val="20"/>
        </w:rPr>
        <w:t xml:space="preserve"> of 2010</w:t>
      </w:r>
      <w:r w:rsidR="002969C0">
        <w:rPr>
          <w:color w:val="000000"/>
          <w:sz w:val="20"/>
          <w:szCs w:val="20"/>
        </w:rPr>
        <w:t xml:space="preserve"> </w:t>
      </w:r>
      <w:r w:rsidR="006B7B09">
        <w:rPr>
          <w:color w:val="000000"/>
          <w:sz w:val="20"/>
          <w:szCs w:val="20"/>
        </w:rPr>
        <w:t xml:space="preserve">which </w:t>
      </w:r>
      <w:r w:rsidR="002969C0">
        <w:rPr>
          <w:color w:val="000000"/>
          <w:sz w:val="20"/>
          <w:szCs w:val="20"/>
        </w:rPr>
        <w:t xml:space="preserve">resulted in early renewals and purchases prior to the increase. </w:t>
      </w:r>
      <w:r w:rsidR="00A541F2">
        <w:rPr>
          <w:color w:val="000000"/>
          <w:sz w:val="20"/>
          <w:szCs w:val="20"/>
        </w:rPr>
        <w:t xml:space="preserve">Additionally, there were some educators who delayed adoption of </w:t>
      </w:r>
      <w:proofErr w:type="spellStart"/>
      <w:r w:rsidR="00A541F2">
        <w:rPr>
          <w:color w:val="000000"/>
          <w:sz w:val="20"/>
          <w:szCs w:val="20"/>
        </w:rPr>
        <w:t>SmartMusic</w:t>
      </w:r>
      <w:proofErr w:type="spellEnd"/>
      <w:r w:rsidR="00A541F2">
        <w:rPr>
          <w:color w:val="000000"/>
          <w:sz w:val="20"/>
          <w:szCs w:val="20"/>
        </w:rPr>
        <w:t xml:space="preserve"> due to the late release and product functionality delays in </w:t>
      </w:r>
      <w:proofErr w:type="spellStart"/>
      <w:r w:rsidR="00A541F2">
        <w:rPr>
          <w:color w:val="000000"/>
          <w:sz w:val="20"/>
          <w:szCs w:val="20"/>
        </w:rPr>
        <w:t>SmartMusic</w:t>
      </w:r>
      <w:proofErr w:type="spellEnd"/>
      <w:r w:rsidR="00A541F2">
        <w:rPr>
          <w:color w:val="000000"/>
          <w:sz w:val="20"/>
          <w:szCs w:val="20"/>
        </w:rPr>
        <w:t xml:space="preserve"> 2011 </w:t>
      </w:r>
      <w:proofErr w:type="spellStart"/>
      <w:r w:rsidR="00A541F2">
        <w:rPr>
          <w:color w:val="000000"/>
          <w:sz w:val="20"/>
          <w:szCs w:val="20"/>
        </w:rPr>
        <w:t>Gradebook</w:t>
      </w:r>
      <w:proofErr w:type="spellEnd"/>
      <w:r w:rsidR="00A541F2">
        <w:rPr>
          <w:color w:val="000000"/>
          <w:sz w:val="20"/>
          <w:szCs w:val="20"/>
        </w:rPr>
        <w:t xml:space="preserve">. </w:t>
      </w:r>
    </w:p>
    <w:p w:rsidR="00FB67AD" w:rsidRDefault="00FB67AD" w:rsidP="00FB67AD">
      <w:pPr>
        <w:spacing w:after="240"/>
        <w:ind w:firstLine="720"/>
        <w:rPr>
          <w:color w:val="000000"/>
          <w:sz w:val="20"/>
          <w:szCs w:val="20"/>
        </w:rPr>
      </w:pPr>
      <w:r>
        <w:rPr>
          <w:color w:val="000000"/>
          <w:sz w:val="20"/>
          <w:szCs w:val="20"/>
        </w:rPr>
        <w:t>We have achieved positive cash flow from operations for the last seven years, including the most recent year ended December 31, 2011. Our quarterly results will fluctuate as a result of the seasonality of the education market</w:t>
      </w:r>
      <w:r w:rsidR="002601ED">
        <w:rPr>
          <w:color w:val="000000"/>
          <w:sz w:val="20"/>
          <w:szCs w:val="20"/>
        </w:rPr>
        <w:t xml:space="preserve"> and timing of our Finale upgrade cycle</w:t>
      </w:r>
      <w:r>
        <w:rPr>
          <w:color w:val="000000"/>
          <w:sz w:val="20"/>
          <w:szCs w:val="20"/>
        </w:rPr>
        <w:t>. Due to current economic conditions</w:t>
      </w:r>
      <w:r w:rsidR="002601ED">
        <w:rPr>
          <w:color w:val="000000"/>
          <w:sz w:val="20"/>
          <w:szCs w:val="20"/>
        </w:rPr>
        <w:t xml:space="preserve">, </w:t>
      </w:r>
      <w:r>
        <w:rPr>
          <w:color w:val="000000"/>
          <w:sz w:val="20"/>
          <w:szCs w:val="20"/>
        </w:rPr>
        <w:t>concerns over school budgets</w:t>
      </w:r>
      <w:r w:rsidR="002601ED">
        <w:rPr>
          <w:color w:val="000000"/>
          <w:sz w:val="20"/>
          <w:szCs w:val="20"/>
        </w:rPr>
        <w:t xml:space="preserve"> and planned technology investments</w:t>
      </w:r>
      <w:r>
        <w:rPr>
          <w:color w:val="000000"/>
          <w:sz w:val="20"/>
          <w:szCs w:val="20"/>
        </w:rPr>
        <w:t xml:space="preserve">, we remain cautious regarding our future financial projections. However, with increased revenues and, in particular, the growth in </w:t>
      </w:r>
      <w:proofErr w:type="spellStart"/>
      <w:r>
        <w:rPr>
          <w:color w:val="000000"/>
          <w:sz w:val="20"/>
          <w:szCs w:val="20"/>
        </w:rPr>
        <w:t>SmartMusic</w:t>
      </w:r>
      <w:proofErr w:type="spellEnd"/>
      <w:r>
        <w:rPr>
          <w:color w:val="000000"/>
          <w:sz w:val="20"/>
          <w:szCs w:val="20"/>
        </w:rPr>
        <w:t xml:space="preserve"> subscriptions</w:t>
      </w:r>
      <w:r w:rsidR="002601ED">
        <w:rPr>
          <w:color w:val="000000"/>
          <w:sz w:val="20"/>
          <w:szCs w:val="20"/>
        </w:rPr>
        <w:t xml:space="preserve"> and acquisition of Garritan Corporation</w:t>
      </w:r>
      <w:r>
        <w:rPr>
          <w:color w:val="000000"/>
          <w:sz w:val="20"/>
          <w:szCs w:val="20"/>
        </w:rPr>
        <w:t>, we feel that we can continue to achieve positive operating cash flow for the next twelve months</w:t>
      </w:r>
      <w:r w:rsidR="00DD03C2">
        <w:rPr>
          <w:color w:val="000000"/>
          <w:sz w:val="20"/>
          <w:szCs w:val="20"/>
        </w:rPr>
        <w:t xml:space="preserve"> while continuing to make investments in our oper</w:t>
      </w:r>
      <w:r w:rsidR="00A541F2">
        <w:rPr>
          <w:color w:val="000000"/>
          <w:sz w:val="20"/>
          <w:szCs w:val="20"/>
        </w:rPr>
        <w:t>a</w:t>
      </w:r>
      <w:r w:rsidR="00DD03C2">
        <w:rPr>
          <w:color w:val="000000"/>
          <w:sz w:val="20"/>
          <w:szCs w:val="20"/>
        </w:rPr>
        <w:t>tions</w:t>
      </w:r>
      <w:r w:rsidR="001D767A">
        <w:rPr>
          <w:color w:val="000000"/>
          <w:sz w:val="20"/>
          <w:szCs w:val="20"/>
        </w:rPr>
        <w:t xml:space="preserve"> and technology</w:t>
      </w:r>
      <w:r w:rsidR="00DD03C2">
        <w:rPr>
          <w:color w:val="000000"/>
          <w:sz w:val="20"/>
          <w:szCs w:val="20"/>
        </w:rPr>
        <w:t>.</w:t>
      </w:r>
      <w:r>
        <w:rPr>
          <w:color w:val="000000"/>
          <w:sz w:val="20"/>
          <w:szCs w:val="20"/>
        </w:rPr>
        <w:t xml:space="preserve">   </w:t>
      </w:r>
    </w:p>
    <w:p w:rsidR="004851D7" w:rsidRDefault="004851D7">
      <w:pPr>
        <w:keepNext/>
        <w:spacing w:after="240"/>
        <w:rPr>
          <w:b/>
          <w:bCs/>
          <w:color w:val="000000"/>
          <w:sz w:val="20"/>
        </w:rPr>
      </w:pPr>
      <w:r>
        <w:rPr>
          <w:b/>
          <w:bCs/>
          <w:color w:val="000000"/>
          <w:sz w:val="20"/>
        </w:rPr>
        <w:t>Critical Accounting Estimates</w:t>
      </w:r>
    </w:p>
    <w:p w:rsidR="004851D7" w:rsidRDefault="004851D7">
      <w:pPr>
        <w:spacing w:after="240"/>
        <w:ind w:firstLine="720"/>
        <w:rPr>
          <w:color w:val="000000"/>
          <w:sz w:val="20"/>
        </w:rPr>
      </w:pPr>
      <w:r>
        <w:rPr>
          <w:color w:val="000000"/>
          <w:sz w:val="20"/>
        </w:rPr>
        <w:t>Our financial statements are prepared in conformity with U.S. generally accepted accounting principles. The preparation of these financial statements requires management to make significant estimates and assumptions that affect the reported amounts of assets and liabilities at the date of the financial statements and the reported amounts of revenues and expenses during the periods presented. We believe that the following are some of the more critical judgment areas in the application of our accounting policies that currently affect our financial position and results of operations.</w:t>
      </w:r>
    </w:p>
    <w:p w:rsidR="004851D7" w:rsidRDefault="004851D7">
      <w:pPr>
        <w:spacing w:after="240"/>
        <w:ind w:firstLine="720"/>
        <w:rPr>
          <w:color w:val="000000"/>
          <w:sz w:val="20"/>
        </w:rPr>
      </w:pPr>
      <w:proofErr w:type="gramStart"/>
      <w:r>
        <w:rPr>
          <w:b/>
          <w:bCs/>
          <w:color w:val="000000"/>
          <w:sz w:val="20"/>
        </w:rPr>
        <w:t>Allowance for doubtful accounts.</w:t>
      </w:r>
      <w:proofErr w:type="gramEnd"/>
      <w:r>
        <w:rPr>
          <w:b/>
          <w:bCs/>
          <w:color w:val="000000"/>
          <w:sz w:val="20"/>
        </w:rPr>
        <w:t xml:space="preserve">  </w:t>
      </w:r>
      <w:r>
        <w:rPr>
          <w:color w:val="000000"/>
          <w:sz w:val="20"/>
        </w:rPr>
        <w:t xml:space="preserve">Our distribution </w:t>
      </w:r>
      <w:r w:rsidR="004332AD">
        <w:rPr>
          <w:color w:val="000000"/>
          <w:sz w:val="20"/>
        </w:rPr>
        <w:t xml:space="preserve">of notation products </w:t>
      </w:r>
      <w:r>
        <w:rPr>
          <w:color w:val="000000"/>
          <w:sz w:val="20"/>
        </w:rPr>
        <w:t xml:space="preserve">in domestic and international markets through independent dealers and distributors concentrates relatively large amounts of receivables in relatively few customer accounts; however, none are greater than 10% of the total revenue. Some international customers pay for the product prior to shipment; domestic dealers and distributors who do not prepay are granted payment terms and credit limits based on credit checks and account history. We have successfully done business with most of our dealers and distributors for many years. There were no significant uncollectible accounts in </w:t>
      </w:r>
      <w:r w:rsidR="00D87090">
        <w:rPr>
          <w:color w:val="000000"/>
          <w:sz w:val="20"/>
        </w:rPr>
        <w:t xml:space="preserve">2011 </w:t>
      </w:r>
      <w:r>
        <w:rPr>
          <w:color w:val="000000"/>
          <w:sz w:val="20"/>
        </w:rPr>
        <w:t xml:space="preserve">or </w:t>
      </w:r>
      <w:r w:rsidR="00D87090">
        <w:rPr>
          <w:color w:val="000000"/>
          <w:sz w:val="20"/>
        </w:rPr>
        <w:t>2010</w:t>
      </w:r>
      <w:r>
        <w:rPr>
          <w:color w:val="000000"/>
          <w:sz w:val="20"/>
        </w:rPr>
        <w:t xml:space="preserve">. </w:t>
      </w:r>
    </w:p>
    <w:p w:rsidR="004851D7" w:rsidRDefault="004851D7">
      <w:pPr>
        <w:spacing w:after="240"/>
        <w:ind w:firstLine="720"/>
        <w:rPr>
          <w:b/>
          <w:color w:val="000000"/>
          <w:sz w:val="20"/>
        </w:rPr>
      </w:pPr>
      <w:r>
        <w:rPr>
          <w:color w:val="000000"/>
          <w:sz w:val="20"/>
        </w:rPr>
        <w:t xml:space="preserve">Any sales directly to home users are prepaid and schools submit purchase orders for purchases. </w:t>
      </w:r>
      <w:proofErr w:type="spellStart"/>
      <w:r>
        <w:rPr>
          <w:color w:val="000000"/>
          <w:sz w:val="20"/>
        </w:rPr>
        <w:t>MakeMusic</w:t>
      </w:r>
      <w:proofErr w:type="spellEnd"/>
      <w:r>
        <w:rPr>
          <w:color w:val="000000"/>
          <w:sz w:val="20"/>
        </w:rPr>
        <w:t xml:space="preserve"> records </w:t>
      </w:r>
      <w:r w:rsidR="00EE5AED">
        <w:rPr>
          <w:color w:val="000000"/>
          <w:sz w:val="20"/>
        </w:rPr>
        <w:t>an</w:t>
      </w:r>
      <w:r>
        <w:rPr>
          <w:color w:val="000000"/>
          <w:sz w:val="20"/>
        </w:rPr>
        <w:t xml:space="preserve"> accrual for potential non-payments, which has historically been sufficient to cover uncollected accounts. Financial conditions in international markets and economic conditions can change quickly and our allowance for doubtful accounts cannot anticipate all potential changes. </w:t>
      </w:r>
    </w:p>
    <w:p w:rsidR="004851D7" w:rsidRDefault="004851D7">
      <w:pPr>
        <w:spacing w:after="240"/>
        <w:ind w:firstLine="720"/>
        <w:rPr>
          <w:color w:val="000000"/>
          <w:sz w:val="20"/>
          <w:szCs w:val="20"/>
        </w:rPr>
      </w:pPr>
      <w:r>
        <w:rPr>
          <w:b/>
          <w:color w:val="000000"/>
          <w:sz w:val="20"/>
        </w:rPr>
        <w:t xml:space="preserve">Sales returns and allowance reserves. </w:t>
      </w:r>
      <w:r>
        <w:rPr>
          <w:color w:val="000000"/>
          <w:sz w:val="20"/>
          <w:szCs w:val="20"/>
        </w:rPr>
        <w:t xml:space="preserve"> </w:t>
      </w:r>
      <w:proofErr w:type="spellStart"/>
      <w:r>
        <w:rPr>
          <w:color w:val="000000"/>
          <w:sz w:val="20"/>
          <w:szCs w:val="20"/>
        </w:rPr>
        <w:t>SmartMusic</w:t>
      </w:r>
      <w:proofErr w:type="spellEnd"/>
      <w:r>
        <w:rPr>
          <w:color w:val="000000"/>
          <w:sz w:val="20"/>
          <w:szCs w:val="20"/>
        </w:rPr>
        <w:t xml:space="preserve"> teacher subscriptions automatically renew at the end of their subscription period. Notices of renewal are sent to the teacher in advance and an invoice is sent upon the renewal date. A reserve is booked for those subscriptions that automatically renew and are subsequently cancelled due to teacher relocation, teacher cancellation, or non-payment of accounts</w:t>
      </w:r>
      <w:r w:rsidR="00FD0755">
        <w:rPr>
          <w:color w:val="000000"/>
          <w:sz w:val="20"/>
          <w:szCs w:val="20"/>
        </w:rPr>
        <w:t>.</w:t>
      </w:r>
      <w:r>
        <w:rPr>
          <w:color w:val="000000"/>
          <w:sz w:val="20"/>
          <w:szCs w:val="20"/>
        </w:rPr>
        <w:t xml:space="preserve"> The reserve is then evaluated quarterly to determine if any adjustments are necessary.</w:t>
      </w:r>
    </w:p>
    <w:p w:rsidR="004851D7" w:rsidRDefault="004851D7">
      <w:pPr>
        <w:ind w:firstLine="720"/>
        <w:rPr>
          <w:color w:val="000000"/>
          <w:sz w:val="20"/>
          <w:szCs w:val="20"/>
        </w:rPr>
      </w:pPr>
      <w:r>
        <w:rPr>
          <w:color w:val="000000"/>
          <w:sz w:val="20"/>
        </w:rPr>
        <w:t xml:space="preserve">When a new version of Finale is released, dealers and distributors retain the right to return any unsold versions of the prior release (normally </w:t>
      </w:r>
      <w:r w:rsidR="00C841C2">
        <w:rPr>
          <w:color w:val="000000"/>
          <w:sz w:val="20"/>
        </w:rPr>
        <w:t xml:space="preserve">up to </w:t>
      </w:r>
      <w:r>
        <w:rPr>
          <w:color w:val="000000"/>
          <w:sz w:val="20"/>
        </w:rPr>
        <w:t>10% of total prior year sales) in exchange for an equal number of units of the updated version of the product that is returned. The history of these returns is tracked and revenue is deferred based on the expected return rate until the new product is released, at which time the product may be returned for credit provided the customer places an equivalent (number of units) order for the new version.</w:t>
      </w:r>
      <w:r>
        <w:rPr>
          <w:color w:val="000000"/>
          <w:sz w:val="20"/>
          <w:szCs w:val="20"/>
        </w:rPr>
        <w:t xml:space="preserve"> </w:t>
      </w:r>
    </w:p>
    <w:p w:rsidR="004851D7" w:rsidRDefault="004851D7">
      <w:pPr>
        <w:ind w:firstLine="720"/>
        <w:rPr>
          <w:color w:val="000000"/>
          <w:sz w:val="20"/>
          <w:szCs w:val="20"/>
        </w:rPr>
      </w:pPr>
    </w:p>
    <w:p w:rsidR="004851D7" w:rsidRDefault="004851D7">
      <w:pPr>
        <w:ind w:firstLine="720"/>
        <w:rPr>
          <w:b/>
          <w:bCs/>
          <w:color w:val="000000"/>
          <w:sz w:val="20"/>
        </w:rPr>
      </w:pPr>
      <w:proofErr w:type="gramStart"/>
      <w:r>
        <w:rPr>
          <w:b/>
          <w:bCs/>
          <w:color w:val="000000"/>
          <w:sz w:val="20"/>
        </w:rPr>
        <w:t>Inventory valuation.</w:t>
      </w:r>
      <w:proofErr w:type="gramEnd"/>
      <w:r>
        <w:rPr>
          <w:b/>
          <w:bCs/>
          <w:color w:val="000000"/>
          <w:sz w:val="20"/>
        </w:rPr>
        <w:t xml:space="preserve">  </w:t>
      </w:r>
      <w:r>
        <w:rPr>
          <w:color w:val="000000"/>
          <w:sz w:val="20"/>
        </w:rPr>
        <w:t>Inventories</w:t>
      </w:r>
      <w:r w:rsidR="00C841C2">
        <w:rPr>
          <w:color w:val="000000"/>
          <w:sz w:val="20"/>
        </w:rPr>
        <w:t>,</w:t>
      </w:r>
      <w:r>
        <w:rPr>
          <w:color w:val="000000"/>
          <w:sz w:val="20"/>
        </w:rPr>
        <w:t xml:space="preserve"> </w:t>
      </w:r>
      <w:r w:rsidR="00726AF5">
        <w:rPr>
          <w:color w:val="000000"/>
          <w:sz w:val="20"/>
        </w:rPr>
        <w:t xml:space="preserve">consisting of packaged product, materials and accessories </w:t>
      </w:r>
      <w:r>
        <w:rPr>
          <w:color w:val="000000"/>
          <w:sz w:val="20"/>
        </w:rPr>
        <w:t xml:space="preserve">are stated at the lower of cost or market, with cost being determined on a weighted average cost method. We record a provision to adjust slow-moving and obsolete inventories to the lower of cost or market based on historical experience and current product demand. The carrying value of inventory is evaluated at least quarterly and adjusted as needed. </w:t>
      </w:r>
      <w:r>
        <w:rPr>
          <w:color w:val="000000"/>
          <w:sz w:val="20"/>
          <w:szCs w:val="20"/>
        </w:rPr>
        <w:t xml:space="preserve">Inventory is reviewed for </w:t>
      </w:r>
      <w:r>
        <w:rPr>
          <w:color w:val="000000"/>
          <w:sz w:val="20"/>
        </w:rPr>
        <w:t>obsolescence</w:t>
      </w:r>
      <w:r>
        <w:rPr>
          <w:color w:val="000000"/>
          <w:sz w:val="20"/>
          <w:szCs w:val="20"/>
        </w:rPr>
        <w:t xml:space="preserve"> when the inventory is no longer used in products in their most current released version. </w:t>
      </w:r>
    </w:p>
    <w:p w:rsidR="004851D7" w:rsidRDefault="004851D7">
      <w:pPr>
        <w:ind w:firstLine="720"/>
        <w:rPr>
          <w:b/>
          <w:bCs/>
          <w:color w:val="000000"/>
          <w:sz w:val="20"/>
        </w:rPr>
      </w:pPr>
    </w:p>
    <w:p w:rsidR="004851D7" w:rsidRDefault="004851D7">
      <w:pPr>
        <w:ind w:firstLine="720"/>
        <w:rPr>
          <w:sz w:val="20"/>
          <w:szCs w:val="20"/>
        </w:rPr>
      </w:pPr>
      <w:r w:rsidRPr="00DA5B2D">
        <w:rPr>
          <w:b/>
          <w:bCs/>
          <w:color w:val="000000"/>
          <w:sz w:val="20"/>
        </w:rPr>
        <w:t xml:space="preserve">Stock based compensation.  </w:t>
      </w:r>
      <w:r w:rsidRPr="00DA5B2D">
        <w:rPr>
          <w:rFonts w:ascii="Times" w:hAnsi="Times" w:cs="Times"/>
          <w:sz w:val="20"/>
          <w:szCs w:val="20"/>
        </w:rPr>
        <w:t>Accounting</w:t>
      </w:r>
      <w:r>
        <w:rPr>
          <w:rFonts w:ascii="Times" w:hAnsi="Times" w:cs="Times"/>
          <w:sz w:val="20"/>
          <w:szCs w:val="20"/>
        </w:rPr>
        <w:t xml:space="preserve"> Standards Codification (ASC) 718, </w:t>
      </w:r>
      <w:r>
        <w:rPr>
          <w:rFonts w:ascii="Times" w:hAnsi="Times" w:cs="Times"/>
          <w:i/>
          <w:iCs/>
          <w:sz w:val="20"/>
          <w:szCs w:val="20"/>
        </w:rPr>
        <w:t>Compensation – Stock Compensation,</w:t>
      </w:r>
      <w:r>
        <w:rPr>
          <w:sz w:val="20"/>
          <w:szCs w:val="20"/>
        </w:rPr>
        <w:t xml:space="preserve"> requires us to measure and recognize in our Statements of Income the expense associated with all share-based payment awards made to employees and directors based on estimated fair values. We utilize the Black-Scholes option valuation model to measure the amount of compensation expense we recognize for each option award. There are several assumptions that we must make when using the Black-Scholes model such as the expected term of each option, the expected volatility of the stock price during the expected term of the option, the expected dividends payable, and the risk free interest rate expected during the option term. Of these assumptions, the expected term of the options and expected volatility of our common stock are the most difficult to estimate since they are based on the exercise behavior of employees and the expected future performance of our stock. </w:t>
      </w:r>
    </w:p>
    <w:p w:rsidR="004851D7" w:rsidRDefault="004851D7">
      <w:pPr>
        <w:ind w:firstLine="720"/>
        <w:rPr>
          <w:sz w:val="20"/>
          <w:szCs w:val="20"/>
        </w:rPr>
      </w:pPr>
    </w:p>
    <w:p w:rsidR="004851D7" w:rsidRDefault="004851D7">
      <w:pPr>
        <w:spacing w:after="240"/>
        <w:ind w:firstLine="720"/>
        <w:rPr>
          <w:b/>
          <w:bCs/>
          <w:color w:val="000000"/>
          <w:sz w:val="20"/>
        </w:rPr>
      </w:pPr>
      <w:r>
        <w:rPr>
          <w:b/>
          <w:bCs/>
          <w:color w:val="000000"/>
          <w:sz w:val="20"/>
        </w:rPr>
        <w:t xml:space="preserve">Capitalized software costs.  </w:t>
      </w:r>
      <w:r>
        <w:rPr>
          <w:color w:val="000000"/>
          <w:sz w:val="20"/>
        </w:rPr>
        <w:t xml:space="preserve">Costs incurred in the development of software products are capitalized in accordance with ASC 985-20, </w:t>
      </w:r>
      <w:r>
        <w:rPr>
          <w:i/>
          <w:color w:val="000000"/>
          <w:sz w:val="20"/>
        </w:rPr>
        <w:t>Software – Costs of Software to be Sold, Leased or Marketed,</w:t>
      </w:r>
      <w:r>
        <w:rPr>
          <w:color w:val="000000"/>
          <w:sz w:val="20"/>
        </w:rPr>
        <w:t xml:space="preserve"> which requires the capitalization of certain software development costs incurred after technological </w:t>
      </w:r>
      <w:proofErr w:type="gramStart"/>
      <w:r>
        <w:rPr>
          <w:color w:val="000000"/>
          <w:sz w:val="20"/>
        </w:rPr>
        <w:t>feasibility</w:t>
      </w:r>
      <w:proofErr w:type="gramEnd"/>
      <w:r>
        <w:rPr>
          <w:color w:val="000000"/>
          <w:sz w:val="20"/>
        </w:rPr>
        <w:t xml:space="preserve"> is established. Technological feasibility is established when the detailed program design and all planning and testing activities are completed. Capitalization of computer software costs shall cease when a product is available for general release to customers. We capitalize the costs of producing any new software product, which includes individual song titles to be included as repertoire with the </w:t>
      </w:r>
      <w:proofErr w:type="spellStart"/>
      <w:r>
        <w:rPr>
          <w:color w:val="000000"/>
          <w:sz w:val="20"/>
        </w:rPr>
        <w:t>SmartMusic</w:t>
      </w:r>
      <w:proofErr w:type="spellEnd"/>
      <w:r>
        <w:rPr>
          <w:color w:val="000000"/>
          <w:sz w:val="20"/>
        </w:rPr>
        <w:t xml:space="preserve"> product.</w:t>
      </w:r>
      <w:r w:rsidR="00DA5B2D">
        <w:rPr>
          <w:color w:val="000000"/>
          <w:sz w:val="20"/>
        </w:rPr>
        <w:t xml:space="preserve">  </w:t>
      </w:r>
      <w:r>
        <w:rPr>
          <w:color w:val="000000"/>
          <w:sz w:val="20"/>
        </w:rPr>
        <w:t xml:space="preserve">The estimated economic life of </w:t>
      </w:r>
      <w:proofErr w:type="spellStart"/>
      <w:r>
        <w:rPr>
          <w:color w:val="000000"/>
          <w:sz w:val="20"/>
        </w:rPr>
        <w:t>SmartMusic</w:t>
      </w:r>
      <w:proofErr w:type="spellEnd"/>
      <w:r>
        <w:rPr>
          <w:color w:val="000000"/>
          <w:sz w:val="20"/>
        </w:rPr>
        <w:t xml:space="preserve"> </w:t>
      </w:r>
      <w:proofErr w:type="spellStart"/>
      <w:r>
        <w:rPr>
          <w:color w:val="000000"/>
          <w:sz w:val="20"/>
        </w:rPr>
        <w:t>Gradebook</w:t>
      </w:r>
      <w:proofErr w:type="spellEnd"/>
      <w:r>
        <w:rPr>
          <w:color w:val="000000"/>
          <w:sz w:val="20"/>
        </w:rPr>
        <w:t xml:space="preserve">, whose capitalization and market introduction was completed in 2007, has been established as five years. This five-year amortization period is consistent with the initial licensing term for the large ensemble titles available in </w:t>
      </w:r>
      <w:proofErr w:type="spellStart"/>
      <w:r>
        <w:rPr>
          <w:color w:val="000000"/>
          <w:sz w:val="20"/>
        </w:rPr>
        <w:t>SmartMusic</w:t>
      </w:r>
      <w:proofErr w:type="spellEnd"/>
      <w:r>
        <w:rPr>
          <w:color w:val="000000"/>
          <w:sz w:val="20"/>
        </w:rPr>
        <w:t xml:space="preserve"> that have pre-authored assignments for use by teachers within </w:t>
      </w:r>
      <w:proofErr w:type="spellStart"/>
      <w:r>
        <w:rPr>
          <w:color w:val="000000"/>
          <w:sz w:val="20"/>
        </w:rPr>
        <w:t>SmartMusic</w:t>
      </w:r>
      <w:proofErr w:type="spellEnd"/>
      <w:r>
        <w:rPr>
          <w:color w:val="000000"/>
          <w:sz w:val="20"/>
        </w:rPr>
        <w:t xml:space="preserve"> </w:t>
      </w:r>
      <w:proofErr w:type="spellStart"/>
      <w:r>
        <w:rPr>
          <w:color w:val="000000"/>
          <w:sz w:val="20"/>
        </w:rPr>
        <w:t>Gradebook</w:t>
      </w:r>
      <w:proofErr w:type="spellEnd"/>
      <w:r>
        <w:rPr>
          <w:color w:val="000000"/>
          <w:sz w:val="20"/>
        </w:rPr>
        <w:t xml:space="preserve">. Similarly, upon release of a large ensemble song title into </w:t>
      </w:r>
      <w:proofErr w:type="spellStart"/>
      <w:r>
        <w:rPr>
          <w:color w:val="000000"/>
          <w:sz w:val="20"/>
        </w:rPr>
        <w:t>SmartMusic</w:t>
      </w:r>
      <w:proofErr w:type="spellEnd"/>
      <w:r>
        <w:rPr>
          <w:color w:val="000000"/>
          <w:sz w:val="20"/>
        </w:rPr>
        <w:t xml:space="preserve">, we amortize the related capitalized software costs over the estimated life of the song, not to exceed the five-year licensing period. A reserve is recorded for an estimate of song titles that will not be released. Annual development of notation products consists of maintenance costs that are expensed as incurred. </w:t>
      </w:r>
      <w:r w:rsidR="00DA5B2D">
        <w:rPr>
          <w:color w:val="000000"/>
          <w:sz w:val="20"/>
        </w:rPr>
        <w:t>In the future, capitalized software will include the costs of new Garritan sound libraries.</w:t>
      </w:r>
      <w:r w:rsidR="001F383B">
        <w:rPr>
          <w:color w:val="000000"/>
          <w:sz w:val="20"/>
        </w:rPr>
        <w:t xml:space="preserve"> </w:t>
      </w:r>
      <w:r>
        <w:rPr>
          <w:color w:val="000000"/>
          <w:sz w:val="20"/>
        </w:rPr>
        <w:t>We will continue to review our amortization period for capitalized software costs as considered necessary based upon any new information and information gained in our review of the net realizable value of unamortized costs.</w:t>
      </w:r>
    </w:p>
    <w:p w:rsidR="004851D7" w:rsidRDefault="004851D7">
      <w:pPr>
        <w:spacing w:after="240"/>
        <w:ind w:firstLine="720"/>
        <w:rPr>
          <w:color w:val="000000"/>
          <w:sz w:val="20"/>
        </w:rPr>
      </w:pPr>
      <w:r>
        <w:rPr>
          <w:b/>
          <w:bCs/>
          <w:color w:val="000000"/>
          <w:sz w:val="20"/>
        </w:rPr>
        <w:t xml:space="preserve">Post contract support.  </w:t>
      </w:r>
      <w:r>
        <w:rPr>
          <w:color w:val="000000"/>
          <w:sz w:val="20"/>
        </w:rPr>
        <w:t xml:space="preserve">We account for software maintenance </w:t>
      </w:r>
      <w:r w:rsidR="00726AF5">
        <w:rPr>
          <w:color w:val="000000"/>
          <w:sz w:val="20"/>
        </w:rPr>
        <w:t xml:space="preserve">offered on our Notation products </w:t>
      </w:r>
      <w:r>
        <w:rPr>
          <w:color w:val="000000"/>
          <w:sz w:val="20"/>
        </w:rPr>
        <w:t xml:space="preserve">in accordance with ASC 985-605, </w:t>
      </w:r>
      <w:r>
        <w:rPr>
          <w:i/>
          <w:color w:val="000000"/>
          <w:sz w:val="20"/>
        </w:rPr>
        <w:t xml:space="preserve">Software – Software Revenue Recognition, </w:t>
      </w:r>
      <w:r>
        <w:rPr>
          <w:iCs/>
          <w:color w:val="000000"/>
          <w:sz w:val="20"/>
        </w:rPr>
        <w:t>which states that revenue for post-contract support (PCS) may be recognized upon the initial sale when PCS is included with the initial license</w:t>
      </w:r>
      <w:r w:rsidR="00726AF5">
        <w:rPr>
          <w:iCs/>
          <w:color w:val="000000"/>
          <w:sz w:val="20"/>
        </w:rPr>
        <w:t>,</w:t>
      </w:r>
      <w:r w:rsidR="00CB0F94">
        <w:rPr>
          <w:iCs/>
          <w:color w:val="000000"/>
          <w:sz w:val="20"/>
        </w:rPr>
        <w:t xml:space="preserve"> </w:t>
      </w:r>
      <w:r>
        <w:rPr>
          <w:iCs/>
          <w:color w:val="000000"/>
          <w:sz w:val="20"/>
        </w:rPr>
        <w:t>the cost of providing PCS during the arrangement is insignificant</w:t>
      </w:r>
      <w:r w:rsidR="00726AF5">
        <w:rPr>
          <w:iCs/>
          <w:color w:val="000000"/>
          <w:sz w:val="20"/>
        </w:rPr>
        <w:t>, there are no unspecified upgrades, and only minor bug fixes are offered to licensed users</w:t>
      </w:r>
      <w:r>
        <w:rPr>
          <w:iCs/>
          <w:color w:val="000000"/>
          <w:sz w:val="20"/>
        </w:rPr>
        <w:t xml:space="preserve">. </w:t>
      </w:r>
      <w:r w:rsidR="00C841C2">
        <w:rPr>
          <w:iCs/>
          <w:color w:val="000000"/>
          <w:sz w:val="20"/>
        </w:rPr>
        <w:t>T</w:t>
      </w:r>
      <w:r>
        <w:rPr>
          <w:iCs/>
          <w:color w:val="000000"/>
          <w:sz w:val="20"/>
        </w:rPr>
        <w:t>he estimated</w:t>
      </w:r>
      <w:r>
        <w:rPr>
          <w:color w:val="000000"/>
          <w:sz w:val="20"/>
        </w:rPr>
        <w:t xml:space="preserve"> related costs </w:t>
      </w:r>
      <w:r w:rsidR="00C841C2">
        <w:rPr>
          <w:color w:val="000000"/>
          <w:sz w:val="20"/>
        </w:rPr>
        <w:t xml:space="preserve">for support </w:t>
      </w:r>
      <w:r>
        <w:rPr>
          <w:color w:val="000000"/>
          <w:sz w:val="20"/>
        </w:rPr>
        <w:t>are accrued in the same period that the sales price is recognized. We provide unlimited, free telephone, e-mail, and on-line technical support to our customers and, therefore, accrue an estimated cost of future support for our notation products in the period of sale.</w:t>
      </w:r>
    </w:p>
    <w:p w:rsidR="004851D7" w:rsidRDefault="004851D7">
      <w:pPr>
        <w:ind w:firstLine="720"/>
        <w:rPr>
          <w:color w:val="000000"/>
          <w:sz w:val="20"/>
          <w:szCs w:val="20"/>
        </w:rPr>
      </w:pPr>
      <w:proofErr w:type="gramStart"/>
      <w:r>
        <w:rPr>
          <w:b/>
          <w:bCs/>
          <w:color w:val="000000"/>
          <w:sz w:val="20"/>
        </w:rPr>
        <w:t>Impairment of goodwill.</w:t>
      </w:r>
      <w:proofErr w:type="gramEnd"/>
      <w:r>
        <w:rPr>
          <w:b/>
          <w:bCs/>
          <w:color w:val="000000"/>
          <w:sz w:val="20"/>
        </w:rPr>
        <w:t xml:space="preserve">  </w:t>
      </w:r>
      <w:r>
        <w:rPr>
          <w:color w:val="000000"/>
          <w:sz w:val="20"/>
          <w:szCs w:val="20"/>
        </w:rPr>
        <w:t>We review goodwill for potential impairment at least annually or when events or changes in circumstances indicate the carrying value of goodwill may be impaired. We have assigned all of our goodwill</w:t>
      </w:r>
      <w:r w:rsidR="0085226B">
        <w:rPr>
          <w:color w:val="000000"/>
          <w:sz w:val="20"/>
          <w:szCs w:val="20"/>
        </w:rPr>
        <w:t>, including the goodwill attributed to our acquisitions in 2011,</w:t>
      </w:r>
      <w:r>
        <w:rPr>
          <w:color w:val="000000"/>
          <w:sz w:val="20"/>
          <w:szCs w:val="20"/>
        </w:rPr>
        <w:t xml:space="preserve"> to the Notation reporting unit and compare the fair value of this reporting unit, as computed primarily by applying a combination of income </w:t>
      </w:r>
      <w:r w:rsidR="00726AF5">
        <w:rPr>
          <w:color w:val="000000"/>
          <w:sz w:val="20"/>
          <w:szCs w:val="20"/>
        </w:rPr>
        <w:t xml:space="preserve">and </w:t>
      </w:r>
      <w:r>
        <w:rPr>
          <w:color w:val="000000"/>
          <w:sz w:val="20"/>
          <w:szCs w:val="20"/>
        </w:rPr>
        <w:t>market valuation approaches, to its book carrying value, including goodwill (step 1). If the fair value exceeds the carrying value, no further work is required and no impairment loss is recognized. If the carrying value exceeds the fair value, the goodwill of the reporting unit is potentially impaired and we would then complete step 2 to arrive at an implied fair value of the goodwill, by deducting the fair value of all tangible and intangible net assets (including unrecognized intangible assets) and liabilities of the reporting unit from the fair value of the reporting unit. If the implied fair value of the goodwill is less than the reported value of goodwill, we would recognize an impairment loss equal to the difference. The assessment of potential impairment requires certain judgments and estimates by us, including the determination of an event indicating impairment, the future cash flows to be generated by reporting units, the risks associated with those cash flows, and the discount rate to be utilized.</w:t>
      </w:r>
    </w:p>
    <w:p w:rsidR="00A054FE" w:rsidRPr="00657726" w:rsidRDefault="00A054FE" w:rsidP="00A054FE">
      <w:pPr>
        <w:pStyle w:val="NormalWeb"/>
        <w:ind w:firstLine="720"/>
        <w:rPr>
          <w:color w:val="000000"/>
          <w:sz w:val="20"/>
          <w:szCs w:val="20"/>
        </w:rPr>
      </w:pPr>
      <w:proofErr w:type="gramStart"/>
      <w:r>
        <w:rPr>
          <w:b/>
          <w:bCs/>
          <w:color w:val="000000"/>
          <w:sz w:val="20"/>
        </w:rPr>
        <w:t>Income taxes</w:t>
      </w:r>
      <w:r w:rsidRPr="00F96D66">
        <w:rPr>
          <w:b/>
          <w:bCs/>
          <w:color w:val="000000"/>
          <w:sz w:val="20"/>
        </w:rPr>
        <w:t>.</w:t>
      </w:r>
      <w:proofErr w:type="gramEnd"/>
      <w:r w:rsidRPr="00F96D66">
        <w:rPr>
          <w:b/>
          <w:bCs/>
          <w:color w:val="000000"/>
          <w:sz w:val="20"/>
        </w:rPr>
        <w:t xml:space="preserve">  </w:t>
      </w:r>
      <w:r w:rsidRPr="00657726">
        <w:rPr>
          <w:color w:val="000000"/>
          <w:sz w:val="20"/>
          <w:szCs w:val="20"/>
        </w:rPr>
        <w:t xml:space="preserve">We account for income taxes using the asset and liability method provided by ASC 740, </w:t>
      </w:r>
      <w:r w:rsidRPr="00577CE7">
        <w:rPr>
          <w:i/>
          <w:color w:val="000000"/>
          <w:sz w:val="20"/>
          <w:szCs w:val="20"/>
        </w:rPr>
        <w:t>Income taxes</w:t>
      </w:r>
      <w:r w:rsidRPr="00657726">
        <w:rPr>
          <w:color w:val="000000"/>
          <w:sz w:val="20"/>
          <w:szCs w:val="20"/>
        </w:rPr>
        <w:t xml:space="preserve">. We estimate our income taxes in each of the jurisdictions in which we operate and account for income taxes payable as part of the preparation of our financial statements. This process involves estimating our actual current tax expense as well as assessing temporary differences resulting from differing treatment of items, such as depreciation and amortization, for financial and tax reporting purposes. These differences result in deferred tax assets and liabilities, which are included in our balance sheet to the extent deemed realizable. We assess the likelihood that, and the extent to which, our deferred tax assets will be realized and establish a valuation allowance to reduce deferred tax assets to an amount for which realization is more likely than not. If we </w:t>
      </w:r>
      <w:r>
        <w:rPr>
          <w:color w:val="000000"/>
          <w:sz w:val="20"/>
          <w:szCs w:val="20"/>
        </w:rPr>
        <w:t>increase or decrease</w:t>
      </w:r>
      <w:r w:rsidRPr="00657726">
        <w:rPr>
          <w:color w:val="000000"/>
          <w:sz w:val="20"/>
          <w:szCs w:val="20"/>
        </w:rPr>
        <w:t xml:space="preserve"> a valuation allowance in a given period, then we must increase or decrease the tax provision in our statements of income. </w:t>
      </w:r>
    </w:p>
    <w:p w:rsidR="00A054FE" w:rsidRDefault="00A054FE" w:rsidP="00A054FE">
      <w:pPr>
        <w:spacing w:after="240"/>
        <w:ind w:firstLine="720"/>
        <w:rPr>
          <w:color w:val="000000"/>
          <w:sz w:val="20"/>
        </w:rPr>
      </w:pPr>
      <w:r>
        <w:rPr>
          <w:color w:val="000000"/>
          <w:sz w:val="20"/>
          <w:szCs w:val="20"/>
        </w:rPr>
        <w:t xml:space="preserve">   </w:t>
      </w:r>
      <w:r w:rsidRPr="00657726">
        <w:rPr>
          <w:color w:val="000000"/>
          <w:sz w:val="20"/>
          <w:szCs w:val="20"/>
        </w:rPr>
        <w:t> </w:t>
      </w:r>
      <w:r w:rsidRPr="00AC37E1">
        <w:rPr>
          <w:color w:val="000000"/>
          <w:sz w:val="20"/>
        </w:rPr>
        <w:t xml:space="preserve">As of December 31, </w:t>
      </w:r>
      <w:r w:rsidR="00535B16">
        <w:rPr>
          <w:color w:val="000000"/>
          <w:sz w:val="20"/>
        </w:rPr>
        <w:t>2011</w:t>
      </w:r>
      <w:r>
        <w:rPr>
          <w:color w:val="000000"/>
          <w:sz w:val="20"/>
        </w:rPr>
        <w:t>,</w:t>
      </w:r>
      <w:r w:rsidRPr="00AC37E1">
        <w:rPr>
          <w:color w:val="000000"/>
          <w:sz w:val="20"/>
        </w:rPr>
        <w:t xml:space="preserve"> we ha</w:t>
      </w:r>
      <w:r>
        <w:rPr>
          <w:color w:val="000000"/>
          <w:sz w:val="20"/>
        </w:rPr>
        <w:t>d</w:t>
      </w:r>
      <w:r w:rsidRPr="00AC37E1">
        <w:rPr>
          <w:color w:val="000000"/>
          <w:sz w:val="20"/>
        </w:rPr>
        <w:t xml:space="preserve"> U.S. net operating loss carry-forwards of approximately $</w:t>
      </w:r>
      <w:r w:rsidR="00535B16">
        <w:rPr>
          <w:color w:val="000000"/>
          <w:sz w:val="20"/>
        </w:rPr>
        <w:t>13,915</w:t>
      </w:r>
      <w:r>
        <w:rPr>
          <w:color w:val="000000"/>
          <w:sz w:val="20"/>
        </w:rPr>
        <w:t>,000,</w:t>
      </w:r>
      <w:r w:rsidRPr="00AC37E1">
        <w:rPr>
          <w:color w:val="000000"/>
          <w:sz w:val="20"/>
        </w:rPr>
        <w:t xml:space="preserve"> </w:t>
      </w:r>
      <w:r w:rsidR="00833C19">
        <w:rPr>
          <w:color w:val="000000"/>
          <w:sz w:val="20"/>
        </w:rPr>
        <w:t xml:space="preserve">federal alternative minimum tax carry-forwards of $111,000, </w:t>
      </w:r>
      <w:r w:rsidRPr="00AC37E1">
        <w:rPr>
          <w:color w:val="000000"/>
          <w:sz w:val="20"/>
        </w:rPr>
        <w:t>Minnesota net operating loss carry-forwards of $</w:t>
      </w:r>
      <w:r w:rsidR="00833C19">
        <w:rPr>
          <w:color w:val="000000"/>
          <w:sz w:val="20"/>
        </w:rPr>
        <w:t>4,203</w:t>
      </w:r>
      <w:r>
        <w:rPr>
          <w:color w:val="000000"/>
          <w:sz w:val="20"/>
        </w:rPr>
        <w:t>,000</w:t>
      </w:r>
      <w:r w:rsidRPr="00AC37E1">
        <w:rPr>
          <w:color w:val="000000"/>
          <w:sz w:val="20"/>
        </w:rPr>
        <w:t xml:space="preserve">, </w:t>
      </w:r>
      <w:r>
        <w:rPr>
          <w:color w:val="000000"/>
          <w:sz w:val="20"/>
        </w:rPr>
        <w:t>federal research and development tax credits of $</w:t>
      </w:r>
      <w:r w:rsidR="00833C19">
        <w:rPr>
          <w:color w:val="000000"/>
          <w:sz w:val="20"/>
        </w:rPr>
        <w:t>1,318</w:t>
      </w:r>
      <w:r>
        <w:rPr>
          <w:color w:val="000000"/>
          <w:sz w:val="20"/>
        </w:rPr>
        <w:t xml:space="preserve">,000 </w:t>
      </w:r>
      <w:r w:rsidRPr="00AC37E1">
        <w:rPr>
          <w:color w:val="000000"/>
          <w:sz w:val="20"/>
        </w:rPr>
        <w:t>and</w:t>
      </w:r>
      <w:r>
        <w:rPr>
          <w:color w:val="000000"/>
          <w:sz w:val="20"/>
        </w:rPr>
        <w:t xml:space="preserve"> Minnesota</w:t>
      </w:r>
      <w:r w:rsidRPr="00AC37E1">
        <w:rPr>
          <w:color w:val="000000"/>
          <w:sz w:val="20"/>
        </w:rPr>
        <w:t xml:space="preserve"> research and development tax credits of $</w:t>
      </w:r>
      <w:r w:rsidR="00833C19">
        <w:rPr>
          <w:color w:val="000000"/>
          <w:sz w:val="20"/>
        </w:rPr>
        <w:t>471</w:t>
      </w:r>
      <w:r>
        <w:rPr>
          <w:color w:val="000000"/>
          <w:sz w:val="20"/>
        </w:rPr>
        <w:t>,000</w:t>
      </w:r>
      <w:r w:rsidRPr="00AC37E1">
        <w:rPr>
          <w:color w:val="000000"/>
          <w:sz w:val="20"/>
        </w:rPr>
        <w:t xml:space="preserve">. The losses and tax credits are carried forward for federal and state corporate income taxes and may be used to reduce future taxes. </w:t>
      </w:r>
    </w:p>
    <w:p w:rsidR="00A054FE" w:rsidRPr="00657726" w:rsidRDefault="00A054FE" w:rsidP="00A054FE">
      <w:pPr>
        <w:pStyle w:val="NormalWeb"/>
        <w:ind w:firstLine="720"/>
        <w:rPr>
          <w:color w:val="000000"/>
          <w:sz w:val="20"/>
          <w:szCs w:val="20"/>
        </w:rPr>
      </w:pPr>
      <w:r w:rsidRPr="00657726">
        <w:rPr>
          <w:color w:val="000000"/>
          <w:sz w:val="20"/>
          <w:szCs w:val="20"/>
        </w:rPr>
        <w:t xml:space="preserve"> Significant management judgment is required in determining any valuation allowance recorded against our net deferred tax assets. </w:t>
      </w:r>
      <w:r>
        <w:rPr>
          <w:color w:val="000000"/>
          <w:sz w:val="20"/>
          <w:szCs w:val="20"/>
        </w:rPr>
        <w:t xml:space="preserve">Prior to the fourth quarter of 2009, we remained uncertain on how economic conditions would impact our back to school selling cycle and annual financial results. </w:t>
      </w:r>
      <w:r w:rsidRPr="00657726">
        <w:rPr>
          <w:color w:val="000000"/>
          <w:sz w:val="20"/>
          <w:szCs w:val="20"/>
        </w:rPr>
        <w:t xml:space="preserve">Based upon </w:t>
      </w:r>
      <w:r>
        <w:rPr>
          <w:color w:val="000000"/>
          <w:sz w:val="20"/>
          <w:szCs w:val="20"/>
        </w:rPr>
        <w:t xml:space="preserve">our strong performance in the fourth quarter of </w:t>
      </w:r>
      <w:r w:rsidRPr="00657726">
        <w:rPr>
          <w:color w:val="000000"/>
          <w:sz w:val="20"/>
          <w:szCs w:val="20"/>
        </w:rPr>
        <w:t>2009</w:t>
      </w:r>
      <w:r>
        <w:rPr>
          <w:color w:val="000000"/>
          <w:sz w:val="20"/>
          <w:szCs w:val="20"/>
        </w:rPr>
        <w:t xml:space="preserve">, </w:t>
      </w:r>
      <w:r w:rsidRPr="00657726">
        <w:rPr>
          <w:color w:val="000000"/>
          <w:sz w:val="20"/>
          <w:szCs w:val="20"/>
        </w:rPr>
        <w:t>our operating results in recent years</w:t>
      </w:r>
      <w:r>
        <w:rPr>
          <w:color w:val="000000"/>
          <w:sz w:val="20"/>
          <w:szCs w:val="20"/>
        </w:rPr>
        <w:t xml:space="preserve"> and </w:t>
      </w:r>
      <w:r w:rsidRPr="00657726">
        <w:rPr>
          <w:color w:val="000000"/>
          <w:sz w:val="20"/>
          <w:szCs w:val="20"/>
        </w:rPr>
        <w:t xml:space="preserve">an assessment of our expected future results of operations, we determined </w:t>
      </w:r>
      <w:r>
        <w:rPr>
          <w:color w:val="000000"/>
          <w:sz w:val="20"/>
          <w:szCs w:val="20"/>
        </w:rPr>
        <w:t xml:space="preserve">in 2009 </w:t>
      </w:r>
      <w:r w:rsidRPr="00657726">
        <w:rPr>
          <w:color w:val="000000"/>
          <w:sz w:val="20"/>
          <w:szCs w:val="20"/>
        </w:rPr>
        <w:t xml:space="preserve">that it had become more likely than not that we would realize a portion of our net deferred tax assets. As a result, during the fourth quarter of 2009, </w:t>
      </w:r>
      <w:r>
        <w:rPr>
          <w:color w:val="000000"/>
          <w:sz w:val="20"/>
          <w:szCs w:val="20"/>
        </w:rPr>
        <w:t xml:space="preserve">we reduced </w:t>
      </w:r>
      <w:r w:rsidRPr="00657726">
        <w:rPr>
          <w:color w:val="000000"/>
          <w:sz w:val="20"/>
          <w:szCs w:val="20"/>
        </w:rPr>
        <w:t>our valuation allowance</w:t>
      </w:r>
      <w:r>
        <w:rPr>
          <w:color w:val="000000"/>
          <w:sz w:val="20"/>
          <w:szCs w:val="20"/>
        </w:rPr>
        <w:t xml:space="preserve"> by $2,564,000, representing the approximate estimated tax on three years of forecasted net income</w:t>
      </w:r>
      <w:r w:rsidRPr="00657726">
        <w:rPr>
          <w:color w:val="000000"/>
          <w:sz w:val="20"/>
          <w:szCs w:val="20"/>
        </w:rPr>
        <w:t xml:space="preserve">. Due to uncertainties related to our ability to utilize the balance of our deferred tax assets, </w:t>
      </w:r>
      <w:r>
        <w:rPr>
          <w:color w:val="000000"/>
          <w:sz w:val="20"/>
          <w:szCs w:val="20"/>
        </w:rPr>
        <w:t xml:space="preserve">as of December 31, 2011, we continue to maintain </w:t>
      </w:r>
      <w:r w:rsidRPr="00657726">
        <w:rPr>
          <w:color w:val="000000"/>
          <w:sz w:val="20"/>
          <w:szCs w:val="20"/>
        </w:rPr>
        <w:t>a valuation allowance of $</w:t>
      </w:r>
      <w:r>
        <w:rPr>
          <w:color w:val="000000"/>
          <w:sz w:val="20"/>
          <w:szCs w:val="20"/>
        </w:rPr>
        <w:t>5,690,000</w:t>
      </w:r>
      <w:r w:rsidRPr="00657726">
        <w:rPr>
          <w:color w:val="000000"/>
          <w:sz w:val="20"/>
          <w:szCs w:val="20"/>
        </w:rPr>
        <w:t xml:space="preserve">. </w:t>
      </w:r>
      <w:r>
        <w:rPr>
          <w:color w:val="000000"/>
          <w:sz w:val="20"/>
          <w:szCs w:val="20"/>
        </w:rPr>
        <w:t xml:space="preserve"> Should the remaining $5,690,000 valuation allowance be reversed in the future, a liability of up to $3,166,000 would have to be established for uncertain tax positions.</w:t>
      </w:r>
    </w:p>
    <w:p w:rsidR="00A054FE" w:rsidRDefault="00A054FE" w:rsidP="00A054FE">
      <w:pPr>
        <w:pStyle w:val="NormalWeb"/>
        <w:rPr>
          <w:rFonts w:ascii="Times" w:hAnsi="Times" w:cs="Times"/>
          <w:sz w:val="20"/>
          <w:szCs w:val="20"/>
        </w:rPr>
      </w:pPr>
      <w:r>
        <w:rPr>
          <w:rFonts w:ascii="Times" w:hAnsi="Times" w:cs="Times"/>
          <w:sz w:val="20"/>
          <w:szCs w:val="20"/>
        </w:rPr>
        <w:t xml:space="preserve">    </w:t>
      </w:r>
      <w:r>
        <w:rPr>
          <w:rFonts w:ascii="Times" w:hAnsi="Times" w:cs="Times"/>
          <w:sz w:val="20"/>
          <w:szCs w:val="20"/>
        </w:rPr>
        <w:tab/>
        <w:t xml:space="preserve">As required by ASC 740, </w:t>
      </w:r>
      <w:r>
        <w:rPr>
          <w:rFonts w:ascii="Times" w:hAnsi="Times" w:cs="Times"/>
          <w:i/>
          <w:iCs/>
          <w:sz w:val="20"/>
          <w:szCs w:val="20"/>
        </w:rPr>
        <w:t>Income taxes</w:t>
      </w:r>
      <w:r>
        <w:rPr>
          <w:rFonts w:ascii="Times" w:hAnsi="Times" w:cs="Times"/>
          <w:sz w:val="20"/>
          <w:szCs w:val="20"/>
        </w:rPr>
        <w:t>, we recognize the financial statement benefit of a tax position only after determining that the relevant tax authority would more likely than not sustain the position following an audit. For tax positions meeting the more-likely-than-not threshold, the amount recognized in the financial statements is the largest benefit that has a greater than 50 percent likelihood of being realized upon ultimate settlement with the relevant tax authority.</w:t>
      </w:r>
    </w:p>
    <w:p w:rsidR="00227232" w:rsidRDefault="00A054FE" w:rsidP="00227232">
      <w:pPr>
        <w:shd w:val="clear" w:color="auto" w:fill="FFFFFF"/>
        <w:ind w:firstLine="720"/>
        <w:rPr>
          <w:color w:val="000000"/>
          <w:sz w:val="20"/>
        </w:rPr>
      </w:pPr>
      <w:r>
        <w:rPr>
          <w:color w:val="000000"/>
          <w:sz w:val="20"/>
          <w:szCs w:val="20"/>
        </w:rPr>
        <w:t>In addition, future utilization of NOL carry-forwards is subject to certain limitations under Section 382 of the Internal Revenue Code. This section generally relates to a 50 percent change in ownership of a company over a three-year period.</w:t>
      </w:r>
      <w:r w:rsidR="00227232">
        <w:rPr>
          <w:color w:val="000000"/>
          <w:sz w:val="20"/>
          <w:szCs w:val="20"/>
        </w:rPr>
        <w:t xml:space="preserve"> </w:t>
      </w:r>
      <w:r w:rsidR="00227232">
        <w:rPr>
          <w:color w:val="000000"/>
          <w:sz w:val="20"/>
        </w:rPr>
        <w:t xml:space="preserve">Such a change in ownership occurred in connection with the Coda reverse merger, thereby potentially restricting the NOLs available.   In 2009, we completed a further Section 382 analysis for the time period since the reverse merger and determined that there are limitations relating to ownership changes. </w:t>
      </w:r>
      <w:r w:rsidR="00227232">
        <w:rPr>
          <w:color w:val="000000"/>
          <w:sz w:val="20"/>
          <w:szCs w:val="20"/>
        </w:rPr>
        <w:t xml:space="preserve">The acquisition of additional shares by a greater than 5% shareholder in January 2007 resulted in an “ownership change” under Section 382 </w:t>
      </w:r>
      <w:r w:rsidR="00227232">
        <w:rPr>
          <w:color w:val="000000"/>
          <w:sz w:val="20"/>
        </w:rPr>
        <w:t xml:space="preserve">over a three year period resulting in potential future limitations on the utilization of our NOLs.   </w:t>
      </w:r>
    </w:p>
    <w:p w:rsidR="00227232" w:rsidRDefault="00227232" w:rsidP="00227232">
      <w:pPr>
        <w:shd w:val="clear" w:color="auto" w:fill="FFFFFF"/>
        <w:ind w:firstLine="720"/>
        <w:rPr>
          <w:color w:val="000000"/>
          <w:sz w:val="20"/>
        </w:rPr>
      </w:pPr>
    </w:p>
    <w:p w:rsidR="00227232" w:rsidRDefault="00227232" w:rsidP="00227232">
      <w:pPr>
        <w:shd w:val="clear" w:color="auto" w:fill="FFFFFF"/>
        <w:ind w:firstLine="720"/>
        <w:rPr>
          <w:color w:val="000000"/>
          <w:sz w:val="20"/>
        </w:rPr>
      </w:pPr>
      <w:r>
        <w:rPr>
          <w:color w:val="000000"/>
          <w:sz w:val="20"/>
        </w:rPr>
        <w:t xml:space="preserve">An updated Section 382 analysis was recently completed in February 2012.  The results of that analysis indicate that no further “ownership changes” under Section 382 have occurred.  Therefore, the limitation caused by the January 2007 ownership change continues to apply.  </w:t>
      </w:r>
    </w:p>
    <w:p w:rsidR="00227232" w:rsidRDefault="00227232" w:rsidP="00227232">
      <w:pPr>
        <w:shd w:val="clear" w:color="auto" w:fill="FFFFFF"/>
        <w:ind w:firstLine="720"/>
        <w:rPr>
          <w:color w:val="000000"/>
          <w:sz w:val="20"/>
        </w:rPr>
      </w:pPr>
    </w:p>
    <w:p w:rsidR="00227232" w:rsidRPr="00307EE7" w:rsidRDefault="00227232" w:rsidP="00227232">
      <w:pPr>
        <w:shd w:val="clear" w:color="auto" w:fill="FFFFFF"/>
        <w:rPr>
          <w:sz w:val="20"/>
          <w:szCs w:val="20"/>
        </w:rPr>
      </w:pPr>
      <w:r>
        <w:rPr>
          <w:color w:val="000000"/>
          <w:sz w:val="20"/>
          <w:szCs w:val="20"/>
        </w:rPr>
        <w:tab/>
        <w:t xml:space="preserve">On </w:t>
      </w:r>
      <w:r w:rsidRPr="00227232">
        <w:rPr>
          <w:color w:val="000000"/>
          <w:sz w:val="20"/>
          <w:szCs w:val="20"/>
        </w:rPr>
        <w:t xml:space="preserve">February 21, 2012, </w:t>
      </w:r>
      <w:r w:rsidR="00AD66E1">
        <w:rPr>
          <w:color w:val="000000"/>
          <w:sz w:val="20"/>
          <w:szCs w:val="20"/>
        </w:rPr>
        <w:t xml:space="preserve">our Board of Directors </w:t>
      </w:r>
      <w:r w:rsidRPr="00227232">
        <w:rPr>
          <w:color w:val="000000"/>
          <w:sz w:val="20"/>
          <w:szCs w:val="20"/>
        </w:rPr>
        <w:t xml:space="preserve">adopted </w:t>
      </w:r>
      <w:r w:rsidRPr="00307EE7">
        <w:rPr>
          <w:sz w:val="20"/>
          <w:szCs w:val="20"/>
        </w:rPr>
        <w:t xml:space="preserve">a Tax Asset Protection Plan (the “Plan”) intended to protect </w:t>
      </w:r>
      <w:r>
        <w:rPr>
          <w:sz w:val="20"/>
          <w:szCs w:val="20"/>
        </w:rPr>
        <w:t>our</w:t>
      </w:r>
      <w:r w:rsidRPr="00307EE7">
        <w:rPr>
          <w:sz w:val="20"/>
          <w:szCs w:val="20"/>
        </w:rPr>
        <w:t xml:space="preserve"> tax assets</w:t>
      </w:r>
      <w:r>
        <w:rPr>
          <w:sz w:val="20"/>
          <w:szCs w:val="20"/>
        </w:rPr>
        <w:t>.</w:t>
      </w:r>
      <w:r w:rsidRPr="00307EE7">
        <w:rPr>
          <w:sz w:val="20"/>
          <w:szCs w:val="20"/>
        </w:rPr>
        <w:t xml:space="preserve"> The Plan is designed to reduce the likelihood that </w:t>
      </w:r>
      <w:r w:rsidR="00AD66E1">
        <w:rPr>
          <w:sz w:val="20"/>
          <w:szCs w:val="20"/>
        </w:rPr>
        <w:t>we</w:t>
      </w:r>
      <w:r w:rsidRPr="00307EE7">
        <w:rPr>
          <w:sz w:val="20"/>
          <w:szCs w:val="20"/>
        </w:rPr>
        <w:t xml:space="preserve"> experience an </w:t>
      </w:r>
      <w:r>
        <w:rPr>
          <w:sz w:val="20"/>
          <w:szCs w:val="20"/>
        </w:rPr>
        <w:t xml:space="preserve">additional </w:t>
      </w:r>
      <w:r w:rsidRPr="00307EE7">
        <w:rPr>
          <w:sz w:val="20"/>
          <w:szCs w:val="20"/>
        </w:rPr>
        <w:t xml:space="preserve">ownership change by discouraging any person or group from becoming a 5-percent shareholder and dissuading existing 5-percent or greater shareholders from acquiring additional shares of </w:t>
      </w:r>
      <w:proofErr w:type="spellStart"/>
      <w:r w:rsidRPr="00307EE7">
        <w:rPr>
          <w:sz w:val="20"/>
          <w:szCs w:val="20"/>
        </w:rPr>
        <w:t>MakeMusic's</w:t>
      </w:r>
      <w:proofErr w:type="spellEnd"/>
      <w:r w:rsidRPr="00307EE7">
        <w:rPr>
          <w:sz w:val="20"/>
          <w:szCs w:val="20"/>
        </w:rPr>
        <w:t xml:space="preserve"> common stock. </w:t>
      </w:r>
      <w:r w:rsidR="00AD66E1" w:rsidRPr="00307EE7">
        <w:rPr>
          <w:sz w:val="20"/>
          <w:szCs w:val="20"/>
        </w:rPr>
        <w:t xml:space="preserve">The Plan will expire and terminate on the earliest of February 20, 2015 or if </w:t>
      </w:r>
      <w:r w:rsidR="00AD66E1">
        <w:rPr>
          <w:sz w:val="20"/>
          <w:szCs w:val="20"/>
        </w:rPr>
        <w:t>our</w:t>
      </w:r>
      <w:r w:rsidR="00AD66E1" w:rsidRPr="00307EE7">
        <w:rPr>
          <w:sz w:val="20"/>
          <w:szCs w:val="20"/>
        </w:rPr>
        <w:t xml:space="preserve"> Board of Directors determines that the Plan is no longer necessary for the preservation of </w:t>
      </w:r>
      <w:r w:rsidR="00AD66E1">
        <w:rPr>
          <w:sz w:val="20"/>
          <w:szCs w:val="20"/>
        </w:rPr>
        <w:t>our</w:t>
      </w:r>
      <w:r w:rsidR="00AD66E1" w:rsidRPr="00307EE7">
        <w:rPr>
          <w:sz w:val="20"/>
          <w:szCs w:val="20"/>
        </w:rPr>
        <w:t xml:space="preserve"> tax benefits.</w:t>
      </w:r>
      <w:r w:rsidR="00535B16">
        <w:rPr>
          <w:sz w:val="20"/>
          <w:szCs w:val="20"/>
        </w:rPr>
        <w:t xml:space="preserve"> For more information regarding the Plan, please refer to our Current Report on Form 8-K filed on February 22, 2012, together with the exhibits attached thereto.</w:t>
      </w:r>
    </w:p>
    <w:p w:rsidR="00227232" w:rsidRDefault="00227232" w:rsidP="00227232">
      <w:pPr>
        <w:shd w:val="clear" w:color="auto" w:fill="FFFFFF"/>
        <w:ind w:firstLine="720"/>
        <w:rPr>
          <w:color w:val="000000"/>
          <w:sz w:val="20"/>
          <w:szCs w:val="20"/>
        </w:rPr>
      </w:pPr>
    </w:p>
    <w:p w:rsidR="00F2275B" w:rsidRDefault="00227232" w:rsidP="00227232">
      <w:pPr>
        <w:shd w:val="clear" w:color="auto" w:fill="FFFFFF"/>
        <w:ind w:firstLine="720"/>
        <w:rPr>
          <w:b/>
          <w:bCs/>
          <w:color w:val="000000"/>
          <w:sz w:val="20"/>
        </w:rPr>
      </w:pPr>
      <w:r w:rsidDel="00227232">
        <w:rPr>
          <w:color w:val="000000"/>
          <w:sz w:val="20"/>
          <w:szCs w:val="20"/>
        </w:rPr>
        <w:t xml:space="preserve"> </w:t>
      </w:r>
    </w:p>
    <w:p w:rsidR="004851D7" w:rsidRDefault="004851D7">
      <w:pPr>
        <w:rPr>
          <w:b/>
          <w:bCs/>
          <w:color w:val="000000"/>
          <w:sz w:val="20"/>
        </w:rPr>
      </w:pPr>
      <w:r>
        <w:rPr>
          <w:b/>
          <w:bCs/>
          <w:color w:val="000000"/>
          <w:sz w:val="20"/>
        </w:rPr>
        <w:t>Results of Operations</w:t>
      </w:r>
    </w:p>
    <w:p w:rsidR="004851D7" w:rsidRDefault="004851D7">
      <w:pPr>
        <w:rPr>
          <w:b/>
          <w:bCs/>
          <w:color w:val="000000"/>
          <w:sz w:val="20"/>
        </w:rPr>
      </w:pPr>
    </w:p>
    <w:p w:rsidR="004851D7" w:rsidRDefault="004851D7">
      <w:pPr>
        <w:keepNext/>
        <w:spacing w:after="240"/>
        <w:rPr>
          <w:b/>
          <w:bCs/>
          <w:color w:val="000000"/>
          <w:sz w:val="20"/>
        </w:rPr>
      </w:pPr>
      <w:r>
        <w:rPr>
          <w:b/>
          <w:bCs/>
          <w:color w:val="000000"/>
          <w:sz w:val="20"/>
        </w:rPr>
        <w:t xml:space="preserve">Comparison of the year ended December 31, </w:t>
      </w:r>
      <w:r w:rsidR="00B618FB">
        <w:rPr>
          <w:b/>
          <w:bCs/>
          <w:color w:val="000000"/>
          <w:sz w:val="20"/>
        </w:rPr>
        <w:t xml:space="preserve">2011 </w:t>
      </w:r>
      <w:r>
        <w:rPr>
          <w:b/>
          <w:bCs/>
          <w:color w:val="000000"/>
          <w:sz w:val="20"/>
        </w:rPr>
        <w:t xml:space="preserve">to the year ended December 31, </w:t>
      </w:r>
      <w:r w:rsidR="00B618FB">
        <w:rPr>
          <w:b/>
          <w:bCs/>
          <w:color w:val="000000"/>
          <w:sz w:val="20"/>
        </w:rPr>
        <w:t>2010</w:t>
      </w:r>
    </w:p>
    <w:tbl>
      <w:tblPr>
        <w:tblW w:w="5318" w:type="dxa"/>
        <w:tblInd w:w="108" w:type="dxa"/>
        <w:tblLook w:val="04A0" w:firstRow="1" w:lastRow="0" w:firstColumn="1" w:lastColumn="0" w:noHBand="0" w:noVBand="1"/>
      </w:tblPr>
      <w:tblGrid>
        <w:gridCol w:w="1304"/>
        <w:gridCol w:w="866"/>
        <w:gridCol w:w="222"/>
        <w:gridCol w:w="866"/>
        <w:gridCol w:w="222"/>
        <w:gridCol w:w="900"/>
        <w:gridCol w:w="222"/>
        <w:gridCol w:w="716"/>
      </w:tblGrid>
      <w:tr w:rsidR="00035426" w:rsidTr="006964F2">
        <w:trPr>
          <w:trHeight w:val="270"/>
        </w:trPr>
        <w:tc>
          <w:tcPr>
            <w:tcW w:w="3258" w:type="dxa"/>
            <w:gridSpan w:val="4"/>
            <w:tcBorders>
              <w:top w:val="nil"/>
              <w:left w:val="nil"/>
              <w:bottom w:val="nil"/>
              <w:right w:val="nil"/>
            </w:tcBorders>
            <w:shd w:val="clear" w:color="auto" w:fill="auto"/>
            <w:noWrap/>
            <w:vAlign w:val="bottom"/>
            <w:hideMark/>
          </w:tcPr>
          <w:p w:rsidR="00035426" w:rsidRDefault="00035426">
            <w:pPr>
              <w:rPr>
                <w:b/>
                <w:bCs/>
                <w:i/>
                <w:iCs/>
                <w:sz w:val="20"/>
                <w:szCs w:val="20"/>
              </w:rPr>
            </w:pPr>
            <w:r>
              <w:rPr>
                <w:b/>
                <w:bCs/>
                <w:i/>
                <w:iCs/>
                <w:sz w:val="20"/>
                <w:szCs w:val="20"/>
              </w:rPr>
              <w:t xml:space="preserve">Net Revenue </w:t>
            </w:r>
            <w:r>
              <w:rPr>
                <w:i/>
                <w:iCs/>
                <w:sz w:val="20"/>
                <w:szCs w:val="20"/>
              </w:rPr>
              <w:t>($ in thousands)</w:t>
            </w:r>
          </w:p>
        </w:tc>
        <w:tc>
          <w:tcPr>
            <w:tcW w:w="222" w:type="dxa"/>
            <w:tcBorders>
              <w:top w:val="nil"/>
              <w:left w:val="nil"/>
              <w:bottom w:val="nil"/>
              <w:right w:val="nil"/>
            </w:tcBorders>
            <w:shd w:val="clear" w:color="auto" w:fill="auto"/>
            <w:noWrap/>
            <w:vAlign w:val="bottom"/>
            <w:hideMark/>
          </w:tcPr>
          <w:p w:rsidR="00035426" w:rsidRDefault="00035426">
            <w:pPr>
              <w:rPr>
                <w:sz w:val="20"/>
                <w:szCs w:val="20"/>
              </w:rPr>
            </w:pPr>
          </w:p>
        </w:tc>
        <w:tc>
          <w:tcPr>
            <w:tcW w:w="900" w:type="dxa"/>
            <w:tcBorders>
              <w:top w:val="nil"/>
              <w:left w:val="nil"/>
              <w:bottom w:val="nil"/>
              <w:right w:val="nil"/>
            </w:tcBorders>
            <w:shd w:val="clear" w:color="auto" w:fill="auto"/>
            <w:noWrap/>
            <w:vAlign w:val="bottom"/>
            <w:hideMark/>
          </w:tcPr>
          <w:p w:rsidR="00035426" w:rsidRDefault="00035426">
            <w:pPr>
              <w:rPr>
                <w:sz w:val="20"/>
                <w:szCs w:val="20"/>
              </w:rPr>
            </w:pPr>
          </w:p>
        </w:tc>
        <w:tc>
          <w:tcPr>
            <w:tcW w:w="222" w:type="dxa"/>
            <w:tcBorders>
              <w:top w:val="nil"/>
              <w:left w:val="nil"/>
              <w:bottom w:val="nil"/>
              <w:right w:val="nil"/>
            </w:tcBorders>
            <w:shd w:val="clear" w:color="auto" w:fill="auto"/>
            <w:noWrap/>
            <w:vAlign w:val="bottom"/>
            <w:hideMark/>
          </w:tcPr>
          <w:p w:rsidR="00035426" w:rsidRDefault="00035426">
            <w:pPr>
              <w:rPr>
                <w:sz w:val="20"/>
                <w:szCs w:val="20"/>
              </w:rPr>
            </w:pPr>
          </w:p>
        </w:tc>
        <w:tc>
          <w:tcPr>
            <w:tcW w:w="716" w:type="dxa"/>
            <w:tcBorders>
              <w:top w:val="nil"/>
              <w:left w:val="nil"/>
              <w:bottom w:val="nil"/>
              <w:right w:val="nil"/>
            </w:tcBorders>
            <w:shd w:val="clear" w:color="auto" w:fill="auto"/>
            <w:noWrap/>
            <w:vAlign w:val="bottom"/>
            <w:hideMark/>
          </w:tcPr>
          <w:p w:rsidR="00035426" w:rsidRDefault="00035426">
            <w:pPr>
              <w:rPr>
                <w:sz w:val="20"/>
                <w:szCs w:val="20"/>
              </w:rPr>
            </w:pPr>
          </w:p>
        </w:tc>
      </w:tr>
      <w:tr w:rsidR="00035426" w:rsidTr="006964F2">
        <w:trPr>
          <w:trHeight w:val="255"/>
        </w:trPr>
        <w:tc>
          <w:tcPr>
            <w:tcW w:w="1304" w:type="dxa"/>
            <w:tcBorders>
              <w:top w:val="nil"/>
              <w:left w:val="nil"/>
              <w:bottom w:val="nil"/>
              <w:right w:val="nil"/>
            </w:tcBorders>
            <w:shd w:val="clear" w:color="auto" w:fill="auto"/>
            <w:noWrap/>
            <w:vAlign w:val="bottom"/>
            <w:hideMark/>
          </w:tcPr>
          <w:p w:rsidR="00035426" w:rsidRDefault="00035426">
            <w:pPr>
              <w:rPr>
                <w:sz w:val="20"/>
                <w:szCs w:val="20"/>
              </w:rPr>
            </w:pPr>
          </w:p>
        </w:tc>
        <w:tc>
          <w:tcPr>
            <w:tcW w:w="4014" w:type="dxa"/>
            <w:gridSpan w:val="7"/>
            <w:tcBorders>
              <w:top w:val="nil"/>
              <w:left w:val="nil"/>
              <w:bottom w:val="nil"/>
              <w:right w:val="nil"/>
            </w:tcBorders>
            <w:shd w:val="clear" w:color="auto" w:fill="auto"/>
            <w:vAlign w:val="bottom"/>
            <w:hideMark/>
          </w:tcPr>
          <w:p w:rsidR="00035426" w:rsidRDefault="00035426">
            <w:pPr>
              <w:jc w:val="center"/>
              <w:rPr>
                <w:color w:val="000000"/>
                <w:sz w:val="20"/>
                <w:szCs w:val="20"/>
              </w:rPr>
            </w:pPr>
            <w:r>
              <w:rPr>
                <w:color w:val="000000"/>
                <w:sz w:val="20"/>
                <w:szCs w:val="20"/>
              </w:rPr>
              <w:t xml:space="preserve">Year Ended December 31, </w:t>
            </w:r>
          </w:p>
        </w:tc>
      </w:tr>
      <w:tr w:rsidR="00035426" w:rsidTr="00035426">
        <w:trPr>
          <w:trHeight w:val="525"/>
        </w:trPr>
        <w:tc>
          <w:tcPr>
            <w:tcW w:w="1304" w:type="dxa"/>
            <w:tcBorders>
              <w:top w:val="nil"/>
              <w:left w:val="nil"/>
              <w:bottom w:val="nil"/>
              <w:right w:val="nil"/>
            </w:tcBorders>
            <w:shd w:val="clear" w:color="auto" w:fill="auto"/>
            <w:vAlign w:val="bottom"/>
            <w:hideMark/>
          </w:tcPr>
          <w:p w:rsidR="00035426" w:rsidRDefault="00035426">
            <w:pPr>
              <w:rPr>
                <w:color w:val="000000"/>
                <w:sz w:val="20"/>
                <w:szCs w:val="20"/>
              </w:rPr>
            </w:pPr>
          </w:p>
        </w:tc>
        <w:tc>
          <w:tcPr>
            <w:tcW w:w="866" w:type="dxa"/>
            <w:tcBorders>
              <w:top w:val="nil"/>
              <w:left w:val="nil"/>
              <w:bottom w:val="single" w:sz="8" w:space="0" w:color="auto"/>
              <w:right w:val="nil"/>
            </w:tcBorders>
            <w:shd w:val="clear" w:color="auto" w:fill="auto"/>
            <w:vAlign w:val="bottom"/>
            <w:hideMark/>
          </w:tcPr>
          <w:p w:rsidR="00035426" w:rsidRDefault="00035426">
            <w:pPr>
              <w:jc w:val="center"/>
              <w:rPr>
                <w:color w:val="000000"/>
                <w:sz w:val="20"/>
                <w:szCs w:val="20"/>
              </w:rPr>
            </w:pPr>
            <w:r>
              <w:rPr>
                <w:color w:val="000000"/>
                <w:sz w:val="20"/>
                <w:szCs w:val="20"/>
              </w:rPr>
              <w:t>2011</w:t>
            </w:r>
          </w:p>
        </w:tc>
        <w:tc>
          <w:tcPr>
            <w:tcW w:w="222" w:type="dxa"/>
            <w:tcBorders>
              <w:top w:val="nil"/>
              <w:left w:val="nil"/>
              <w:bottom w:val="nil"/>
              <w:right w:val="nil"/>
            </w:tcBorders>
            <w:shd w:val="clear" w:color="auto" w:fill="auto"/>
            <w:vAlign w:val="bottom"/>
            <w:hideMark/>
          </w:tcPr>
          <w:p w:rsidR="00035426" w:rsidRDefault="00035426">
            <w:pPr>
              <w:jc w:val="center"/>
              <w:rPr>
                <w:color w:val="000000"/>
                <w:sz w:val="20"/>
                <w:szCs w:val="20"/>
              </w:rPr>
            </w:pPr>
          </w:p>
        </w:tc>
        <w:tc>
          <w:tcPr>
            <w:tcW w:w="866" w:type="dxa"/>
            <w:tcBorders>
              <w:top w:val="nil"/>
              <w:left w:val="nil"/>
              <w:bottom w:val="single" w:sz="8" w:space="0" w:color="auto"/>
              <w:right w:val="nil"/>
            </w:tcBorders>
            <w:shd w:val="clear" w:color="auto" w:fill="auto"/>
            <w:vAlign w:val="bottom"/>
            <w:hideMark/>
          </w:tcPr>
          <w:p w:rsidR="00035426" w:rsidRDefault="00035426">
            <w:pPr>
              <w:jc w:val="center"/>
              <w:rPr>
                <w:color w:val="000000"/>
                <w:sz w:val="20"/>
                <w:szCs w:val="20"/>
              </w:rPr>
            </w:pPr>
            <w:r>
              <w:rPr>
                <w:color w:val="000000"/>
                <w:sz w:val="20"/>
                <w:szCs w:val="20"/>
              </w:rPr>
              <w:t>2010</w:t>
            </w:r>
          </w:p>
        </w:tc>
        <w:tc>
          <w:tcPr>
            <w:tcW w:w="222" w:type="dxa"/>
            <w:tcBorders>
              <w:top w:val="nil"/>
              <w:left w:val="nil"/>
              <w:bottom w:val="nil"/>
              <w:right w:val="nil"/>
            </w:tcBorders>
            <w:shd w:val="clear" w:color="auto" w:fill="auto"/>
            <w:vAlign w:val="bottom"/>
            <w:hideMark/>
          </w:tcPr>
          <w:p w:rsidR="00035426" w:rsidRDefault="00035426">
            <w:pPr>
              <w:rPr>
                <w:color w:val="000000"/>
                <w:sz w:val="20"/>
                <w:szCs w:val="20"/>
              </w:rPr>
            </w:pPr>
          </w:p>
        </w:tc>
        <w:tc>
          <w:tcPr>
            <w:tcW w:w="900" w:type="dxa"/>
            <w:tcBorders>
              <w:top w:val="nil"/>
              <w:left w:val="nil"/>
              <w:bottom w:val="single" w:sz="8" w:space="0" w:color="auto"/>
              <w:right w:val="nil"/>
            </w:tcBorders>
            <w:shd w:val="clear" w:color="auto" w:fill="auto"/>
            <w:vAlign w:val="bottom"/>
            <w:hideMark/>
          </w:tcPr>
          <w:p w:rsidR="00035426" w:rsidRDefault="00035426">
            <w:pPr>
              <w:jc w:val="center"/>
              <w:rPr>
                <w:color w:val="000000"/>
                <w:sz w:val="20"/>
                <w:szCs w:val="20"/>
              </w:rPr>
            </w:pPr>
            <w:proofErr w:type="spellStart"/>
            <w:r>
              <w:rPr>
                <w:color w:val="000000"/>
                <w:sz w:val="20"/>
                <w:szCs w:val="20"/>
              </w:rPr>
              <w:t>Incr</w:t>
            </w:r>
            <w:proofErr w:type="spellEnd"/>
            <w:r>
              <w:rPr>
                <w:color w:val="000000"/>
                <w:sz w:val="20"/>
                <w:szCs w:val="20"/>
              </w:rPr>
              <w:t xml:space="preserve"> (</w:t>
            </w:r>
            <w:proofErr w:type="spellStart"/>
            <w:r>
              <w:rPr>
                <w:color w:val="000000"/>
                <w:sz w:val="20"/>
                <w:szCs w:val="20"/>
              </w:rPr>
              <w:t>Decr</w:t>
            </w:r>
            <w:proofErr w:type="spellEnd"/>
            <w:r>
              <w:rPr>
                <w:color w:val="000000"/>
                <w:sz w:val="20"/>
                <w:szCs w:val="20"/>
              </w:rPr>
              <w:t>)</w:t>
            </w:r>
          </w:p>
        </w:tc>
        <w:tc>
          <w:tcPr>
            <w:tcW w:w="222" w:type="dxa"/>
            <w:tcBorders>
              <w:top w:val="nil"/>
              <w:left w:val="nil"/>
              <w:bottom w:val="nil"/>
              <w:right w:val="nil"/>
            </w:tcBorders>
            <w:shd w:val="clear" w:color="auto" w:fill="auto"/>
            <w:vAlign w:val="bottom"/>
            <w:hideMark/>
          </w:tcPr>
          <w:p w:rsidR="00035426" w:rsidRDefault="00035426">
            <w:pPr>
              <w:jc w:val="center"/>
              <w:rPr>
                <w:color w:val="000000"/>
                <w:sz w:val="20"/>
                <w:szCs w:val="20"/>
              </w:rPr>
            </w:pPr>
          </w:p>
        </w:tc>
        <w:tc>
          <w:tcPr>
            <w:tcW w:w="716" w:type="dxa"/>
            <w:tcBorders>
              <w:top w:val="nil"/>
              <w:left w:val="nil"/>
              <w:bottom w:val="single" w:sz="8" w:space="0" w:color="auto"/>
              <w:right w:val="nil"/>
            </w:tcBorders>
            <w:shd w:val="clear" w:color="auto" w:fill="auto"/>
            <w:vAlign w:val="bottom"/>
            <w:hideMark/>
          </w:tcPr>
          <w:p w:rsidR="00035426" w:rsidRDefault="00035426">
            <w:pPr>
              <w:jc w:val="center"/>
              <w:rPr>
                <w:color w:val="000000"/>
                <w:sz w:val="20"/>
                <w:szCs w:val="20"/>
              </w:rPr>
            </w:pPr>
            <w:r>
              <w:rPr>
                <w:color w:val="000000"/>
                <w:sz w:val="20"/>
                <w:szCs w:val="20"/>
              </w:rPr>
              <w:t>%</w:t>
            </w:r>
          </w:p>
        </w:tc>
      </w:tr>
      <w:tr w:rsidR="00035426" w:rsidTr="00035426">
        <w:trPr>
          <w:trHeight w:val="255"/>
        </w:trPr>
        <w:tc>
          <w:tcPr>
            <w:tcW w:w="1304" w:type="dxa"/>
            <w:tcBorders>
              <w:top w:val="nil"/>
              <w:left w:val="nil"/>
              <w:bottom w:val="nil"/>
              <w:right w:val="nil"/>
            </w:tcBorders>
            <w:shd w:val="clear" w:color="auto" w:fill="auto"/>
            <w:vAlign w:val="bottom"/>
            <w:hideMark/>
          </w:tcPr>
          <w:p w:rsidR="00035426" w:rsidRDefault="00035426">
            <w:pPr>
              <w:rPr>
                <w:color w:val="000000"/>
                <w:sz w:val="20"/>
                <w:szCs w:val="20"/>
              </w:rPr>
            </w:pPr>
            <w:r>
              <w:rPr>
                <w:color w:val="000000"/>
                <w:sz w:val="20"/>
                <w:szCs w:val="20"/>
              </w:rPr>
              <w:t>Notation</w:t>
            </w:r>
          </w:p>
        </w:tc>
        <w:tc>
          <w:tcPr>
            <w:tcW w:w="866" w:type="dxa"/>
            <w:tcBorders>
              <w:top w:val="nil"/>
              <w:left w:val="nil"/>
              <w:bottom w:val="nil"/>
              <w:right w:val="nil"/>
            </w:tcBorders>
            <w:shd w:val="clear" w:color="auto" w:fill="auto"/>
            <w:vAlign w:val="bottom"/>
            <w:hideMark/>
          </w:tcPr>
          <w:p w:rsidR="00035426" w:rsidRDefault="00035426">
            <w:pPr>
              <w:jc w:val="right"/>
              <w:rPr>
                <w:color w:val="000000"/>
                <w:sz w:val="20"/>
                <w:szCs w:val="20"/>
              </w:rPr>
            </w:pPr>
            <w:r>
              <w:rPr>
                <w:color w:val="000000"/>
                <w:sz w:val="20"/>
                <w:szCs w:val="20"/>
              </w:rPr>
              <w:t xml:space="preserve">$9,467 </w:t>
            </w:r>
          </w:p>
        </w:tc>
        <w:tc>
          <w:tcPr>
            <w:tcW w:w="222" w:type="dxa"/>
            <w:tcBorders>
              <w:top w:val="nil"/>
              <w:left w:val="nil"/>
              <w:bottom w:val="nil"/>
              <w:right w:val="nil"/>
            </w:tcBorders>
            <w:shd w:val="clear" w:color="auto" w:fill="auto"/>
            <w:vAlign w:val="bottom"/>
            <w:hideMark/>
          </w:tcPr>
          <w:p w:rsidR="00035426" w:rsidRDefault="00035426">
            <w:pPr>
              <w:rPr>
                <w:color w:val="000000"/>
                <w:sz w:val="20"/>
                <w:szCs w:val="20"/>
              </w:rPr>
            </w:pPr>
          </w:p>
        </w:tc>
        <w:tc>
          <w:tcPr>
            <w:tcW w:w="866" w:type="dxa"/>
            <w:tcBorders>
              <w:top w:val="nil"/>
              <w:left w:val="nil"/>
              <w:bottom w:val="nil"/>
              <w:right w:val="nil"/>
            </w:tcBorders>
            <w:shd w:val="clear" w:color="auto" w:fill="auto"/>
            <w:vAlign w:val="bottom"/>
            <w:hideMark/>
          </w:tcPr>
          <w:p w:rsidR="00035426" w:rsidRDefault="00035426">
            <w:pPr>
              <w:jc w:val="right"/>
              <w:rPr>
                <w:color w:val="000000"/>
                <w:sz w:val="20"/>
                <w:szCs w:val="20"/>
              </w:rPr>
            </w:pPr>
            <w:r>
              <w:rPr>
                <w:color w:val="000000"/>
                <w:sz w:val="20"/>
                <w:szCs w:val="20"/>
              </w:rPr>
              <w:t xml:space="preserve">$10,712 </w:t>
            </w:r>
          </w:p>
        </w:tc>
        <w:tc>
          <w:tcPr>
            <w:tcW w:w="222" w:type="dxa"/>
            <w:tcBorders>
              <w:top w:val="nil"/>
              <w:left w:val="nil"/>
              <w:bottom w:val="nil"/>
              <w:right w:val="nil"/>
            </w:tcBorders>
            <w:shd w:val="clear" w:color="auto" w:fill="auto"/>
            <w:vAlign w:val="bottom"/>
            <w:hideMark/>
          </w:tcPr>
          <w:p w:rsidR="00035426" w:rsidRDefault="00035426">
            <w:pPr>
              <w:rPr>
                <w:color w:val="000000"/>
                <w:sz w:val="20"/>
                <w:szCs w:val="20"/>
              </w:rPr>
            </w:pPr>
          </w:p>
        </w:tc>
        <w:tc>
          <w:tcPr>
            <w:tcW w:w="900" w:type="dxa"/>
            <w:tcBorders>
              <w:top w:val="nil"/>
              <w:left w:val="nil"/>
              <w:bottom w:val="nil"/>
              <w:right w:val="nil"/>
            </w:tcBorders>
            <w:shd w:val="clear" w:color="auto" w:fill="auto"/>
            <w:vAlign w:val="bottom"/>
            <w:hideMark/>
          </w:tcPr>
          <w:p w:rsidR="00035426" w:rsidRDefault="00035426">
            <w:pPr>
              <w:jc w:val="right"/>
              <w:rPr>
                <w:color w:val="000000"/>
                <w:sz w:val="20"/>
                <w:szCs w:val="20"/>
              </w:rPr>
            </w:pPr>
            <w:r>
              <w:rPr>
                <w:color w:val="FF0000"/>
                <w:sz w:val="20"/>
                <w:szCs w:val="20"/>
              </w:rPr>
              <w:t>($1,245)</w:t>
            </w:r>
          </w:p>
        </w:tc>
        <w:tc>
          <w:tcPr>
            <w:tcW w:w="222" w:type="dxa"/>
            <w:tcBorders>
              <w:top w:val="nil"/>
              <w:left w:val="nil"/>
              <w:bottom w:val="nil"/>
              <w:right w:val="nil"/>
            </w:tcBorders>
            <w:shd w:val="clear" w:color="auto" w:fill="auto"/>
            <w:vAlign w:val="bottom"/>
            <w:hideMark/>
          </w:tcPr>
          <w:p w:rsidR="00035426" w:rsidRDefault="00035426">
            <w:pPr>
              <w:rPr>
                <w:color w:val="000000"/>
                <w:sz w:val="20"/>
                <w:szCs w:val="20"/>
              </w:rPr>
            </w:pPr>
          </w:p>
        </w:tc>
        <w:tc>
          <w:tcPr>
            <w:tcW w:w="716" w:type="dxa"/>
            <w:tcBorders>
              <w:top w:val="nil"/>
              <w:left w:val="nil"/>
              <w:bottom w:val="nil"/>
              <w:right w:val="nil"/>
            </w:tcBorders>
            <w:shd w:val="clear" w:color="auto" w:fill="auto"/>
            <w:vAlign w:val="bottom"/>
            <w:hideMark/>
          </w:tcPr>
          <w:p w:rsidR="00035426" w:rsidRDefault="00035426">
            <w:pPr>
              <w:jc w:val="right"/>
              <w:rPr>
                <w:color w:val="000000"/>
                <w:sz w:val="20"/>
                <w:szCs w:val="20"/>
              </w:rPr>
            </w:pPr>
            <w:r>
              <w:rPr>
                <w:color w:val="000000"/>
                <w:sz w:val="20"/>
                <w:szCs w:val="20"/>
              </w:rPr>
              <w:t>-12%</w:t>
            </w:r>
          </w:p>
        </w:tc>
      </w:tr>
      <w:tr w:rsidR="00035426" w:rsidTr="00035426">
        <w:trPr>
          <w:trHeight w:val="255"/>
        </w:trPr>
        <w:tc>
          <w:tcPr>
            <w:tcW w:w="1304" w:type="dxa"/>
            <w:tcBorders>
              <w:top w:val="nil"/>
              <w:left w:val="nil"/>
              <w:bottom w:val="nil"/>
              <w:right w:val="nil"/>
            </w:tcBorders>
            <w:shd w:val="clear" w:color="auto" w:fill="auto"/>
            <w:vAlign w:val="bottom"/>
            <w:hideMark/>
          </w:tcPr>
          <w:p w:rsidR="00035426" w:rsidRDefault="00035426">
            <w:pPr>
              <w:rPr>
                <w:color w:val="000000"/>
                <w:sz w:val="20"/>
                <w:szCs w:val="20"/>
              </w:rPr>
            </w:pPr>
            <w:proofErr w:type="spellStart"/>
            <w:r>
              <w:rPr>
                <w:color w:val="000000"/>
                <w:sz w:val="20"/>
                <w:szCs w:val="20"/>
              </w:rPr>
              <w:t>SmartMusic</w:t>
            </w:r>
            <w:proofErr w:type="spellEnd"/>
          </w:p>
        </w:tc>
        <w:tc>
          <w:tcPr>
            <w:tcW w:w="866" w:type="dxa"/>
            <w:tcBorders>
              <w:top w:val="nil"/>
              <w:left w:val="nil"/>
              <w:bottom w:val="nil"/>
              <w:right w:val="nil"/>
            </w:tcBorders>
            <w:shd w:val="clear" w:color="auto" w:fill="auto"/>
            <w:vAlign w:val="bottom"/>
            <w:hideMark/>
          </w:tcPr>
          <w:p w:rsidR="00035426" w:rsidRDefault="00035426">
            <w:pPr>
              <w:jc w:val="right"/>
              <w:rPr>
                <w:color w:val="000000"/>
                <w:sz w:val="20"/>
                <w:szCs w:val="20"/>
              </w:rPr>
            </w:pPr>
            <w:r>
              <w:rPr>
                <w:color w:val="000000"/>
                <w:sz w:val="20"/>
                <w:szCs w:val="20"/>
              </w:rPr>
              <w:t xml:space="preserve">7,527 </w:t>
            </w:r>
          </w:p>
        </w:tc>
        <w:tc>
          <w:tcPr>
            <w:tcW w:w="222" w:type="dxa"/>
            <w:tcBorders>
              <w:top w:val="nil"/>
              <w:left w:val="nil"/>
              <w:bottom w:val="nil"/>
              <w:right w:val="nil"/>
            </w:tcBorders>
            <w:shd w:val="clear" w:color="auto" w:fill="auto"/>
            <w:vAlign w:val="bottom"/>
            <w:hideMark/>
          </w:tcPr>
          <w:p w:rsidR="00035426" w:rsidRDefault="00035426">
            <w:pPr>
              <w:rPr>
                <w:color w:val="000000"/>
                <w:sz w:val="20"/>
                <w:szCs w:val="20"/>
              </w:rPr>
            </w:pPr>
          </w:p>
        </w:tc>
        <w:tc>
          <w:tcPr>
            <w:tcW w:w="866" w:type="dxa"/>
            <w:tcBorders>
              <w:top w:val="nil"/>
              <w:left w:val="nil"/>
              <w:bottom w:val="nil"/>
              <w:right w:val="nil"/>
            </w:tcBorders>
            <w:shd w:val="clear" w:color="auto" w:fill="auto"/>
            <w:vAlign w:val="bottom"/>
            <w:hideMark/>
          </w:tcPr>
          <w:p w:rsidR="00035426" w:rsidRDefault="00035426">
            <w:pPr>
              <w:jc w:val="right"/>
              <w:rPr>
                <w:color w:val="000000"/>
                <w:sz w:val="20"/>
                <w:szCs w:val="20"/>
              </w:rPr>
            </w:pPr>
            <w:r>
              <w:rPr>
                <w:color w:val="000000"/>
                <w:sz w:val="20"/>
                <w:szCs w:val="20"/>
              </w:rPr>
              <w:t xml:space="preserve">6,436 </w:t>
            </w:r>
          </w:p>
        </w:tc>
        <w:tc>
          <w:tcPr>
            <w:tcW w:w="222" w:type="dxa"/>
            <w:tcBorders>
              <w:top w:val="nil"/>
              <w:left w:val="nil"/>
              <w:bottom w:val="nil"/>
              <w:right w:val="nil"/>
            </w:tcBorders>
            <w:shd w:val="clear" w:color="auto" w:fill="auto"/>
            <w:vAlign w:val="bottom"/>
            <w:hideMark/>
          </w:tcPr>
          <w:p w:rsidR="00035426" w:rsidRDefault="00035426">
            <w:pPr>
              <w:rPr>
                <w:color w:val="000000"/>
                <w:sz w:val="20"/>
                <w:szCs w:val="20"/>
              </w:rPr>
            </w:pPr>
          </w:p>
        </w:tc>
        <w:tc>
          <w:tcPr>
            <w:tcW w:w="900" w:type="dxa"/>
            <w:tcBorders>
              <w:top w:val="nil"/>
              <w:left w:val="nil"/>
              <w:bottom w:val="nil"/>
              <w:right w:val="nil"/>
            </w:tcBorders>
            <w:shd w:val="clear" w:color="auto" w:fill="auto"/>
            <w:vAlign w:val="bottom"/>
            <w:hideMark/>
          </w:tcPr>
          <w:p w:rsidR="00035426" w:rsidRDefault="00035426">
            <w:pPr>
              <w:jc w:val="right"/>
              <w:rPr>
                <w:color w:val="000000"/>
                <w:sz w:val="20"/>
                <w:szCs w:val="20"/>
              </w:rPr>
            </w:pPr>
            <w:r>
              <w:rPr>
                <w:color w:val="000000"/>
                <w:sz w:val="20"/>
                <w:szCs w:val="20"/>
              </w:rPr>
              <w:t xml:space="preserve">1,091 </w:t>
            </w:r>
          </w:p>
        </w:tc>
        <w:tc>
          <w:tcPr>
            <w:tcW w:w="222" w:type="dxa"/>
            <w:tcBorders>
              <w:top w:val="nil"/>
              <w:left w:val="nil"/>
              <w:bottom w:val="nil"/>
              <w:right w:val="nil"/>
            </w:tcBorders>
            <w:shd w:val="clear" w:color="auto" w:fill="auto"/>
            <w:vAlign w:val="bottom"/>
            <w:hideMark/>
          </w:tcPr>
          <w:p w:rsidR="00035426" w:rsidRDefault="00035426">
            <w:pPr>
              <w:rPr>
                <w:color w:val="000000"/>
                <w:sz w:val="20"/>
                <w:szCs w:val="20"/>
              </w:rPr>
            </w:pPr>
          </w:p>
        </w:tc>
        <w:tc>
          <w:tcPr>
            <w:tcW w:w="716" w:type="dxa"/>
            <w:tcBorders>
              <w:top w:val="nil"/>
              <w:left w:val="nil"/>
              <w:bottom w:val="nil"/>
              <w:right w:val="nil"/>
            </w:tcBorders>
            <w:shd w:val="clear" w:color="auto" w:fill="auto"/>
            <w:vAlign w:val="bottom"/>
            <w:hideMark/>
          </w:tcPr>
          <w:p w:rsidR="00035426" w:rsidRDefault="00035426">
            <w:pPr>
              <w:jc w:val="right"/>
              <w:rPr>
                <w:color w:val="000000"/>
                <w:sz w:val="20"/>
                <w:szCs w:val="20"/>
              </w:rPr>
            </w:pPr>
            <w:r>
              <w:rPr>
                <w:color w:val="000000"/>
                <w:sz w:val="20"/>
                <w:szCs w:val="20"/>
              </w:rPr>
              <w:t>17%</w:t>
            </w:r>
          </w:p>
        </w:tc>
      </w:tr>
      <w:tr w:rsidR="00035426" w:rsidTr="006964F2">
        <w:trPr>
          <w:trHeight w:val="270"/>
        </w:trPr>
        <w:tc>
          <w:tcPr>
            <w:tcW w:w="1304" w:type="dxa"/>
            <w:tcBorders>
              <w:top w:val="nil"/>
              <w:left w:val="nil"/>
              <w:bottom w:val="nil"/>
              <w:right w:val="nil"/>
            </w:tcBorders>
            <w:shd w:val="clear" w:color="auto" w:fill="auto"/>
            <w:noWrap/>
            <w:vAlign w:val="bottom"/>
            <w:hideMark/>
          </w:tcPr>
          <w:p w:rsidR="00035426" w:rsidRDefault="00035426">
            <w:pPr>
              <w:rPr>
                <w:sz w:val="20"/>
                <w:szCs w:val="20"/>
              </w:rPr>
            </w:pPr>
            <w:r>
              <w:rPr>
                <w:sz w:val="20"/>
                <w:szCs w:val="20"/>
              </w:rPr>
              <w:t>Total</w:t>
            </w:r>
          </w:p>
        </w:tc>
        <w:tc>
          <w:tcPr>
            <w:tcW w:w="866" w:type="dxa"/>
            <w:tcBorders>
              <w:top w:val="single" w:sz="4" w:space="0" w:color="auto"/>
              <w:left w:val="nil"/>
              <w:bottom w:val="double" w:sz="6" w:space="0" w:color="auto"/>
              <w:right w:val="nil"/>
            </w:tcBorders>
            <w:shd w:val="clear" w:color="auto" w:fill="auto"/>
            <w:noWrap/>
            <w:vAlign w:val="bottom"/>
            <w:hideMark/>
          </w:tcPr>
          <w:p w:rsidR="00035426" w:rsidRDefault="00035426">
            <w:pPr>
              <w:jc w:val="right"/>
              <w:rPr>
                <w:sz w:val="20"/>
                <w:szCs w:val="20"/>
              </w:rPr>
            </w:pPr>
            <w:r>
              <w:rPr>
                <w:sz w:val="20"/>
                <w:szCs w:val="20"/>
              </w:rPr>
              <w:t xml:space="preserve">$16,994 </w:t>
            </w:r>
          </w:p>
        </w:tc>
        <w:tc>
          <w:tcPr>
            <w:tcW w:w="222" w:type="dxa"/>
            <w:tcBorders>
              <w:top w:val="nil"/>
              <w:left w:val="nil"/>
              <w:bottom w:val="nil"/>
              <w:right w:val="nil"/>
            </w:tcBorders>
            <w:shd w:val="clear" w:color="auto" w:fill="auto"/>
            <w:noWrap/>
            <w:vAlign w:val="bottom"/>
            <w:hideMark/>
          </w:tcPr>
          <w:p w:rsidR="00035426" w:rsidRDefault="00035426">
            <w:pPr>
              <w:rPr>
                <w:sz w:val="20"/>
                <w:szCs w:val="20"/>
              </w:rPr>
            </w:pPr>
          </w:p>
        </w:tc>
        <w:tc>
          <w:tcPr>
            <w:tcW w:w="866" w:type="dxa"/>
            <w:tcBorders>
              <w:top w:val="single" w:sz="4" w:space="0" w:color="auto"/>
              <w:left w:val="nil"/>
              <w:bottom w:val="double" w:sz="6" w:space="0" w:color="auto"/>
              <w:right w:val="nil"/>
            </w:tcBorders>
            <w:shd w:val="clear" w:color="auto" w:fill="auto"/>
            <w:noWrap/>
            <w:vAlign w:val="bottom"/>
            <w:hideMark/>
          </w:tcPr>
          <w:p w:rsidR="00035426" w:rsidRDefault="00035426">
            <w:pPr>
              <w:jc w:val="right"/>
              <w:rPr>
                <w:sz w:val="20"/>
                <w:szCs w:val="20"/>
              </w:rPr>
            </w:pPr>
            <w:r>
              <w:rPr>
                <w:sz w:val="20"/>
                <w:szCs w:val="20"/>
              </w:rPr>
              <w:t xml:space="preserve">$17,148 </w:t>
            </w:r>
          </w:p>
        </w:tc>
        <w:tc>
          <w:tcPr>
            <w:tcW w:w="222" w:type="dxa"/>
            <w:tcBorders>
              <w:top w:val="nil"/>
              <w:left w:val="nil"/>
              <w:bottom w:val="nil"/>
              <w:right w:val="nil"/>
            </w:tcBorders>
            <w:shd w:val="clear" w:color="auto" w:fill="auto"/>
            <w:noWrap/>
            <w:vAlign w:val="bottom"/>
            <w:hideMark/>
          </w:tcPr>
          <w:p w:rsidR="00035426" w:rsidRDefault="00035426">
            <w:pPr>
              <w:rPr>
                <w:sz w:val="20"/>
                <w:szCs w:val="20"/>
              </w:rPr>
            </w:pPr>
          </w:p>
        </w:tc>
        <w:tc>
          <w:tcPr>
            <w:tcW w:w="900" w:type="dxa"/>
            <w:tcBorders>
              <w:top w:val="single" w:sz="4" w:space="0" w:color="auto"/>
              <w:left w:val="nil"/>
              <w:bottom w:val="double" w:sz="6" w:space="0" w:color="auto"/>
              <w:right w:val="nil"/>
            </w:tcBorders>
            <w:shd w:val="clear" w:color="auto" w:fill="auto"/>
            <w:noWrap/>
            <w:vAlign w:val="bottom"/>
            <w:hideMark/>
          </w:tcPr>
          <w:p w:rsidR="00035426" w:rsidRDefault="00035426">
            <w:pPr>
              <w:jc w:val="right"/>
              <w:rPr>
                <w:sz w:val="20"/>
                <w:szCs w:val="20"/>
              </w:rPr>
            </w:pPr>
            <w:r>
              <w:rPr>
                <w:color w:val="FF0000"/>
                <w:sz w:val="20"/>
                <w:szCs w:val="20"/>
              </w:rPr>
              <w:t>($154)</w:t>
            </w:r>
          </w:p>
        </w:tc>
        <w:tc>
          <w:tcPr>
            <w:tcW w:w="222" w:type="dxa"/>
            <w:tcBorders>
              <w:top w:val="nil"/>
              <w:left w:val="nil"/>
              <w:bottom w:val="nil"/>
              <w:right w:val="nil"/>
            </w:tcBorders>
            <w:shd w:val="clear" w:color="auto" w:fill="auto"/>
            <w:noWrap/>
            <w:vAlign w:val="bottom"/>
            <w:hideMark/>
          </w:tcPr>
          <w:p w:rsidR="00035426" w:rsidRDefault="00035426">
            <w:pPr>
              <w:rPr>
                <w:sz w:val="20"/>
                <w:szCs w:val="20"/>
              </w:rPr>
            </w:pPr>
          </w:p>
        </w:tc>
        <w:tc>
          <w:tcPr>
            <w:tcW w:w="716" w:type="dxa"/>
            <w:tcBorders>
              <w:top w:val="single" w:sz="4" w:space="0" w:color="auto"/>
              <w:left w:val="nil"/>
              <w:bottom w:val="double" w:sz="6" w:space="0" w:color="auto"/>
              <w:right w:val="nil"/>
            </w:tcBorders>
            <w:shd w:val="clear" w:color="auto" w:fill="auto"/>
            <w:noWrap/>
            <w:vAlign w:val="bottom"/>
            <w:hideMark/>
          </w:tcPr>
          <w:p w:rsidR="00035426" w:rsidRDefault="00035426">
            <w:pPr>
              <w:jc w:val="right"/>
              <w:rPr>
                <w:sz w:val="20"/>
                <w:szCs w:val="20"/>
              </w:rPr>
            </w:pPr>
            <w:r>
              <w:rPr>
                <w:sz w:val="20"/>
                <w:szCs w:val="20"/>
              </w:rPr>
              <w:t>-1%</w:t>
            </w:r>
          </w:p>
        </w:tc>
      </w:tr>
    </w:tbl>
    <w:p w:rsidR="0085226B" w:rsidRDefault="0085226B" w:rsidP="001F383B">
      <w:pPr>
        <w:ind w:firstLine="720"/>
        <w:rPr>
          <w:bCs/>
          <w:color w:val="000000"/>
          <w:sz w:val="20"/>
        </w:rPr>
      </w:pPr>
    </w:p>
    <w:p w:rsidR="004851D7" w:rsidRDefault="004851D7">
      <w:pPr>
        <w:spacing w:after="240"/>
        <w:ind w:firstLine="720"/>
        <w:rPr>
          <w:bCs/>
          <w:color w:val="000000"/>
          <w:sz w:val="20"/>
        </w:rPr>
      </w:pPr>
      <w:r>
        <w:rPr>
          <w:bCs/>
          <w:color w:val="000000"/>
          <w:sz w:val="20"/>
        </w:rPr>
        <w:t xml:space="preserve">Net revenue </w:t>
      </w:r>
      <w:r w:rsidR="00035426">
        <w:rPr>
          <w:bCs/>
          <w:color w:val="000000"/>
          <w:sz w:val="20"/>
        </w:rPr>
        <w:t>decreased 1</w:t>
      </w:r>
      <w:r>
        <w:rPr>
          <w:bCs/>
          <w:color w:val="000000"/>
          <w:sz w:val="20"/>
        </w:rPr>
        <w:t>% from $</w:t>
      </w:r>
      <w:r w:rsidR="00035426">
        <w:rPr>
          <w:bCs/>
          <w:color w:val="000000"/>
          <w:sz w:val="20"/>
        </w:rPr>
        <w:t xml:space="preserve">17,148,000 </w:t>
      </w:r>
      <w:r>
        <w:rPr>
          <w:bCs/>
          <w:color w:val="000000"/>
          <w:sz w:val="20"/>
        </w:rPr>
        <w:t xml:space="preserve">in </w:t>
      </w:r>
      <w:r w:rsidR="00035426">
        <w:rPr>
          <w:bCs/>
          <w:color w:val="000000"/>
          <w:sz w:val="20"/>
        </w:rPr>
        <w:t xml:space="preserve">2010 </w:t>
      </w:r>
      <w:r>
        <w:rPr>
          <w:bCs/>
          <w:color w:val="000000"/>
          <w:sz w:val="20"/>
        </w:rPr>
        <w:t>to $</w:t>
      </w:r>
      <w:r w:rsidR="00035426">
        <w:rPr>
          <w:bCs/>
          <w:color w:val="000000"/>
          <w:sz w:val="20"/>
        </w:rPr>
        <w:t>16,994</w:t>
      </w:r>
      <w:r>
        <w:rPr>
          <w:bCs/>
          <w:color w:val="000000"/>
          <w:sz w:val="20"/>
        </w:rPr>
        <w:t xml:space="preserve">,000 in </w:t>
      </w:r>
      <w:r w:rsidR="00035426">
        <w:rPr>
          <w:bCs/>
          <w:color w:val="000000"/>
          <w:sz w:val="20"/>
        </w:rPr>
        <w:t>2011</w:t>
      </w:r>
      <w:r>
        <w:rPr>
          <w:bCs/>
          <w:color w:val="000000"/>
          <w:sz w:val="20"/>
        </w:rPr>
        <w:t xml:space="preserve">. </w:t>
      </w:r>
    </w:p>
    <w:p w:rsidR="004851D7" w:rsidRPr="00186CDC" w:rsidRDefault="004851D7">
      <w:pPr>
        <w:pStyle w:val="BodyText"/>
        <w:widowControl/>
        <w:ind w:firstLine="720"/>
        <w:rPr>
          <w:rFonts w:ascii="Times New Roman" w:hAnsi="Times New Roman" w:cs="Times New Roman"/>
          <w:color w:val="000000"/>
          <w:sz w:val="20"/>
        </w:rPr>
      </w:pPr>
      <w:r w:rsidRPr="00E61549">
        <w:rPr>
          <w:rFonts w:ascii="Times New Roman" w:hAnsi="Times New Roman" w:cs="Times New Roman"/>
          <w:color w:val="000000"/>
          <w:sz w:val="20"/>
        </w:rPr>
        <w:t>Notation revenue decreased $</w:t>
      </w:r>
      <w:r w:rsidR="00035426" w:rsidRPr="00E61549">
        <w:rPr>
          <w:rFonts w:ascii="Times New Roman" w:hAnsi="Times New Roman" w:cs="Times New Roman"/>
          <w:color w:val="000000"/>
          <w:sz w:val="20"/>
        </w:rPr>
        <w:t>1,245</w:t>
      </w:r>
      <w:r w:rsidRPr="00E61549">
        <w:rPr>
          <w:rFonts w:ascii="Times New Roman" w:hAnsi="Times New Roman" w:cs="Times New Roman"/>
          <w:color w:val="000000"/>
          <w:sz w:val="20"/>
        </w:rPr>
        <w:t>,000 from $</w:t>
      </w:r>
      <w:r w:rsidR="00035426" w:rsidRPr="00E61549">
        <w:rPr>
          <w:rFonts w:ascii="Times New Roman" w:hAnsi="Times New Roman" w:cs="Times New Roman"/>
          <w:color w:val="000000"/>
          <w:sz w:val="20"/>
        </w:rPr>
        <w:t xml:space="preserve">10,712,000 </w:t>
      </w:r>
      <w:r w:rsidRPr="00E61549">
        <w:rPr>
          <w:rFonts w:ascii="Times New Roman" w:hAnsi="Times New Roman" w:cs="Times New Roman"/>
          <w:color w:val="000000"/>
          <w:sz w:val="20"/>
        </w:rPr>
        <w:t xml:space="preserve">for the year ended December 31, </w:t>
      </w:r>
      <w:r w:rsidR="00035426" w:rsidRPr="00E61549">
        <w:rPr>
          <w:rFonts w:ascii="Times New Roman" w:hAnsi="Times New Roman" w:cs="Times New Roman"/>
          <w:color w:val="000000"/>
          <w:sz w:val="20"/>
        </w:rPr>
        <w:t xml:space="preserve">2010 </w:t>
      </w:r>
      <w:r w:rsidRPr="00E61549">
        <w:rPr>
          <w:rFonts w:ascii="Times New Roman" w:hAnsi="Times New Roman" w:cs="Times New Roman"/>
          <w:color w:val="000000"/>
          <w:sz w:val="20"/>
        </w:rPr>
        <w:t>to $</w:t>
      </w:r>
      <w:r w:rsidR="00035426" w:rsidRPr="00E61549">
        <w:rPr>
          <w:rFonts w:ascii="Times New Roman" w:hAnsi="Times New Roman" w:cs="Times New Roman"/>
          <w:color w:val="000000"/>
          <w:sz w:val="20"/>
        </w:rPr>
        <w:t>9,467</w:t>
      </w:r>
      <w:r w:rsidRPr="00E61549">
        <w:rPr>
          <w:rFonts w:ascii="Times New Roman" w:hAnsi="Times New Roman" w:cs="Times New Roman"/>
          <w:color w:val="000000"/>
          <w:sz w:val="20"/>
        </w:rPr>
        <w:t xml:space="preserve">,000 for the year ended December 31, </w:t>
      </w:r>
      <w:r w:rsidR="00035426" w:rsidRPr="00E61549">
        <w:rPr>
          <w:rFonts w:ascii="Times New Roman" w:hAnsi="Times New Roman" w:cs="Times New Roman"/>
          <w:color w:val="000000"/>
          <w:sz w:val="20"/>
        </w:rPr>
        <w:t>2011</w:t>
      </w:r>
      <w:r w:rsidRPr="00186CDC">
        <w:rPr>
          <w:rFonts w:ascii="Times New Roman" w:hAnsi="Times New Roman" w:cs="Times New Roman"/>
          <w:color w:val="000000"/>
          <w:sz w:val="20"/>
        </w:rPr>
        <w:t xml:space="preserve">. Notation revenue decreased </w:t>
      </w:r>
      <w:r w:rsidR="00035426" w:rsidRPr="00E61549">
        <w:rPr>
          <w:rFonts w:ascii="Times New Roman" w:hAnsi="Times New Roman" w:cs="Times New Roman"/>
          <w:color w:val="000000"/>
          <w:sz w:val="20"/>
          <w:szCs w:val="20"/>
        </w:rPr>
        <w:t>due to reductions in both our sales to distribution partners and our direct sales. We attribute these decreases to the timing of our annual Finale update release. This year’s update was released in October 2011, as compared to last year’s release in June 2010.</w:t>
      </w:r>
    </w:p>
    <w:p w:rsidR="004851D7" w:rsidRDefault="004851D7">
      <w:pPr>
        <w:pStyle w:val="BodyText"/>
        <w:widowControl/>
        <w:ind w:firstLine="720"/>
        <w:rPr>
          <w:rFonts w:ascii="Times New Roman" w:hAnsi="Times New Roman"/>
          <w:color w:val="000000"/>
          <w:sz w:val="20"/>
        </w:rPr>
      </w:pPr>
    </w:p>
    <w:p w:rsidR="004851D7" w:rsidRDefault="004851D7">
      <w:pPr>
        <w:spacing w:after="240"/>
        <w:ind w:firstLine="720"/>
        <w:rPr>
          <w:color w:val="000000"/>
          <w:sz w:val="20"/>
        </w:rPr>
      </w:pPr>
      <w:proofErr w:type="spellStart"/>
      <w:r>
        <w:rPr>
          <w:color w:val="000000"/>
          <w:sz w:val="20"/>
        </w:rPr>
        <w:t>SmartMusic</w:t>
      </w:r>
      <w:proofErr w:type="spellEnd"/>
      <w:r>
        <w:rPr>
          <w:color w:val="000000"/>
          <w:sz w:val="20"/>
        </w:rPr>
        <w:t xml:space="preserve"> revenue increased by $</w:t>
      </w:r>
      <w:r w:rsidR="001B34CC">
        <w:rPr>
          <w:color w:val="000000"/>
          <w:sz w:val="20"/>
        </w:rPr>
        <w:t>1,091,</w:t>
      </w:r>
      <w:r>
        <w:rPr>
          <w:color w:val="000000"/>
          <w:sz w:val="20"/>
        </w:rPr>
        <w:t>000 from $</w:t>
      </w:r>
      <w:r w:rsidR="001B34CC">
        <w:rPr>
          <w:color w:val="000000"/>
          <w:sz w:val="20"/>
        </w:rPr>
        <w:t xml:space="preserve">6,436,000 </w:t>
      </w:r>
      <w:r>
        <w:rPr>
          <w:color w:val="000000"/>
          <w:sz w:val="20"/>
        </w:rPr>
        <w:t xml:space="preserve">for the year ended December 31, </w:t>
      </w:r>
      <w:r w:rsidR="001B34CC">
        <w:rPr>
          <w:color w:val="000000"/>
          <w:sz w:val="20"/>
        </w:rPr>
        <w:t xml:space="preserve">2010 </w:t>
      </w:r>
      <w:r>
        <w:rPr>
          <w:color w:val="000000"/>
          <w:sz w:val="20"/>
        </w:rPr>
        <w:t>to $</w:t>
      </w:r>
      <w:r w:rsidR="001B34CC">
        <w:rPr>
          <w:color w:val="000000"/>
          <w:sz w:val="20"/>
        </w:rPr>
        <w:t>7,527</w:t>
      </w:r>
      <w:r>
        <w:rPr>
          <w:color w:val="000000"/>
          <w:sz w:val="20"/>
        </w:rPr>
        <w:t xml:space="preserve">,000 for the year ended December 31, </w:t>
      </w:r>
      <w:r w:rsidR="001B34CC">
        <w:rPr>
          <w:color w:val="000000"/>
          <w:sz w:val="20"/>
        </w:rPr>
        <w:t>2011</w:t>
      </w:r>
      <w:r>
        <w:rPr>
          <w:color w:val="000000"/>
          <w:sz w:val="20"/>
          <w:szCs w:val="20"/>
        </w:rPr>
        <w:t xml:space="preserve">. The increase in revenue reflects the continued growth of the </w:t>
      </w:r>
      <w:proofErr w:type="spellStart"/>
      <w:r>
        <w:rPr>
          <w:color w:val="000000"/>
          <w:sz w:val="20"/>
          <w:szCs w:val="20"/>
        </w:rPr>
        <w:t>SmartMusic</w:t>
      </w:r>
      <w:proofErr w:type="spellEnd"/>
      <w:r>
        <w:rPr>
          <w:color w:val="000000"/>
          <w:sz w:val="20"/>
          <w:szCs w:val="20"/>
        </w:rPr>
        <w:t xml:space="preserve"> product that was originally launched in 2001 and the </w:t>
      </w:r>
      <w:proofErr w:type="spellStart"/>
      <w:r>
        <w:rPr>
          <w:color w:val="000000"/>
          <w:sz w:val="20"/>
          <w:szCs w:val="20"/>
        </w:rPr>
        <w:t>SmartMusic</w:t>
      </w:r>
      <w:proofErr w:type="spellEnd"/>
      <w:r>
        <w:rPr>
          <w:color w:val="000000"/>
          <w:sz w:val="20"/>
          <w:szCs w:val="20"/>
        </w:rPr>
        <w:t xml:space="preserve"> </w:t>
      </w:r>
      <w:proofErr w:type="spellStart"/>
      <w:r>
        <w:rPr>
          <w:color w:val="000000"/>
          <w:sz w:val="20"/>
          <w:szCs w:val="20"/>
        </w:rPr>
        <w:t>Gradebook</w:t>
      </w:r>
      <w:proofErr w:type="spellEnd"/>
      <w:r>
        <w:rPr>
          <w:color w:val="000000"/>
          <w:sz w:val="20"/>
          <w:szCs w:val="20"/>
        </w:rPr>
        <w:t xml:space="preserve"> product that was released in 2007. It also reflects the expansion of our direct sales force which focuses on district level sales.</w:t>
      </w:r>
      <w:r>
        <w:rPr>
          <w:color w:val="000000"/>
        </w:rPr>
        <w:t xml:space="preserve">  </w:t>
      </w:r>
    </w:p>
    <w:p w:rsidR="004851D7" w:rsidRDefault="004851D7">
      <w:pPr>
        <w:spacing w:after="240"/>
        <w:ind w:right="-270" w:firstLine="720"/>
        <w:rPr>
          <w:sz w:val="20"/>
        </w:rPr>
      </w:pPr>
      <w:proofErr w:type="spellStart"/>
      <w:r>
        <w:rPr>
          <w:color w:val="000000"/>
          <w:sz w:val="20"/>
        </w:rPr>
        <w:t>SmartMusic</w:t>
      </w:r>
      <w:proofErr w:type="spellEnd"/>
      <w:r>
        <w:rPr>
          <w:color w:val="000000"/>
          <w:sz w:val="20"/>
        </w:rPr>
        <w:t xml:space="preserve"> is sold to schools, students and music organization members on a subscription basis. Revenue for these subscriptions is recognized over the life of the subscription which is typically 12 months. Total earned </w:t>
      </w:r>
      <w:proofErr w:type="spellStart"/>
      <w:r>
        <w:rPr>
          <w:color w:val="000000"/>
          <w:sz w:val="20"/>
        </w:rPr>
        <w:t>SmartMusic</w:t>
      </w:r>
      <w:proofErr w:type="spellEnd"/>
      <w:r>
        <w:rPr>
          <w:color w:val="000000"/>
          <w:sz w:val="20"/>
        </w:rPr>
        <w:t xml:space="preserve"> subscription revenue for the year ended December 31, </w:t>
      </w:r>
      <w:r w:rsidR="001B34CC">
        <w:rPr>
          <w:color w:val="000000"/>
          <w:sz w:val="20"/>
        </w:rPr>
        <w:t xml:space="preserve">2011 </w:t>
      </w:r>
      <w:r>
        <w:rPr>
          <w:color w:val="000000"/>
          <w:sz w:val="20"/>
        </w:rPr>
        <w:t>was $</w:t>
      </w:r>
      <w:r w:rsidR="008E4895">
        <w:rPr>
          <w:color w:val="000000"/>
          <w:sz w:val="20"/>
        </w:rPr>
        <w:t>6,207,</w:t>
      </w:r>
      <w:r>
        <w:rPr>
          <w:color w:val="000000"/>
          <w:sz w:val="20"/>
        </w:rPr>
        <w:t>000, an increase of $1,</w:t>
      </w:r>
      <w:r w:rsidR="008E4895">
        <w:rPr>
          <w:color w:val="000000"/>
          <w:sz w:val="20"/>
        </w:rPr>
        <w:t>237</w:t>
      </w:r>
      <w:r>
        <w:rPr>
          <w:color w:val="000000"/>
          <w:sz w:val="20"/>
        </w:rPr>
        <w:t>,000, or 2</w:t>
      </w:r>
      <w:r w:rsidR="008E4895">
        <w:rPr>
          <w:color w:val="000000"/>
          <w:sz w:val="20"/>
        </w:rPr>
        <w:t>5</w:t>
      </w:r>
      <w:r>
        <w:rPr>
          <w:color w:val="000000"/>
          <w:sz w:val="20"/>
        </w:rPr>
        <w:t xml:space="preserve">%, over the year ended December 31, </w:t>
      </w:r>
      <w:r w:rsidR="001B34CC">
        <w:rPr>
          <w:color w:val="000000"/>
          <w:sz w:val="20"/>
        </w:rPr>
        <w:t>2010</w:t>
      </w:r>
      <w:r>
        <w:rPr>
          <w:color w:val="000000"/>
          <w:sz w:val="20"/>
        </w:rPr>
        <w:t xml:space="preserve">. This increase is due to the increase in the total number of subscriptions as well as a price increase in the third quarter of 2010 when teacher subscriptions increased from $130 to $140 and student subscriptions increased from $30 to $36. Total unearned </w:t>
      </w:r>
      <w:proofErr w:type="spellStart"/>
      <w:r>
        <w:rPr>
          <w:color w:val="000000"/>
          <w:sz w:val="20"/>
        </w:rPr>
        <w:t>SmartMusic</w:t>
      </w:r>
      <w:proofErr w:type="spellEnd"/>
      <w:r>
        <w:rPr>
          <w:color w:val="000000"/>
          <w:sz w:val="20"/>
        </w:rPr>
        <w:t xml:space="preserve"> subscription revenue (deferred revenue) was $</w:t>
      </w:r>
      <w:r w:rsidR="008E4895">
        <w:rPr>
          <w:color w:val="000000"/>
          <w:sz w:val="20"/>
        </w:rPr>
        <w:t>4,285</w:t>
      </w:r>
      <w:r>
        <w:rPr>
          <w:color w:val="000000"/>
          <w:sz w:val="20"/>
        </w:rPr>
        <w:t xml:space="preserve">,000 as of December 31, </w:t>
      </w:r>
      <w:r w:rsidR="008E4895">
        <w:rPr>
          <w:color w:val="000000"/>
          <w:sz w:val="20"/>
        </w:rPr>
        <w:t>2011</w:t>
      </w:r>
      <w:r>
        <w:rPr>
          <w:color w:val="000000"/>
          <w:sz w:val="20"/>
        </w:rPr>
        <w:t>, an increase of $</w:t>
      </w:r>
      <w:r w:rsidR="008E4895">
        <w:rPr>
          <w:color w:val="000000"/>
          <w:sz w:val="20"/>
        </w:rPr>
        <w:t>652</w:t>
      </w:r>
      <w:r>
        <w:rPr>
          <w:color w:val="000000"/>
          <w:sz w:val="20"/>
        </w:rPr>
        <w:t xml:space="preserve">,000, or </w:t>
      </w:r>
      <w:r w:rsidR="008E4895">
        <w:rPr>
          <w:color w:val="000000"/>
          <w:sz w:val="20"/>
        </w:rPr>
        <w:t>18</w:t>
      </w:r>
      <w:r>
        <w:rPr>
          <w:color w:val="000000"/>
          <w:sz w:val="20"/>
        </w:rPr>
        <w:t xml:space="preserve">%, over the balance at December 31, </w:t>
      </w:r>
      <w:r w:rsidR="008E4895">
        <w:rPr>
          <w:color w:val="000000"/>
          <w:sz w:val="20"/>
        </w:rPr>
        <w:t>2010</w:t>
      </w:r>
      <w:r>
        <w:rPr>
          <w:color w:val="000000"/>
          <w:sz w:val="20"/>
        </w:rPr>
        <w:t xml:space="preserve">. Deferred </w:t>
      </w:r>
      <w:proofErr w:type="spellStart"/>
      <w:r>
        <w:rPr>
          <w:color w:val="000000"/>
          <w:sz w:val="20"/>
        </w:rPr>
        <w:t>SmartMusic</w:t>
      </w:r>
      <w:proofErr w:type="spellEnd"/>
      <w:r>
        <w:rPr>
          <w:color w:val="000000"/>
          <w:sz w:val="20"/>
        </w:rPr>
        <w:t xml:space="preserve"> revenue represents the future revenue to be recorded on current subscriptions. </w:t>
      </w:r>
    </w:p>
    <w:p w:rsidR="004851D7" w:rsidRDefault="004851D7">
      <w:pPr>
        <w:spacing w:after="240"/>
        <w:ind w:firstLine="720"/>
        <w:rPr>
          <w:color w:val="000000"/>
          <w:sz w:val="20"/>
        </w:rPr>
      </w:pPr>
      <w:proofErr w:type="spellStart"/>
      <w:r>
        <w:rPr>
          <w:color w:val="000000"/>
          <w:sz w:val="20"/>
        </w:rPr>
        <w:t>SmartMusic</w:t>
      </w:r>
      <w:proofErr w:type="spellEnd"/>
      <w:r>
        <w:rPr>
          <w:color w:val="000000"/>
          <w:sz w:val="20"/>
        </w:rPr>
        <w:t xml:space="preserve"> has shown sustained growth since its launch. As of December 31, </w:t>
      </w:r>
      <w:r w:rsidR="00F66C7D">
        <w:rPr>
          <w:color w:val="000000"/>
          <w:sz w:val="20"/>
        </w:rPr>
        <w:t>2011</w:t>
      </w:r>
      <w:r>
        <w:rPr>
          <w:color w:val="000000"/>
          <w:sz w:val="20"/>
        </w:rPr>
        <w:t>,</w:t>
      </w:r>
      <w:r w:rsidR="00F66C7D">
        <w:rPr>
          <w:color w:val="000000"/>
          <w:sz w:val="20"/>
        </w:rPr>
        <w:t xml:space="preserve"> 10,544</w:t>
      </w:r>
      <w:r>
        <w:rPr>
          <w:color w:val="000000"/>
          <w:sz w:val="20"/>
        </w:rPr>
        <w:t xml:space="preserve"> </w:t>
      </w:r>
      <w:r w:rsidR="00B00B50">
        <w:rPr>
          <w:color w:val="000000"/>
          <w:sz w:val="20"/>
        </w:rPr>
        <w:t xml:space="preserve">educators </w:t>
      </w:r>
      <w:r>
        <w:rPr>
          <w:color w:val="000000"/>
          <w:sz w:val="20"/>
        </w:rPr>
        <w:t xml:space="preserve">have purchased </w:t>
      </w:r>
      <w:proofErr w:type="spellStart"/>
      <w:r>
        <w:rPr>
          <w:color w:val="000000"/>
          <w:sz w:val="20"/>
        </w:rPr>
        <w:t>SmartMusic</w:t>
      </w:r>
      <w:proofErr w:type="spellEnd"/>
      <w:r>
        <w:rPr>
          <w:color w:val="000000"/>
          <w:sz w:val="20"/>
        </w:rPr>
        <w:t xml:space="preserve">, an increase of </w:t>
      </w:r>
      <w:r w:rsidR="00B00B50">
        <w:rPr>
          <w:color w:val="000000"/>
          <w:sz w:val="20"/>
        </w:rPr>
        <w:t>12</w:t>
      </w:r>
      <w:r>
        <w:rPr>
          <w:color w:val="000000"/>
          <w:sz w:val="20"/>
        </w:rPr>
        <w:t xml:space="preserve">% over the </w:t>
      </w:r>
      <w:r w:rsidR="00F66C7D">
        <w:rPr>
          <w:color w:val="000000"/>
          <w:sz w:val="20"/>
        </w:rPr>
        <w:t>9</w:t>
      </w:r>
      <w:r w:rsidR="00B00B50">
        <w:rPr>
          <w:color w:val="000000"/>
          <w:sz w:val="20"/>
        </w:rPr>
        <w:t>,</w:t>
      </w:r>
      <w:r w:rsidR="00F66C7D">
        <w:rPr>
          <w:color w:val="000000"/>
          <w:sz w:val="20"/>
        </w:rPr>
        <w:t xml:space="preserve">402 </w:t>
      </w:r>
      <w:r w:rsidR="00B00B50">
        <w:rPr>
          <w:color w:val="000000"/>
          <w:sz w:val="20"/>
        </w:rPr>
        <w:t xml:space="preserve">educators </w:t>
      </w:r>
      <w:r>
        <w:rPr>
          <w:color w:val="000000"/>
          <w:sz w:val="20"/>
        </w:rPr>
        <w:t xml:space="preserve">that had purchased it as of December 31, </w:t>
      </w:r>
      <w:r w:rsidR="008E4895">
        <w:rPr>
          <w:color w:val="000000"/>
          <w:sz w:val="20"/>
        </w:rPr>
        <w:t>2010</w:t>
      </w:r>
      <w:r>
        <w:rPr>
          <w:color w:val="000000"/>
          <w:sz w:val="20"/>
        </w:rPr>
        <w:t xml:space="preserve">. Total </w:t>
      </w:r>
      <w:proofErr w:type="spellStart"/>
      <w:r>
        <w:rPr>
          <w:color w:val="000000"/>
          <w:sz w:val="20"/>
        </w:rPr>
        <w:t>SmartMusic</w:t>
      </w:r>
      <w:proofErr w:type="spellEnd"/>
      <w:r>
        <w:rPr>
          <w:color w:val="000000"/>
          <w:sz w:val="20"/>
        </w:rPr>
        <w:t xml:space="preserve"> subscriptions as of December 31, </w:t>
      </w:r>
      <w:r w:rsidR="00B00B50">
        <w:rPr>
          <w:color w:val="000000"/>
          <w:sz w:val="20"/>
        </w:rPr>
        <w:t xml:space="preserve">2011 </w:t>
      </w:r>
      <w:r>
        <w:rPr>
          <w:color w:val="000000"/>
          <w:sz w:val="20"/>
        </w:rPr>
        <w:t xml:space="preserve">numbered </w:t>
      </w:r>
      <w:r w:rsidR="00B00B50">
        <w:rPr>
          <w:color w:val="000000"/>
          <w:sz w:val="20"/>
        </w:rPr>
        <w:t>178,609</w:t>
      </w:r>
      <w:r>
        <w:rPr>
          <w:color w:val="000000"/>
          <w:sz w:val="20"/>
        </w:rPr>
        <w:t xml:space="preserve">, representing a net gain of </w:t>
      </w:r>
      <w:r w:rsidR="00B00B50">
        <w:rPr>
          <w:color w:val="000000"/>
          <w:sz w:val="20"/>
        </w:rPr>
        <w:t>16,420</w:t>
      </w:r>
      <w:r>
        <w:rPr>
          <w:color w:val="000000"/>
          <w:sz w:val="20"/>
        </w:rPr>
        <w:t xml:space="preserve">, or </w:t>
      </w:r>
      <w:r w:rsidR="00B00B50">
        <w:rPr>
          <w:color w:val="000000"/>
          <w:sz w:val="20"/>
        </w:rPr>
        <w:t>10</w:t>
      </w:r>
      <w:r>
        <w:rPr>
          <w:color w:val="000000"/>
          <w:sz w:val="20"/>
        </w:rPr>
        <w:t xml:space="preserve">%, over the December 31, </w:t>
      </w:r>
      <w:r w:rsidR="00B00B50">
        <w:rPr>
          <w:color w:val="000000"/>
          <w:sz w:val="20"/>
        </w:rPr>
        <w:t xml:space="preserve">2010 </w:t>
      </w:r>
      <w:r>
        <w:rPr>
          <w:color w:val="000000"/>
          <w:sz w:val="20"/>
        </w:rPr>
        <w:t xml:space="preserve">subscription count of </w:t>
      </w:r>
      <w:r w:rsidR="00B00B50">
        <w:rPr>
          <w:color w:val="000000"/>
          <w:sz w:val="20"/>
        </w:rPr>
        <w:t>162,189</w:t>
      </w:r>
      <w:r>
        <w:rPr>
          <w:color w:val="000000"/>
          <w:sz w:val="20"/>
        </w:rPr>
        <w:t xml:space="preserve">. </w:t>
      </w:r>
    </w:p>
    <w:p w:rsidR="004851D7" w:rsidRDefault="004851D7">
      <w:pPr>
        <w:pStyle w:val="BodyText"/>
        <w:tabs>
          <w:tab w:val="left" w:pos="720"/>
        </w:tabs>
        <w:rPr>
          <w:rFonts w:ascii="Times New Roman" w:hAnsi="Times New Roman"/>
          <w:color w:val="000000"/>
          <w:sz w:val="20"/>
        </w:rPr>
      </w:pPr>
      <w:r>
        <w:rPr>
          <w:rFonts w:ascii="Times New Roman" w:hAnsi="Times New Roman"/>
          <w:color w:val="000000"/>
          <w:sz w:val="20"/>
        </w:rPr>
        <w:tab/>
        <w:t xml:space="preserve">Many </w:t>
      </w:r>
      <w:proofErr w:type="spellStart"/>
      <w:r>
        <w:rPr>
          <w:rFonts w:ascii="Times New Roman" w:hAnsi="Times New Roman"/>
          <w:color w:val="000000"/>
          <w:sz w:val="20"/>
        </w:rPr>
        <w:t>SmartMusic</w:t>
      </w:r>
      <w:proofErr w:type="spellEnd"/>
      <w:r>
        <w:rPr>
          <w:rFonts w:ascii="Times New Roman" w:hAnsi="Times New Roman"/>
          <w:color w:val="000000"/>
          <w:sz w:val="20"/>
        </w:rPr>
        <w:t xml:space="preserve"> customers, especially new customers, also purchase accessories (primarily microphones and foot pedals) that are used with the software. Revenue for the sales of accessories, included in the </w:t>
      </w:r>
      <w:proofErr w:type="spellStart"/>
      <w:r>
        <w:rPr>
          <w:rFonts w:ascii="Times New Roman" w:hAnsi="Times New Roman"/>
          <w:color w:val="000000"/>
          <w:sz w:val="20"/>
        </w:rPr>
        <w:t>SmartMusic</w:t>
      </w:r>
      <w:proofErr w:type="spellEnd"/>
      <w:r>
        <w:rPr>
          <w:rFonts w:ascii="Times New Roman" w:hAnsi="Times New Roman"/>
          <w:color w:val="000000"/>
          <w:sz w:val="20"/>
        </w:rPr>
        <w:t xml:space="preserve"> revenue category, for the year ended December 31, </w:t>
      </w:r>
      <w:r w:rsidR="00B00B50">
        <w:rPr>
          <w:rFonts w:ascii="Times New Roman" w:hAnsi="Times New Roman"/>
          <w:color w:val="000000"/>
          <w:sz w:val="20"/>
        </w:rPr>
        <w:t xml:space="preserve">2011 </w:t>
      </w:r>
      <w:r>
        <w:rPr>
          <w:rFonts w:ascii="Times New Roman" w:hAnsi="Times New Roman"/>
          <w:color w:val="000000"/>
          <w:sz w:val="20"/>
        </w:rPr>
        <w:t>was $</w:t>
      </w:r>
      <w:r w:rsidR="00B00B50">
        <w:rPr>
          <w:rFonts w:ascii="Times New Roman" w:hAnsi="Times New Roman"/>
          <w:color w:val="000000"/>
          <w:sz w:val="20"/>
        </w:rPr>
        <w:t>981</w:t>
      </w:r>
      <w:r>
        <w:rPr>
          <w:rFonts w:ascii="Times New Roman" w:hAnsi="Times New Roman"/>
          <w:color w:val="000000"/>
          <w:sz w:val="20"/>
        </w:rPr>
        <w:t>,000, which was comparable to revenue of $</w:t>
      </w:r>
      <w:r w:rsidR="00B00B50">
        <w:rPr>
          <w:rFonts w:ascii="Times New Roman" w:hAnsi="Times New Roman"/>
          <w:color w:val="000000"/>
          <w:sz w:val="20"/>
        </w:rPr>
        <w:t>1,000</w:t>
      </w:r>
      <w:r>
        <w:rPr>
          <w:rFonts w:ascii="Times New Roman" w:hAnsi="Times New Roman"/>
          <w:color w:val="000000"/>
          <w:sz w:val="20"/>
        </w:rPr>
        <w:t xml:space="preserve">,000 for </w:t>
      </w:r>
      <w:proofErr w:type="spellStart"/>
      <w:r>
        <w:rPr>
          <w:rFonts w:ascii="Times New Roman" w:hAnsi="Times New Roman"/>
          <w:color w:val="000000"/>
          <w:sz w:val="20"/>
        </w:rPr>
        <w:t>SmartMusic</w:t>
      </w:r>
      <w:proofErr w:type="spellEnd"/>
      <w:r>
        <w:rPr>
          <w:rFonts w:ascii="Times New Roman" w:hAnsi="Times New Roman"/>
          <w:color w:val="000000"/>
          <w:sz w:val="20"/>
        </w:rPr>
        <w:t xml:space="preserve"> accessories for the year ended December 31, </w:t>
      </w:r>
      <w:r w:rsidR="00B00B50">
        <w:rPr>
          <w:rFonts w:ascii="Times New Roman" w:hAnsi="Times New Roman"/>
          <w:color w:val="000000"/>
          <w:sz w:val="20"/>
        </w:rPr>
        <w:t>2010</w:t>
      </w:r>
      <w:r>
        <w:rPr>
          <w:rFonts w:ascii="Times New Roman" w:hAnsi="Times New Roman"/>
          <w:color w:val="000000"/>
          <w:sz w:val="20"/>
        </w:rPr>
        <w:t xml:space="preserve">. </w:t>
      </w:r>
    </w:p>
    <w:p w:rsidR="00B00B50" w:rsidRDefault="00B00B50">
      <w:pPr>
        <w:pStyle w:val="BodyText"/>
        <w:tabs>
          <w:tab w:val="left" w:pos="720"/>
        </w:tabs>
        <w:rPr>
          <w:rFonts w:ascii="Times New Roman" w:hAnsi="Times New Roman"/>
          <w:color w:val="000000"/>
          <w:sz w:val="20"/>
        </w:rPr>
      </w:pPr>
    </w:p>
    <w:tbl>
      <w:tblPr>
        <w:tblW w:w="4740" w:type="dxa"/>
        <w:tblInd w:w="108" w:type="dxa"/>
        <w:tblLook w:val="04A0" w:firstRow="1" w:lastRow="0" w:firstColumn="1" w:lastColumn="0" w:noHBand="0" w:noVBand="1"/>
      </w:tblPr>
      <w:tblGrid>
        <w:gridCol w:w="1304"/>
        <w:gridCol w:w="866"/>
        <w:gridCol w:w="222"/>
        <w:gridCol w:w="866"/>
        <w:gridCol w:w="222"/>
        <w:gridCol w:w="900"/>
        <w:gridCol w:w="222"/>
        <w:gridCol w:w="716"/>
      </w:tblGrid>
      <w:tr w:rsidR="00B00B50" w:rsidTr="00B00B50">
        <w:trPr>
          <w:trHeight w:val="270"/>
        </w:trPr>
        <w:tc>
          <w:tcPr>
            <w:tcW w:w="3036" w:type="dxa"/>
            <w:gridSpan w:val="4"/>
            <w:tcBorders>
              <w:top w:val="nil"/>
              <w:left w:val="nil"/>
              <w:bottom w:val="nil"/>
              <w:right w:val="nil"/>
            </w:tcBorders>
            <w:shd w:val="clear" w:color="auto" w:fill="auto"/>
            <w:noWrap/>
            <w:vAlign w:val="bottom"/>
            <w:hideMark/>
          </w:tcPr>
          <w:p w:rsidR="00B00B50" w:rsidRDefault="00B00B50">
            <w:pPr>
              <w:rPr>
                <w:b/>
                <w:bCs/>
                <w:i/>
                <w:iCs/>
                <w:sz w:val="20"/>
                <w:szCs w:val="20"/>
              </w:rPr>
            </w:pPr>
            <w:r>
              <w:rPr>
                <w:b/>
                <w:bCs/>
                <w:i/>
                <w:iCs/>
                <w:sz w:val="20"/>
                <w:szCs w:val="20"/>
              </w:rPr>
              <w:t xml:space="preserve">Gross Profit </w:t>
            </w:r>
            <w:r>
              <w:rPr>
                <w:i/>
                <w:iCs/>
                <w:sz w:val="20"/>
                <w:szCs w:val="20"/>
              </w:rPr>
              <w:t>($ in thousands)</w:t>
            </w:r>
          </w:p>
        </w:tc>
        <w:tc>
          <w:tcPr>
            <w:tcW w:w="76" w:type="dxa"/>
            <w:tcBorders>
              <w:top w:val="nil"/>
              <w:left w:val="nil"/>
              <w:bottom w:val="nil"/>
              <w:right w:val="nil"/>
            </w:tcBorders>
            <w:shd w:val="clear" w:color="auto" w:fill="auto"/>
            <w:noWrap/>
            <w:vAlign w:val="bottom"/>
            <w:hideMark/>
          </w:tcPr>
          <w:p w:rsidR="00B00B50" w:rsidRDefault="00B00B50">
            <w:pPr>
              <w:rPr>
                <w:sz w:val="20"/>
                <w:szCs w:val="20"/>
              </w:rPr>
            </w:pPr>
          </w:p>
        </w:tc>
        <w:tc>
          <w:tcPr>
            <w:tcW w:w="856" w:type="dxa"/>
            <w:tcBorders>
              <w:top w:val="nil"/>
              <w:left w:val="nil"/>
              <w:bottom w:val="nil"/>
              <w:right w:val="nil"/>
            </w:tcBorders>
            <w:shd w:val="clear" w:color="auto" w:fill="auto"/>
            <w:noWrap/>
            <w:vAlign w:val="bottom"/>
            <w:hideMark/>
          </w:tcPr>
          <w:p w:rsidR="00B00B50" w:rsidRDefault="00B00B50">
            <w:pPr>
              <w:rPr>
                <w:sz w:val="20"/>
                <w:szCs w:val="20"/>
              </w:rPr>
            </w:pPr>
          </w:p>
        </w:tc>
        <w:tc>
          <w:tcPr>
            <w:tcW w:w="56" w:type="dxa"/>
            <w:tcBorders>
              <w:top w:val="nil"/>
              <w:left w:val="nil"/>
              <w:bottom w:val="nil"/>
              <w:right w:val="nil"/>
            </w:tcBorders>
            <w:shd w:val="clear" w:color="auto" w:fill="auto"/>
            <w:noWrap/>
            <w:vAlign w:val="bottom"/>
            <w:hideMark/>
          </w:tcPr>
          <w:p w:rsidR="00B00B50" w:rsidRDefault="00B00B50">
            <w:pPr>
              <w:rPr>
                <w:sz w:val="20"/>
                <w:szCs w:val="20"/>
              </w:rPr>
            </w:pPr>
          </w:p>
        </w:tc>
        <w:tc>
          <w:tcPr>
            <w:tcW w:w="716" w:type="dxa"/>
            <w:tcBorders>
              <w:top w:val="nil"/>
              <w:left w:val="nil"/>
              <w:bottom w:val="nil"/>
              <w:right w:val="nil"/>
            </w:tcBorders>
            <w:shd w:val="clear" w:color="auto" w:fill="auto"/>
            <w:noWrap/>
            <w:vAlign w:val="bottom"/>
            <w:hideMark/>
          </w:tcPr>
          <w:p w:rsidR="00B00B50" w:rsidRDefault="00B00B50">
            <w:pPr>
              <w:rPr>
                <w:sz w:val="20"/>
                <w:szCs w:val="20"/>
              </w:rPr>
            </w:pPr>
          </w:p>
        </w:tc>
      </w:tr>
      <w:tr w:rsidR="00B00B50" w:rsidTr="00B00B50">
        <w:trPr>
          <w:trHeight w:val="255"/>
        </w:trPr>
        <w:tc>
          <w:tcPr>
            <w:tcW w:w="1304" w:type="dxa"/>
            <w:tcBorders>
              <w:top w:val="nil"/>
              <w:left w:val="nil"/>
              <w:bottom w:val="nil"/>
              <w:right w:val="nil"/>
            </w:tcBorders>
            <w:shd w:val="clear" w:color="auto" w:fill="auto"/>
            <w:noWrap/>
            <w:vAlign w:val="bottom"/>
            <w:hideMark/>
          </w:tcPr>
          <w:p w:rsidR="00B00B50" w:rsidRDefault="00B00B50">
            <w:pPr>
              <w:rPr>
                <w:sz w:val="20"/>
                <w:szCs w:val="20"/>
              </w:rPr>
            </w:pPr>
          </w:p>
        </w:tc>
        <w:tc>
          <w:tcPr>
            <w:tcW w:w="3436" w:type="dxa"/>
            <w:gridSpan w:val="7"/>
            <w:tcBorders>
              <w:top w:val="nil"/>
              <w:left w:val="nil"/>
              <w:bottom w:val="nil"/>
              <w:right w:val="nil"/>
            </w:tcBorders>
            <w:shd w:val="clear" w:color="auto" w:fill="auto"/>
            <w:vAlign w:val="bottom"/>
            <w:hideMark/>
          </w:tcPr>
          <w:p w:rsidR="00B00B50" w:rsidRDefault="00B00B50">
            <w:pPr>
              <w:jc w:val="center"/>
              <w:rPr>
                <w:color w:val="000000"/>
                <w:sz w:val="20"/>
                <w:szCs w:val="20"/>
              </w:rPr>
            </w:pPr>
            <w:r>
              <w:rPr>
                <w:color w:val="000000"/>
                <w:sz w:val="20"/>
                <w:szCs w:val="20"/>
              </w:rPr>
              <w:t xml:space="preserve">Year Ended December 31, </w:t>
            </w:r>
          </w:p>
        </w:tc>
      </w:tr>
      <w:tr w:rsidR="00B00B50" w:rsidTr="00B00B50">
        <w:trPr>
          <w:trHeight w:val="525"/>
        </w:trPr>
        <w:tc>
          <w:tcPr>
            <w:tcW w:w="1304" w:type="dxa"/>
            <w:tcBorders>
              <w:top w:val="nil"/>
              <w:left w:val="nil"/>
              <w:bottom w:val="nil"/>
              <w:right w:val="nil"/>
            </w:tcBorders>
            <w:shd w:val="clear" w:color="auto" w:fill="auto"/>
            <w:vAlign w:val="bottom"/>
            <w:hideMark/>
          </w:tcPr>
          <w:p w:rsidR="00B00B50" w:rsidRDefault="00B00B50">
            <w:pPr>
              <w:rPr>
                <w:color w:val="000000"/>
                <w:sz w:val="20"/>
                <w:szCs w:val="20"/>
              </w:rPr>
            </w:pPr>
          </w:p>
        </w:tc>
        <w:tc>
          <w:tcPr>
            <w:tcW w:w="853" w:type="dxa"/>
            <w:tcBorders>
              <w:top w:val="nil"/>
              <w:left w:val="nil"/>
              <w:bottom w:val="single" w:sz="8" w:space="0" w:color="auto"/>
              <w:right w:val="nil"/>
            </w:tcBorders>
            <w:shd w:val="clear" w:color="auto" w:fill="auto"/>
            <w:vAlign w:val="bottom"/>
            <w:hideMark/>
          </w:tcPr>
          <w:p w:rsidR="00B00B50" w:rsidRDefault="00B00B50">
            <w:pPr>
              <w:jc w:val="center"/>
              <w:rPr>
                <w:color w:val="000000"/>
                <w:sz w:val="20"/>
                <w:szCs w:val="20"/>
              </w:rPr>
            </w:pPr>
            <w:r>
              <w:rPr>
                <w:color w:val="000000"/>
                <w:sz w:val="20"/>
                <w:szCs w:val="20"/>
              </w:rPr>
              <w:t>2011</w:t>
            </w:r>
          </w:p>
        </w:tc>
        <w:tc>
          <w:tcPr>
            <w:tcW w:w="26" w:type="dxa"/>
            <w:tcBorders>
              <w:top w:val="nil"/>
              <w:left w:val="nil"/>
              <w:bottom w:val="nil"/>
              <w:right w:val="nil"/>
            </w:tcBorders>
            <w:shd w:val="clear" w:color="auto" w:fill="auto"/>
            <w:vAlign w:val="bottom"/>
            <w:hideMark/>
          </w:tcPr>
          <w:p w:rsidR="00B00B50" w:rsidRDefault="00B00B50">
            <w:pPr>
              <w:jc w:val="center"/>
              <w:rPr>
                <w:color w:val="000000"/>
                <w:sz w:val="20"/>
                <w:szCs w:val="20"/>
              </w:rPr>
            </w:pPr>
          </w:p>
        </w:tc>
        <w:tc>
          <w:tcPr>
            <w:tcW w:w="853" w:type="dxa"/>
            <w:tcBorders>
              <w:top w:val="nil"/>
              <w:left w:val="nil"/>
              <w:bottom w:val="single" w:sz="8" w:space="0" w:color="auto"/>
              <w:right w:val="nil"/>
            </w:tcBorders>
            <w:shd w:val="clear" w:color="auto" w:fill="auto"/>
            <w:vAlign w:val="bottom"/>
            <w:hideMark/>
          </w:tcPr>
          <w:p w:rsidR="00B00B50" w:rsidRDefault="00B00B50">
            <w:pPr>
              <w:jc w:val="center"/>
              <w:rPr>
                <w:color w:val="000000"/>
                <w:sz w:val="20"/>
                <w:szCs w:val="20"/>
              </w:rPr>
            </w:pPr>
            <w:r>
              <w:rPr>
                <w:color w:val="000000"/>
                <w:sz w:val="20"/>
                <w:szCs w:val="20"/>
              </w:rPr>
              <w:t>2010</w:t>
            </w:r>
          </w:p>
        </w:tc>
        <w:tc>
          <w:tcPr>
            <w:tcW w:w="76" w:type="dxa"/>
            <w:tcBorders>
              <w:top w:val="nil"/>
              <w:left w:val="nil"/>
              <w:bottom w:val="nil"/>
              <w:right w:val="nil"/>
            </w:tcBorders>
            <w:shd w:val="clear" w:color="auto" w:fill="auto"/>
            <w:vAlign w:val="bottom"/>
            <w:hideMark/>
          </w:tcPr>
          <w:p w:rsidR="00B00B50" w:rsidRDefault="00B00B50">
            <w:pPr>
              <w:rPr>
                <w:color w:val="000000"/>
                <w:sz w:val="20"/>
                <w:szCs w:val="20"/>
              </w:rPr>
            </w:pPr>
          </w:p>
        </w:tc>
        <w:tc>
          <w:tcPr>
            <w:tcW w:w="856" w:type="dxa"/>
            <w:tcBorders>
              <w:top w:val="nil"/>
              <w:left w:val="nil"/>
              <w:bottom w:val="single" w:sz="8" w:space="0" w:color="auto"/>
              <w:right w:val="nil"/>
            </w:tcBorders>
            <w:shd w:val="clear" w:color="auto" w:fill="auto"/>
            <w:vAlign w:val="bottom"/>
            <w:hideMark/>
          </w:tcPr>
          <w:p w:rsidR="00B00B50" w:rsidRDefault="00B00B50">
            <w:pPr>
              <w:jc w:val="center"/>
              <w:rPr>
                <w:color w:val="000000"/>
                <w:sz w:val="20"/>
                <w:szCs w:val="20"/>
              </w:rPr>
            </w:pPr>
            <w:proofErr w:type="spellStart"/>
            <w:r>
              <w:rPr>
                <w:color w:val="000000"/>
                <w:sz w:val="20"/>
                <w:szCs w:val="20"/>
              </w:rPr>
              <w:t>Incr</w:t>
            </w:r>
            <w:proofErr w:type="spellEnd"/>
            <w:r>
              <w:rPr>
                <w:color w:val="000000"/>
                <w:sz w:val="20"/>
                <w:szCs w:val="20"/>
              </w:rPr>
              <w:t xml:space="preserve"> (</w:t>
            </w:r>
            <w:proofErr w:type="spellStart"/>
            <w:r>
              <w:rPr>
                <w:color w:val="000000"/>
                <w:sz w:val="20"/>
                <w:szCs w:val="20"/>
              </w:rPr>
              <w:t>Decr</w:t>
            </w:r>
            <w:proofErr w:type="spellEnd"/>
            <w:r>
              <w:rPr>
                <w:color w:val="000000"/>
                <w:sz w:val="20"/>
                <w:szCs w:val="20"/>
              </w:rPr>
              <w:t>)</w:t>
            </w:r>
          </w:p>
        </w:tc>
        <w:tc>
          <w:tcPr>
            <w:tcW w:w="56" w:type="dxa"/>
            <w:tcBorders>
              <w:top w:val="nil"/>
              <w:left w:val="nil"/>
              <w:bottom w:val="nil"/>
              <w:right w:val="nil"/>
            </w:tcBorders>
            <w:shd w:val="clear" w:color="auto" w:fill="auto"/>
            <w:vAlign w:val="bottom"/>
            <w:hideMark/>
          </w:tcPr>
          <w:p w:rsidR="00B00B50" w:rsidRDefault="00B00B50">
            <w:pPr>
              <w:jc w:val="center"/>
              <w:rPr>
                <w:color w:val="000000"/>
                <w:sz w:val="20"/>
                <w:szCs w:val="20"/>
              </w:rPr>
            </w:pPr>
          </w:p>
        </w:tc>
        <w:tc>
          <w:tcPr>
            <w:tcW w:w="716" w:type="dxa"/>
            <w:tcBorders>
              <w:top w:val="nil"/>
              <w:left w:val="nil"/>
              <w:bottom w:val="single" w:sz="8" w:space="0" w:color="auto"/>
              <w:right w:val="nil"/>
            </w:tcBorders>
            <w:shd w:val="clear" w:color="auto" w:fill="auto"/>
            <w:vAlign w:val="bottom"/>
            <w:hideMark/>
          </w:tcPr>
          <w:p w:rsidR="00B00B50" w:rsidRDefault="00B00B50">
            <w:pPr>
              <w:jc w:val="center"/>
              <w:rPr>
                <w:color w:val="000000"/>
                <w:sz w:val="20"/>
                <w:szCs w:val="20"/>
              </w:rPr>
            </w:pPr>
            <w:r>
              <w:rPr>
                <w:color w:val="000000"/>
                <w:sz w:val="20"/>
                <w:szCs w:val="20"/>
              </w:rPr>
              <w:t>%</w:t>
            </w:r>
          </w:p>
        </w:tc>
      </w:tr>
      <w:tr w:rsidR="00B00B50" w:rsidTr="00B00B50">
        <w:trPr>
          <w:trHeight w:val="255"/>
        </w:trPr>
        <w:tc>
          <w:tcPr>
            <w:tcW w:w="1304" w:type="dxa"/>
            <w:tcBorders>
              <w:top w:val="nil"/>
              <w:left w:val="nil"/>
              <w:bottom w:val="nil"/>
              <w:right w:val="nil"/>
            </w:tcBorders>
            <w:shd w:val="clear" w:color="auto" w:fill="auto"/>
            <w:vAlign w:val="bottom"/>
            <w:hideMark/>
          </w:tcPr>
          <w:p w:rsidR="00B00B50" w:rsidRDefault="00B00B50">
            <w:pPr>
              <w:rPr>
                <w:color w:val="000000"/>
                <w:sz w:val="20"/>
                <w:szCs w:val="20"/>
              </w:rPr>
            </w:pPr>
            <w:r>
              <w:rPr>
                <w:color w:val="000000"/>
                <w:sz w:val="20"/>
                <w:szCs w:val="20"/>
              </w:rPr>
              <w:t>Notation</w:t>
            </w:r>
          </w:p>
        </w:tc>
        <w:tc>
          <w:tcPr>
            <w:tcW w:w="853" w:type="dxa"/>
            <w:tcBorders>
              <w:top w:val="nil"/>
              <w:left w:val="nil"/>
              <w:bottom w:val="nil"/>
              <w:right w:val="nil"/>
            </w:tcBorders>
            <w:shd w:val="clear" w:color="auto" w:fill="auto"/>
            <w:vAlign w:val="bottom"/>
            <w:hideMark/>
          </w:tcPr>
          <w:p w:rsidR="00B00B50" w:rsidRDefault="00B00B50">
            <w:pPr>
              <w:jc w:val="right"/>
              <w:rPr>
                <w:color w:val="000000"/>
                <w:sz w:val="20"/>
                <w:szCs w:val="20"/>
              </w:rPr>
            </w:pPr>
            <w:r>
              <w:rPr>
                <w:color w:val="000000"/>
                <w:sz w:val="20"/>
                <w:szCs w:val="20"/>
              </w:rPr>
              <w:t xml:space="preserve">$8,852 </w:t>
            </w:r>
          </w:p>
        </w:tc>
        <w:tc>
          <w:tcPr>
            <w:tcW w:w="26" w:type="dxa"/>
            <w:tcBorders>
              <w:top w:val="nil"/>
              <w:left w:val="nil"/>
              <w:bottom w:val="nil"/>
              <w:right w:val="nil"/>
            </w:tcBorders>
            <w:shd w:val="clear" w:color="auto" w:fill="auto"/>
            <w:vAlign w:val="bottom"/>
            <w:hideMark/>
          </w:tcPr>
          <w:p w:rsidR="00B00B50" w:rsidRDefault="00B00B50">
            <w:pPr>
              <w:rPr>
                <w:color w:val="000000"/>
                <w:sz w:val="20"/>
                <w:szCs w:val="20"/>
              </w:rPr>
            </w:pPr>
          </w:p>
        </w:tc>
        <w:tc>
          <w:tcPr>
            <w:tcW w:w="853" w:type="dxa"/>
            <w:tcBorders>
              <w:top w:val="nil"/>
              <w:left w:val="nil"/>
              <w:bottom w:val="nil"/>
              <w:right w:val="nil"/>
            </w:tcBorders>
            <w:shd w:val="clear" w:color="auto" w:fill="auto"/>
            <w:vAlign w:val="bottom"/>
            <w:hideMark/>
          </w:tcPr>
          <w:p w:rsidR="00B00B50" w:rsidRDefault="00B00B50">
            <w:pPr>
              <w:jc w:val="right"/>
              <w:rPr>
                <w:color w:val="000000"/>
                <w:sz w:val="20"/>
                <w:szCs w:val="20"/>
              </w:rPr>
            </w:pPr>
            <w:r>
              <w:rPr>
                <w:color w:val="000000"/>
                <w:sz w:val="20"/>
                <w:szCs w:val="20"/>
              </w:rPr>
              <w:t xml:space="preserve">$9,874 </w:t>
            </w:r>
          </w:p>
        </w:tc>
        <w:tc>
          <w:tcPr>
            <w:tcW w:w="76" w:type="dxa"/>
            <w:tcBorders>
              <w:top w:val="nil"/>
              <w:left w:val="nil"/>
              <w:bottom w:val="nil"/>
              <w:right w:val="nil"/>
            </w:tcBorders>
            <w:shd w:val="clear" w:color="auto" w:fill="auto"/>
            <w:vAlign w:val="bottom"/>
            <w:hideMark/>
          </w:tcPr>
          <w:p w:rsidR="00B00B50" w:rsidRDefault="00B00B50">
            <w:pPr>
              <w:rPr>
                <w:color w:val="000000"/>
                <w:sz w:val="20"/>
                <w:szCs w:val="20"/>
              </w:rPr>
            </w:pPr>
          </w:p>
        </w:tc>
        <w:tc>
          <w:tcPr>
            <w:tcW w:w="856" w:type="dxa"/>
            <w:tcBorders>
              <w:top w:val="nil"/>
              <w:left w:val="nil"/>
              <w:bottom w:val="nil"/>
              <w:right w:val="nil"/>
            </w:tcBorders>
            <w:shd w:val="clear" w:color="auto" w:fill="auto"/>
            <w:vAlign w:val="bottom"/>
            <w:hideMark/>
          </w:tcPr>
          <w:p w:rsidR="00B00B50" w:rsidRDefault="00B00B50">
            <w:pPr>
              <w:jc w:val="right"/>
              <w:rPr>
                <w:color w:val="000000"/>
                <w:sz w:val="20"/>
                <w:szCs w:val="20"/>
              </w:rPr>
            </w:pPr>
            <w:r>
              <w:rPr>
                <w:color w:val="FF0000"/>
                <w:sz w:val="20"/>
                <w:szCs w:val="20"/>
              </w:rPr>
              <w:t>($1,022)</w:t>
            </w:r>
          </w:p>
        </w:tc>
        <w:tc>
          <w:tcPr>
            <w:tcW w:w="56" w:type="dxa"/>
            <w:tcBorders>
              <w:top w:val="nil"/>
              <w:left w:val="nil"/>
              <w:bottom w:val="nil"/>
              <w:right w:val="nil"/>
            </w:tcBorders>
            <w:shd w:val="clear" w:color="auto" w:fill="auto"/>
            <w:vAlign w:val="bottom"/>
            <w:hideMark/>
          </w:tcPr>
          <w:p w:rsidR="00B00B50" w:rsidRDefault="00B00B50">
            <w:pPr>
              <w:rPr>
                <w:color w:val="000000"/>
                <w:sz w:val="20"/>
                <w:szCs w:val="20"/>
              </w:rPr>
            </w:pPr>
          </w:p>
        </w:tc>
        <w:tc>
          <w:tcPr>
            <w:tcW w:w="716" w:type="dxa"/>
            <w:tcBorders>
              <w:top w:val="nil"/>
              <w:left w:val="nil"/>
              <w:bottom w:val="nil"/>
              <w:right w:val="nil"/>
            </w:tcBorders>
            <w:shd w:val="clear" w:color="auto" w:fill="auto"/>
            <w:vAlign w:val="bottom"/>
            <w:hideMark/>
          </w:tcPr>
          <w:p w:rsidR="00B00B50" w:rsidRDefault="00B00B50">
            <w:pPr>
              <w:jc w:val="right"/>
              <w:rPr>
                <w:color w:val="000000"/>
                <w:sz w:val="20"/>
                <w:szCs w:val="20"/>
              </w:rPr>
            </w:pPr>
            <w:r>
              <w:rPr>
                <w:color w:val="000000"/>
                <w:sz w:val="20"/>
                <w:szCs w:val="20"/>
              </w:rPr>
              <w:t>-10%</w:t>
            </w:r>
          </w:p>
        </w:tc>
      </w:tr>
      <w:tr w:rsidR="00B00B50" w:rsidTr="00B00B50">
        <w:trPr>
          <w:trHeight w:val="255"/>
        </w:trPr>
        <w:tc>
          <w:tcPr>
            <w:tcW w:w="1304" w:type="dxa"/>
            <w:tcBorders>
              <w:top w:val="nil"/>
              <w:left w:val="nil"/>
              <w:bottom w:val="nil"/>
              <w:right w:val="nil"/>
            </w:tcBorders>
            <w:shd w:val="clear" w:color="auto" w:fill="auto"/>
            <w:vAlign w:val="bottom"/>
            <w:hideMark/>
          </w:tcPr>
          <w:p w:rsidR="00B00B50" w:rsidRDefault="00B00B50">
            <w:pPr>
              <w:rPr>
                <w:color w:val="000000"/>
                <w:sz w:val="20"/>
                <w:szCs w:val="20"/>
              </w:rPr>
            </w:pPr>
            <w:proofErr w:type="spellStart"/>
            <w:r>
              <w:rPr>
                <w:color w:val="000000"/>
                <w:sz w:val="20"/>
                <w:szCs w:val="20"/>
              </w:rPr>
              <w:t>SmartMusic</w:t>
            </w:r>
            <w:proofErr w:type="spellEnd"/>
          </w:p>
        </w:tc>
        <w:tc>
          <w:tcPr>
            <w:tcW w:w="853" w:type="dxa"/>
            <w:tcBorders>
              <w:top w:val="nil"/>
              <w:left w:val="nil"/>
              <w:bottom w:val="nil"/>
              <w:right w:val="nil"/>
            </w:tcBorders>
            <w:shd w:val="clear" w:color="auto" w:fill="auto"/>
            <w:vAlign w:val="bottom"/>
            <w:hideMark/>
          </w:tcPr>
          <w:p w:rsidR="00B00B50" w:rsidRDefault="00B00B50">
            <w:pPr>
              <w:jc w:val="right"/>
              <w:rPr>
                <w:color w:val="000000"/>
                <w:sz w:val="20"/>
                <w:szCs w:val="20"/>
              </w:rPr>
            </w:pPr>
            <w:r>
              <w:rPr>
                <w:color w:val="000000"/>
                <w:sz w:val="20"/>
                <w:szCs w:val="20"/>
              </w:rPr>
              <w:t xml:space="preserve">5,385 </w:t>
            </w:r>
          </w:p>
        </w:tc>
        <w:tc>
          <w:tcPr>
            <w:tcW w:w="26" w:type="dxa"/>
            <w:tcBorders>
              <w:top w:val="nil"/>
              <w:left w:val="nil"/>
              <w:bottom w:val="nil"/>
              <w:right w:val="nil"/>
            </w:tcBorders>
            <w:shd w:val="clear" w:color="auto" w:fill="auto"/>
            <w:vAlign w:val="bottom"/>
            <w:hideMark/>
          </w:tcPr>
          <w:p w:rsidR="00B00B50" w:rsidRDefault="00B00B50">
            <w:pPr>
              <w:rPr>
                <w:color w:val="000000"/>
                <w:sz w:val="20"/>
                <w:szCs w:val="20"/>
              </w:rPr>
            </w:pPr>
          </w:p>
        </w:tc>
        <w:tc>
          <w:tcPr>
            <w:tcW w:w="853" w:type="dxa"/>
            <w:tcBorders>
              <w:top w:val="nil"/>
              <w:left w:val="nil"/>
              <w:bottom w:val="nil"/>
              <w:right w:val="nil"/>
            </w:tcBorders>
            <w:shd w:val="clear" w:color="auto" w:fill="auto"/>
            <w:vAlign w:val="bottom"/>
            <w:hideMark/>
          </w:tcPr>
          <w:p w:rsidR="00B00B50" w:rsidRDefault="00B00B50">
            <w:pPr>
              <w:jc w:val="right"/>
              <w:rPr>
                <w:color w:val="000000"/>
                <w:sz w:val="20"/>
                <w:szCs w:val="20"/>
              </w:rPr>
            </w:pPr>
            <w:r>
              <w:rPr>
                <w:color w:val="000000"/>
                <w:sz w:val="20"/>
                <w:szCs w:val="20"/>
              </w:rPr>
              <w:t xml:space="preserve">4,441 </w:t>
            </w:r>
          </w:p>
        </w:tc>
        <w:tc>
          <w:tcPr>
            <w:tcW w:w="76" w:type="dxa"/>
            <w:tcBorders>
              <w:top w:val="nil"/>
              <w:left w:val="nil"/>
              <w:bottom w:val="nil"/>
              <w:right w:val="nil"/>
            </w:tcBorders>
            <w:shd w:val="clear" w:color="auto" w:fill="auto"/>
            <w:vAlign w:val="bottom"/>
            <w:hideMark/>
          </w:tcPr>
          <w:p w:rsidR="00B00B50" w:rsidRDefault="00B00B50">
            <w:pPr>
              <w:rPr>
                <w:color w:val="000000"/>
                <w:sz w:val="20"/>
                <w:szCs w:val="20"/>
              </w:rPr>
            </w:pPr>
          </w:p>
        </w:tc>
        <w:tc>
          <w:tcPr>
            <w:tcW w:w="856" w:type="dxa"/>
            <w:tcBorders>
              <w:top w:val="nil"/>
              <w:left w:val="nil"/>
              <w:bottom w:val="nil"/>
              <w:right w:val="nil"/>
            </w:tcBorders>
            <w:shd w:val="clear" w:color="auto" w:fill="auto"/>
            <w:vAlign w:val="bottom"/>
            <w:hideMark/>
          </w:tcPr>
          <w:p w:rsidR="00B00B50" w:rsidRDefault="00B00B50">
            <w:pPr>
              <w:jc w:val="right"/>
              <w:rPr>
                <w:color w:val="000000"/>
                <w:sz w:val="20"/>
                <w:szCs w:val="20"/>
              </w:rPr>
            </w:pPr>
            <w:r>
              <w:rPr>
                <w:color w:val="000000"/>
                <w:sz w:val="20"/>
                <w:szCs w:val="20"/>
              </w:rPr>
              <w:t xml:space="preserve">944 </w:t>
            </w:r>
          </w:p>
        </w:tc>
        <w:tc>
          <w:tcPr>
            <w:tcW w:w="56" w:type="dxa"/>
            <w:tcBorders>
              <w:top w:val="nil"/>
              <w:left w:val="nil"/>
              <w:bottom w:val="nil"/>
              <w:right w:val="nil"/>
            </w:tcBorders>
            <w:shd w:val="clear" w:color="auto" w:fill="auto"/>
            <w:vAlign w:val="bottom"/>
            <w:hideMark/>
          </w:tcPr>
          <w:p w:rsidR="00B00B50" w:rsidRDefault="00B00B50">
            <w:pPr>
              <w:rPr>
                <w:color w:val="000000"/>
                <w:sz w:val="20"/>
                <w:szCs w:val="20"/>
              </w:rPr>
            </w:pPr>
          </w:p>
        </w:tc>
        <w:tc>
          <w:tcPr>
            <w:tcW w:w="716" w:type="dxa"/>
            <w:tcBorders>
              <w:top w:val="nil"/>
              <w:left w:val="nil"/>
              <w:bottom w:val="nil"/>
              <w:right w:val="nil"/>
            </w:tcBorders>
            <w:shd w:val="clear" w:color="auto" w:fill="auto"/>
            <w:vAlign w:val="bottom"/>
            <w:hideMark/>
          </w:tcPr>
          <w:p w:rsidR="00B00B50" w:rsidRDefault="00B00B50">
            <w:pPr>
              <w:jc w:val="right"/>
              <w:rPr>
                <w:color w:val="000000"/>
                <w:sz w:val="20"/>
                <w:szCs w:val="20"/>
              </w:rPr>
            </w:pPr>
            <w:r>
              <w:rPr>
                <w:color w:val="000000"/>
                <w:sz w:val="20"/>
                <w:szCs w:val="20"/>
              </w:rPr>
              <w:t>21%</w:t>
            </w:r>
          </w:p>
        </w:tc>
      </w:tr>
      <w:tr w:rsidR="00B00B50" w:rsidTr="00B00B50">
        <w:trPr>
          <w:trHeight w:val="270"/>
        </w:trPr>
        <w:tc>
          <w:tcPr>
            <w:tcW w:w="1304" w:type="dxa"/>
            <w:tcBorders>
              <w:top w:val="nil"/>
              <w:left w:val="nil"/>
              <w:bottom w:val="nil"/>
              <w:right w:val="nil"/>
            </w:tcBorders>
            <w:shd w:val="clear" w:color="auto" w:fill="auto"/>
            <w:noWrap/>
            <w:vAlign w:val="bottom"/>
            <w:hideMark/>
          </w:tcPr>
          <w:p w:rsidR="00B00B50" w:rsidRDefault="00B00B50">
            <w:pPr>
              <w:rPr>
                <w:sz w:val="20"/>
                <w:szCs w:val="20"/>
              </w:rPr>
            </w:pPr>
            <w:r>
              <w:rPr>
                <w:sz w:val="20"/>
                <w:szCs w:val="20"/>
              </w:rPr>
              <w:t>Total</w:t>
            </w:r>
          </w:p>
        </w:tc>
        <w:tc>
          <w:tcPr>
            <w:tcW w:w="853" w:type="dxa"/>
            <w:tcBorders>
              <w:top w:val="single" w:sz="4" w:space="0" w:color="auto"/>
              <w:left w:val="nil"/>
              <w:bottom w:val="double" w:sz="6" w:space="0" w:color="auto"/>
              <w:right w:val="nil"/>
            </w:tcBorders>
            <w:shd w:val="clear" w:color="auto" w:fill="auto"/>
            <w:noWrap/>
            <w:vAlign w:val="bottom"/>
            <w:hideMark/>
          </w:tcPr>
          <w:p w:rsidR="00B00B50" w:rsidRDefault="00B00B50">
            <w:pPr>
              <w:jc w:val="right"/>
              <w:rPr>
                <w:sz w:val="20"/>
                <w:szCs w:val="20"/>
              </w:rPr>
            </w:pPr>
            <w:r>
              <w:rPr>
                <w:sz w:val="20"/>
                <w:szCs w:val="20"/>
              </w:rPr>
              <w:t xml:space="preserve">$14,237 </w:t>
            </w:r>
          </w:p>
        </w:tc>
        <w:tc>
          <w:tcPr>
            <w:tcW w:w="26" w:type="dxa"/>
            <w:tcBorders>
              <w:top w:val="nil"/>
              <w:left w:val="nil"/>
              <w:bottom w:val="nil"/>
              <w:right w:val="nil"/>
            </w:tcBorders>
            <w:shd w:val="clear" w:color="auto" w:fill="auto"/>
            <w:noWrap/>
            <w:vAlign w:val="bottom"/>
            <w:hideMark/>
          </w:tcPr>
          <w:p w:rsidR="00B00B50" w:rsidRDefault="00B00B50">
            <w:pPr>
              <w:rPr>
                <w:sz w:val="20"/>
                <w:szCs w:val="20"/>
              </w:rPr>
            </w:pPr>
          </w:p>
        </w:tc>
        <w:tc>
          <w:tcPr>
            <w:tcW w:w="853" w:type="dxa"/>
            <w:tcBorders>
              <w:top w:val="single" w:sz="4" w:space="0" w:color="auto"/>
              <w:left w:val="nil"/>
              <w:bottom w:val="double" w:sz="6" w:space="0" w:color="auto"/>
              <w:right w:val="nil"/>
            </w:tcBorders>
            <w:shd w:val="clear" w:color="auto" w:fill="auto"/>
            <w:noWrap/>
            <w:vAlign w:val="bottom"/>
            <w:hideMark/>
          </w:tcPr>
          <w:p w:rsidR="00B00B50" w:rsidRDefault="00B00B50">
            <w:pPr>
              <w:jc w:val="right"/>
              <w:rPr>
                <w:sz w:val="20"/>
                <w:szCs w:val="20"/>
              </w:rPr>
            </w:pPr>
            <w:r>
              <w:rPr>
                <w:sz w:val="20"/>
                <w:szCs w:val="20"/>
              </w:rPr>
              <w:t xml:space="preserve">$14,315 </w:t>
            </w:r>
          </w:p>
        </w:tc>
        <w:tc>
          <w:tcPr>
            <w:tcW w:w="76" w:type="dxa"/>
            <w:tcBorders>
              <w:top w:val="nil"/>
              <w:left w:val="nil"/>
              <w:bottom w:val="nil"/>
              <w:right w:val="nil"/>
            </w:tcBorders>
            <w:shd w:val="clear" w:color="auto" w:fill="auto"/>
            <w:noWrap/>
            <w:vAlign w:val="bottom"/>
            <w:hideMark/>
          </w:tcPr>
          <w:p w:rsidR="00B00B50" w:rsidRDefault="00B00B50">
            <w:pPr>
              <w:rPr>
                <w:sz w:val="20"/>
                <w:szCs w:val="20"/>
              </w:rPr>
            </w:pPr>
          </w:p>
        </w:tc>
        <w:tc>
          <w:tcPr>
            <w:tcW w:w="856" w:type="dxa"/>
            <w:tcBorders>
              <w:top w:val="single" w:sz="4" w:space="0" w:color="auto"/>
              <w:left w:val="nil"/>
              <w:bottom w:val="double" w:sz="6" w:space="0" w:color="auto"/>
              <w:right w:val="nil"/>
            </w:tcBorders>
            <w:shd w:val="clear" w:color="auto" w:fill="auto"/>
            <w:noWrap/>
            <w:vAlign w:val="bottom"/>
            <w:hideMark/>
          </w:tcPr>
          <w:p w:rsidR="00B00B50" w:rsidRDefault="00B00B50">
            <w:pPr>
              <w:jc w:val="right"/>
              <w:rPr>
                <w:sz w:val="20"/>
                <w:szCs w:val="20"/>
              </w:rPr>
            </w:pPr>
            <w:r>
              <w:rPr>
                <w:color w:val="FF0000"/>
                <w:sz w:val="20"/>
                <w:szCs w:val="20"/>
              </w:rPr>
              <w:t>($78)</w:t>
            </w:r>
          </w:p>
        </w:tc>
        <w:tc>
          <w:tcPr>
            <w:tcW w:w="56" w:type="dxa"/>
            <w:tcBorders>
              <w:top w:val="nil"/>
              <w:left w:val="nil"/>
              <w:bottom w:val="nil"/>
              <w:right w:val="nil"/>
            </w:tcBorders>
            <w:shd w:val="clear" w:color="auto" w:fill="auto"/>
            <w:noWrap/>
            <w:vAlign w:val="bottom"/>
            <w:hideMark/>
          </w:tcPr>
          <w:p w:rsidR="00B00B50" w:rsidRDefault="00B00B50">
            <w:pPr>
              <w:rPr>
                <w:sz w:val="20"/>
                <w:szCs w:val="20"/>
              </w:rPr>
            </w:pPr>
          </w:p>
        </w:tc>
        <w:tc>
          <w:tcPr>
            <w:tcW w:w="716" w:type="dxa"/>
            <w:tcBorders>
              <w:top w:val="single" w:sz="4" w:space="0" w:color="auto"/>
              <w:left w:val="nil"/>
              <w:bottom w:val="double" w:sz="6" w:space="0" w:color="auto"/>
              <w:right w:val="nil"/>
            </w:tcBorders>
            <w:shd w:val="clear" w:color="auto" w:fill="auto"/>
            <w:noWrap/>
            <w:vAlign w:val="bottom"/>
            <w:hideMark/>
          </w:tcPr>
          <w:p w:rsidR="00B00B50" w:rsidRDefault="00B00B50">
            <w:pPr>
              <w:jc w:val="right"/>
              <w:rPr>
                <w:sz w:val="20"/>
                <w:szCs w:val="20"/>
              </w:rPr>
            </w:pPr>
            <w:r>
              <w:rPr>
                <w:sz w:val="20"/>
                <w:szCs w:val="20"/>
              </w:rPr>
              <w:t>-1%</w:t>
            </w:r>
          </w:p>
        </w:tc>
      </w:tr>
    </w:tbl>
    <w:p w:rsidR="004851D7" w:rsidRDefault="004851D7">
      <w:pPr>
        <w:pStyle w:val="BodyText"/>
        <w:tabs>
          <w:tab w:val="left" w:pos="720"/>
        </w:tabs>
        <w:rPr>
          <w:rFonts w:ascii="Times New Roman" w:hAnsi="Times New Roman"/>
          <w:sz w:val="20"/>
        </w:rPr>
      </w:pPr>
    </w:p>
    <w:p w:rsidR="004851D7" w:rsidRDefault="004851D7">
      <w:pPr>
        <w:spacing w:after="240"/>
        <w:ind w:firstLine="720"/>
        <w:rPr>
          <w:color w:val="000000"/>
          <w:sz w:val="20"/>
        </w:rPr>
      </w:pPr>
      <w:r>
        <w:rPr>
          <w:color w:val="000000"/>
          <w:sz w:val="20"/>
        </w:rPr>
        <w:t xml:space="preserve">Gross profit </w:t>
      </w:r>
      <w:r w:rsidR="00B00B50">
        <w:rPr>
          <w:color w:val="000000"/>
          <w:sz w:val="20"/>
        </w:rPr>
        <w:t xml:space="preserve">decreased </w:t>
      </w:r>
      <w:r>
        <w:rPr>
          <w:color w:val="000000"/>
          <w:sz w:val="20"/>
        </w:rPr>
        <w:t>by $</w:t>
      </w:r>
      <w:r w:rsidR="00B00B50">
        <w:rPr>
          <w:color w:val="000000"/>
          <w:sz w:val="20"/>
        </w:rPr>
        <w:t>78</w:t>
      </w:r>
      <w:r>
        <w:rPr>
          <w:color w:val="000000"/>
          <w:sz w:val="20"/>
        </w:rPr>
        <w:t>,000 from $</w:t>
      </w:r>
      <w:r w:rsidR="00B00B50">
        <w:rPr>
          <w:color w:val="000000"/>
          <w:sz w:val="20"/>
        </w:rPr>
        <w:t xml:space="preserve">14,315,000 </w:t>
      </w:r>
      <w:r>
        <w:rPr>
          <w:color w:val="000000"/>
          <w:sz w:val="20"/>
        </w:rPr>
        <w:t xml:space="preserve">for the year ended December 31, </w:t>
      </w:r>
      <w:r w:rsidR="00B00B50">
        <w:rPr>
          <w:color w:val="000000"/>
          <w:sz w:val="20"/>
        </w:rPr>
        <w:t>2010</w:t>
      </w:r>
      <w:r>
        <w:rPr>
          <w:color w:val="000000"/>
          <w:sz w:val="20"/>
        </w:rPr>
        <w:t>, to $</w:t>
      </w:r>
      <w:r w:rsidR="00B00B50">
        <w:rPr>
          <w:color w:val="000000"/>
          <w:sz w:val="20"/>
        </w:rPr>
        <w:t>14,237</w:t>
      </w:r>
      <w:r>
        <w:rPr>
          <w:color w:val="000000"/>
          <w:sz w:val="20"/>
        </w:rPr>
        <w:t xml:space="preserve">,000 for the year ended December 31, </w:t>
      </w:r>
      <w:r w:rsidR="00B00B50">
        <w:rPr>
          <w:color w:val="000000"/>
          <w:sz w:val="20"/>
        </w:rPr>
        <w:t>2011</w:t>
      </w:r>
      <w:r>
        <w:rPr>
          <w:color w:val="000000"/>
          <w:sz w:val="20"/>
        </w:rPr>
        <w:t>.</w:t>
      </w:r>
      <w:r w:rsidR="00FD0755">
        <w:rPr>
          <w:color w:val="000000"/>
          <w:sz w:val="20"/>
        </w:rPr>
        <w:t xml:space="preserve"> </w:t>
      </w:r>
      <w:r>
        <w:rPr>
          <w:color w:val="000000"/>
          <w:sz w:val="20"/>
        </w:rPr>
        <w:t>Notation gross profit declined due to the dec</w:t>
      </w:r>
      <w:r w:rsidR="00B00B50">
        <w:rPr>
          <w:color w:val="000000"/>
          <w:sz w:val="20"/>
        </w:rPr>
        <w:t>rease</w:t>
      </w:r>
      <w:r>
        <w:rPr>
          <w:color w:val="000000"/>
          <w:sz w:val="20"/>
        </w:rPr>
        <w:t xml:space="preserve"> in </w:t>
      </w:r>
      <w:r w:rsidR="00B00B50">
        <w:rPr>
          <w:color w:val="000000"/>
          <w:sz w:val="20"/>
        </w:rPr>
        <w:t xml:space="preserve">notation </w:t>
      </w:r>
      <w:r>
        <w:rPr>
          <w:color w:val="000000"/>
          <w:sz w:val="20"/>
        </w:rPr>
        <w:t>revenue</w:t>
      </w:r>
      <w:r w:rsidR="00B00B50">
        <w:rPr>
          <w:color w:val="000000"/>
          <w:sz w:val="20"/>
        </w:rPr>
        <w:t>.</w:t>
      </w:r>
      <w:r>
        <w:rPr>
          <w:color w:val="000000"/>
          <w:sz w:val="20"/>
        </w:rPr>
        <w:t xml:space="preserve"> </w:t>
      </w:r>
      <w:proofErr w:type="spellStart"/>
      <w:r>
        <w:rPr>
          <w:color w:val="000000"/>
          <w:sz w:val="20"/>
        </w:rPr>
        <w:t>SmartMusic</w:t>
      </w:r>
      <w:proofErr w:type="spellEnd"/>
      <w:r>
        <w:rPr>
          <w:color w:val="000000"/>
          <w:sz w:val="20"/>
        </w:rPr>
        <w:t xml:space="preserve"> gross profit increased due to the increase in </w:t>
      </w:r>
      <w:proofErr w:type="spellStart"/>
      <w:r>
        <w:rPr>
          <w:color w:val="000000"/>
          <w:sz w:val="20"/>
        </w:rPr>
        <w:t>SmartMusic</w:t>
      </w:r>
      <w:proofErr w:type="spellEnd"/>
      <w:r>
        <w:rPr>
          <w:color w:val="000000"/>
          <w:sz w:val="20"/>
        </w:rPr>
        <w:t xml:space="preserve"> revenue, which resulted from an increased number of subscribers and subscription price increases.</w:t>
      </w:r>
      <w:r w:rsidR="00FD0755">
        <w:rPr>
          <w:color w:val="000000"/>
          <w:sz w:val="20"/>
        </w:rPr>
        <w:t xml:space="preserve"> </w:t>
      </w:r>
      <w:r>
        <w:rPr>
          <w:color w:val="000000"/>
          <w:sz w:val="20"/>
        </w:rPr>
        <w:t xml:space="preserve">Cost of revenue includes product costs, royalties paid to publishers, amortization of capitalized software development costs for repertoire and </w:t>
      </w:r>
      <w:proofErr w:type="spellStart"/>
      <w:r>
        <w:rPr>
          <w:color w:val="000000"/>
          <w:sz w:val="20"/>
        </w:rPr>
        <w:t>SmartMusic</w:t>
      </w:r>
      <w:proofErr w:type="spellEnd"/>
      <w:r>
        <w:rPr>
          <w:color w:val="000000"/>
          <w:sz w:val="20"/>
        </w:rPr>
        <w:t xml:space="preserve"> </w:t>
      </w:r>
      <w:proofErr w:type="spellStart"/>
      <w:r>
        <w:rPr>
          <w:color w:val="000000"/>
          <w:sz w:val="20"/>
        </w:rPr>
        <w:t>Gradebook</w:t>
      </w:r>
      <w:proofErr w:type="spellEnd"/>
      <w:r>
        <w:rPr>
          <w:color w:val="000000"/>
          <w:sz w:val="20"/>
        </w:rPr>
        <w:t xml:space="preserve"> software development costs, shipping, and credit card fees. Gross margin</w:t>
      </w:r>
      <w:r w:rsidR="0085226B">
        <w:rPr>
          <w:color w:val="000000"/>
          <w:sz w:val="20"/>
        </w:rPr>
        <w:t xml:space="preserve"> was generally comparable</w:t>
      </w:r>
      <w:r>
        <w:rPr>
          <w:color w:val="000000"/>
          <w:sz w:val="20"/>
        </w:rPr>
        <w:t xml:space="preserve"> as a percentage of revenue was </w:t>
      </w:r>
      <w:r w:rsidR="00B00B50">
        <w:rPr>
          <w:color w:val="000000"/>
          <w:sz w:val="20"/>
        </w:rPr>
        <w:t>84</w:t>
      </w:r>
      <w:r w:rsidR="00170AA1">
        <w:rPr>
          <w:color w:val="000000"/>
          <w:sz w:val="20"/>
        </w:rPr>
        <w:t xml:space="preserve">% and </w:t>
      </w:r>
      <w:r w:rsidR="00B00B50">
        <w:rPr>
          <w:color w:val="000000"/>
          <w:sz w:val="20"/>
        </w:rPr>
        <w:t>83</w:t>
      </w:r>
      <w:r>
        <w:rPr>
          <w:color w:val="000000"/>
          <w:sz w:val="20"/>
        </w:rPr>
        <w:t>%</w:t>
      </w:r>
      <w:r w:rsidR="00170AA1">
        <w:rPr>
          <w:color w:val="000000"/>
          <w:sz w:val="20"/>
        </w:rPr>
        <w:t>, respectively,</w:t>
      </w:r>
      <w:r>
        <w:rPr>
          <w:color w:val="000000"/>
          <w:sz w:val="20"/>
        </w:rPr>
        <w:t xml:space="preserve"> for the years ended December 31, </w:t>
      </w:r>
      <w:r w:rsidR="00B00B50">
        <w:rPr>
          <w:color w:val="000000"/>
          <w:sz w:val="20"/>
        </w:rPr>
        <w:t xml:space="preserve">2011 </w:t>
      </w:r>
      <w:r>
        <w:rPr>
          <w:color w:val="000000"/>
          <w:sz w:val="20"/>
        </w:rPr>
        <w:t xml:space="preserve">and </w:t>
      </w:r>
      <w:r w:rsidR="00B00B50">
        <w:rPr>
          <w:color w:val="000000"/>
          <w:sz w:val="20"/>
        </w:rPr>
        <w:t>2010</w:t>
      </w:r>
      <w:r>
        <w:rPr>
          <w:color w:val="000000"/>
          <w:sz w:val="20"/>
        </w:rPr>
        <w:t xml:space="preserve">. </w:t>
      </w:r>
    </w:p>
    <w:tbl>
      <w:tblPr>
        <w:tblW w:w="0" w:type="auto"/>
        <w:tblInd w:w="108" w:type="dxa"/>
        <w:tblLook w:val="04A0" w:firstRow="1" w:lastRow="0" w:firstColumn="1" w:lastColumn="0" w:noHBand="0" w:noVBand="1"/>
      </w:tblPr>
      <w:tblGrid>
        <w:gridCol w:w="1370"/>
        <w:gridCol w:w="836"/>
        <w:gridCol w:w="222"/>
        <w:gridCol w:w="836"/>
        <w:gridCol w:w="222"/>
        <w:gridCol w:w="826"/>
        <w:gridCol w:w="222"/>
        <w:gridCol w:w="716"/>
      </w:tblGrid>
      <w:tr w:rsidR="00B00B50" w:rsidTr="006964F2">
        <w:trPr>
          <w:trHeight w:val="270"/>
        </w:trPr>
        <w:tc>
          <w:tcPr>
            <w:tcW w:w="4312" w:type="dxa"/>
            <w:gridSpan w:val="6"/>
            <w:tcBorders>
              <w:top w:val="nil"/>
              <w:left w:val="nil"/>
              <w:bottom w:val="nil"/>
              <w:right w:val="nil"/>
            </w:tcBorders>
            <w:shd w:val="clear" w:color="auto" w:fill="auto"/>
            <w:noWrap/>
            <w:vAlign w:val="bottom"/>
            <w:hideMark/>
          </w:tcPr>
          <w:p w:rsidR="00B00B50" w:rsidRDefault="00B00B50">
            <w:pPr>
              <w:rPr>
                <w:b/>
                <w:bCs/>
                <w:i/>
                <w:iCs/>
                <w:sz w:val="20"/>
                <w:szCs w:val="20"/>
              </w:rPr>
            </w:pPr>
            <w:r>
              <w:rPr>
                <w:b/>
                <w:bCs/>
                <w:i/>
                <w:iCs/>
                <w:sz w:val="20"/>
                <w:szCs w:val="20"/>
              </w:rPr>
              <w:t xml:space="preserve">Development expense </w:t>
            </w:r>
            <w:r>
              <w:rPr>
                <w:i/>
                <w:iCs/>
                <w:sz w:val="20"/>
                <w:szCs w:val="20"/>
              </w:rPr>
              <w:t>($ in thousands)</w:t>
            </w:r>
          </w:p>
        </w:tc>
        <w:tc>
          <w:tcPr>
            <w:tcW w:w="222" w:type="dxa"/>
            <w:tcBorders>
              <w:top w:val="nil"/>
              <w:left w:val="nil"/>
              <w:bottom w:val="nil"/>
              <w:right w:val="nil"/>
            </w:tcBorders>
            <w:shd w:val="clear" w:color="auto" w:fill="auto"/>
            <w:noWrap/>
            <w:vAlign w:val="bottom"/>
            <w:hideMark/>
          </w:tcPr>
          <w:p w:rsidR="00B00B50" w:rsidRDefault="00B00B50">
            <w:pPr>
              <w:rPr>
                <w:sz w:val="20"/>
                <w:szCs w:val="20"/>
              </w:rPr>
            </w:pPr>
          </w:p>
        </w:tc>
        <w:tc>
          <w:tcPr>
            <w:tcW w:w="716" w:type="dxa"/>
            <w:tcBorders>
              <w:top w:val="nil"/>
              <w:left w:val="nil"/>
              <w:bottom w:val="nil"/>
              <w:right w:val="nil"/>
            </w:tcBorders>
            <w:shd w:val="clear" w:color="auto" w:fill="auto"/>
            <w:noWrap/>
            <w:vAlign w:val="bottom"/>
            <w:hideMark/>
          </w:tcPr>
          <w:p w:rsidR="00B00B50" w:rsidRDefault="00B00B50">
            <w:pPr>
              <w:rPr>
                <w:sz w:val="20"/>
                <w:szCs w:val="20"/>
              </w:rPr>
            </w:pPr>
          </w:p>
        </w:tc>
      </w:tr>
      <w:tr w:rsidR="00B00B50" w:rsidTr="006964F2">
        <w:trPr>
          <w:trHeight w:val="255"/>
        </w:trPr>
        <w:tc>
          <w:tcPr>
            <w:tcW w:w="1370" w:type="dxa"/>
            <w:tcBorders>
              <w:top w:val="nil"/>
              <w:left w:val="nil"/>
              <w:bottom w:val="nil"/>
              <w:right w:val="nil"/>
            </w:tcBorders>
            <w:shd w:val="clear" w:color="auto" w:fill="auto"/>
            <w:noWrap/>
            <w:vAlign w:val="bottom"/>
            <w:hideMark/>
          </w:tcPr>
          <w:p w:rsidR="00B00B50" w:rsidRDefault="00B00B50">
            <w:pPr>
              <w:rPr>
                <w:sz w:val="20"/>
                <w:szCs w:val="20"/>
              </w:rPr>
            </w:pPr>
          </w:p>
        </w:tc>
        <w:tc>
          <w:tcPr>
            <w:tcW w:w="3880" w:type="dxa"/>
            <w:gridSpan w:val="7"/>
            <w:tcBorders>
              <w:top w:val="nil"/>
              <w:left w:val="nil"/>
              <w:bottom w:val="nil"/>
              <w:right w:val="nil"/>
            </w:tcBorders>
            <w:shd w:val="clear" w:color="auto" w:fill="auto"/>
            <w:vAlign w:val="bottom"/>
            <w:hideMark/>
          </w:tcPr>
          <w:p w:rsidR="00B00B50" w:rsidRDefault="00B00B50">
            <w:pPr>
              <w:jc w:val="center"/>
              <w:rPr>
                <w:color w:val="000000"/>
                <w:sz w:val="20"/>
                <w:szCs w:val="20"/>
              </w:rPr>
            </w:pPr>
            <w:r>
              <w:rPr>
                <w:color w:val="000000"/>
                <w:sz w:val="20"/>
                <w:szCs w:val="20"/>
              </w:rPr>
              <w:t xml:space="preserve">Year Ended December 31, </w:t>
            </w:r>
          </w:p>
        </w:tc>
      </w:tr>
      <w:tr w:rsidR="00B00B50" w:rsidTr="00B00B50">
        <w:trPr>
          <w:trHeight w:val="525"/>
        </w:trPr>
        <w:tc>
          <w:tcPr>
            <w:tcW w:w="1370" w:type="dxa"/>
            <w:tcBorders>
              <w:top w:val="nil"/>
              <w:left w:val="nil"/>
              <w:bottom w:val="nil"/>
              <w:right w:val="nil"/>
            </w:tcBorders>
            <w:shd w:val="clear" w:color="auto" w:fill="auto"/>
            <w:vAlign w:val="bottom"/>
            <w:hideMark/>
          </w:tcPr>
          <w:p w:rsidR="00B00B50" w:rsidRDefault="00B00B50">
            <w:pPr>
              <w:rPr>
                <w:color w:val="000000"/>
                <w:sz w:val="20"/>
                <w:szCs w:val="20"/>
              </w:rPr>
            </w:pPr>
          </w:p>
        </w:tc>
        <w:tc>
          <w:tcPr>
            <w:tcW w:w="836" w:type="dxa"/>
            <w:tcBorders>
              <w:top w:val="nil"/>
              <w:left w:val="nil"/>
              <w:bottom w:val="single" w:sz="8" w:space="0" w:color="auto"/>
              <w:right w:val="nil"/>
            </w:tcBorders>
            <w:shd w:val="clear" w:color="auto" w:fill="auto"/>
            <w:vAlign w:val="bottom"/>
            <w:hideMark/>
          </w:tcPr>
          <w:p w:rsidR="00B00B50" w:rsidRDefault="00B00B50">
            <w:pPr>
              <w:jc w:val="center"/>
              <w:rPr>
                <w:color w:val="000000"/>
                <w:sz w:val="20"/>
                <w:szCs w:val="20"/>
              </w:rPr>
            </w:pPr>
            <w:r>
              <w:rPr>
                <w:color w:val="000000"/>
                <w:sz w:val="20"/>
                <w:szCs w:val="20"/>
              </w:rPr>
              <w:t>2011</w:t>
            </w:r>
          </w:p>
        </w:tc>
        <w:tc>
          <w:tcPr>
            <w:tcW w:w="222" w:type="dxa"/>
            <w:tcBorders>
              <w:top w:val="nil"/>
              <w:left w:val="nil"/>
              <w:bottom w:val="nil"/>
              <w:right w:val="nil"/>
            </w:tcBorders>
            <w:shd w:val="clear" w:color="auto" w:fill="auto"/>
            <w:vAlign w:val="bottom"/>
            <w:hideMark/>
          </w:tcPr>
          <w:p w:rsidR="00B00B50" w:rsidRDefault="00B00B50">
            <w:pPr>
              <w:jc w:val="center"/>
              <w:rPr>
                <w:color w:val="000000"/>
                <w:sz w:val="20"/>
                <w:szCs w:val="20"/>
              </w:rPr>
            </w:pPr>
          </w:p>
        </w:tc>
        <w:tc>
          <w:tcPr>
            <w:tcW w:w="836" w:type="dxa"/>
            <w:tcBorders>
              <w:top w:val="nil"/>
              <w:left w:val="nil"/>
              <w:bottom w:val="single" w:sz="8" w:space="0" w:color="auto"/>
              <w:right w:val="nil"/>
            </w:tcBorders>
            <w:shd w:val="clear" w:color="auto" w:fill="auto"/>
            <w:vAlign w:val="bottom"/>
            <w:hideMark/>
          </w:tcPr>
          <w:p w:rsidR="00B00B50" w:rsidRDefault="00B00B50">
            <w:pPr>
              <w:jc w:val="center"/>
              <w:rPr>
                <w:color w:val="000000"/>
                <w:sz w:val="20"/>
                <w:szCs w:val="20"/>
              </w:rPr>
            </w:pPr>
            <w:r>
              <w:rPr>
                <w:color w:val="000000"/>
                <w:sz w:val="20"/>
                <w:szCs w:val="20"/>
              </w:rPr>
              <w:t>2010</w:t>
            </w:r>
          </w:p>
        </w:tc>
        <w:tc>
          <w:tcPr>
            <w:tcW w:w="222" w:type="dxa"/>
            <w:tcBorders>
              <w:top w:val="nil"/>
              <w:left w:val="nil"/>
              <w:bottom w:val="nil"/>
              <w:right w:val="nil"/>
            </w:tcBorders>
            <w:shd w:val="clear" w:color="auto" w:fill="auto"/>
            <w:vAlign w:val="bottom"/>
            <w:hideMark/>
          </w:tcPr>
          <w:p w:rsidR="00B00B50" w:rsidRDefault="00B00B50">
            <w:pPr>
              <w:rPr>
                <w:color w:val="000000"/>
                <w:sz w:val="20"/>
                <w:szCs w:val="20"/>
              </w:rPr>
            </w:pPr>
          </w:p>
        </w:tc>
        <w:tc>
          <w:tcPr>
            <w:tcW w:w="826" w:type="dxa"/>
            <w:tcBorders>
              <w:top w:val="nil"/>
              <w:left w:val="nil"/>
              <w:bottom w:val="single" w:sz="8" w:space="0" w:color="auto"/>
              <w:right w:val="nil"/>
            </w:tcBorders>
            <w:shd w:val="clear" w:color="auto" w:fill="auto"/>
            <w:vAlign w:val="bottom"/>
            <w:hideMark/>
          </w:tcPr>
          <w:p w:rsidR="00B00B50" w:rsidRDefault="00B00B50">
            <w:pPr>
              <w:jc w:val="center"/>
              <w:rPr>
                <w:color w:val="000000"/>
                <w:sz w:val="20"/>
                <w:szCs w:val="20"/>
              </w:rPr>
            </w:pPr>
            <w:proofErr w:type="spellStart"/>
            <w:r>
              <w:rPr>
                <w:color w:val="000000"/>
                <w:sz w:val="20"/>
                <w:szCs w:val="20"/>
              </w:rPr>
              <w:t>Incr</w:t>
            </w:r>
            <w:proofErr w:type="spellEnd"/>
            <w:r>
              <w:rPr>
                <w:color w:val="000000"/>
                <w:sz w:val="20"/>
                <w:szCs w:val="20"/>
              </w:rPr>
              <w:t xml:space="preserve"> (</w:t>
            </w:r>
            <w:proofErr w:type="spellStart"/>
            <w:r>
              <w:rPr>
                <w:color w:val="000000"/>
                <w:sz w:val="20"/>
                <w:szCs w:val="20"/>
              </w:rPr>
              <w:t>Decr</w:t>
            </w:r>
            <w:proofErr w:type="spellEnd"/>
            <w:r>
              <w:rPr>
                <w:color w:val="000000"/>
                <w:sz w:val="20"/>
                <w:szCs w:val="20"/>
              </w:rPr>
              <w:t>)</w:t>
            </w:r>
          </w:p>
        </w:tc>
        <w:tc>
          <w:tcPr>
            <w:tcW w:w="222" w:type="dxa"/>
            <w:tcBorders>
              <w:top w:val="nil"/>
              <w:left w:val="nil"/>
              <w:bottom w:val="nil"/>
              <w:right w:val="nil"/>
            </w:tcBorders>
            <w:shd w:val="clear" w:color="auto" w:fill="auto"/>
            <w:vAlign w:val="bottom"/>
            <w:hideMark/>
          </w:tcPr>
          <w:p w:rsidR="00B00B50" w:rsidRDefault="00B00B50">
            <w:pPr>
              <w:jc w:val="center"/>
              <w:rPr>
                <w:color w:val="000000"/>
                <w:sz w:val="20"/>
                <w:szCs w:val="20"/>
              </w:rPr>
            </w:pPr>
          </w:p>
        </w:tc>
        <w:tc>
          <w:tcPr>
            <w:tcW w:w="716" w:type="dxa"/>
            <w:tcBorders>
              <w:top w:val="nil"/>
              <w:left w:val="nil"/>
              <w:bottom w:val="single" w:sz="8" w:space="0" w:color="auto"/>
              <w:right w:val="nil"/>
            </w:tcBorders>
            <w:shd w:val="clear" w:color="auto" w:fill="auto"/>
            <w:vAlign w:val="bottom"/>
            <w:hideMark/>
          </w:tcPr>
          <w:p w:rsidR="00B00B50" w:rsidRDefault="00B00B50">
            <w:pPr>
              <w:jc w:val="center"/>
              <w:rPr>
                <w:color w:val="000000"/>
                <w:sz w:val="20"/>
                <w:szCs w:val="20"/>
              </w:rPr>
            </w:pPr>
            <w:r>
              <w:rPr>
                <w:color w:val="000000"/>
                <w:sz w:val="20"/>
                <w:szCs w:val="20"/>
              </w:rPr>
              <w:t>%</w:t>
            </w:r>
          </w:p>
        </w:tc>
      </w:tr>
      <w:tr w:rsidR="00B00B50" w:rsidTr="00B00B50">
        <w:trPr>
          <w:trHeight w:val="255"/>
        </w:trPr>
        <w:tc>
          <w:tcPr>
            <w:tcW w:w="1370" w:type="dxa"/>
            <w:tcBorders>
              <w:top w:val="nil"/>
              <w:left w:val="nil"/>
              <w:bottom w:val="nil"/>
              <w:right w:val="nil"/>
            </w:tcBorders>
            <w:shd w:val="clear" w:color="auto" w:fill="auto"/>
            <w:vAlign w:val="bottom"/>
            <w:hideMark/>
          </w:tcPr>
          <w:p w:rsidR="00B00B50" w:rsidRDefault="00B00B50">
            <w:pPr>
              <w:rPr>
                <w:color w:val="000000"/>
                <w:sz w:val="20"/>
                <w:szCs w:val="20"/>
              </w:rPr>
            </w:pPr>
            <w:r>
              <w:rPr>
                <w:color w:val="000000"/>
                <w:sz w:val="20"/>
                <w:szCs w:val="20"/>
              </w:rPr>
              <w:t>Notation</w:t>
            </w:r>
          </w:p>
        </w:tc>
        <w:tc>
          <w:tcPr>
            <w:tcW w:w="836" w:type="dxa"/>
            <w:tcBorders>
              <w:top w:val="nil"/>
              <w:left w:val="nil"/>
              <w:bottom w:val="nil"/>
              <w:right w:val="nil"/>
            </w:tcBorders>
            <w:shd w:val="clear" w:color="auto" w:fill="auto"/>
            <w:vAlign w:val="bottom"/>
            <w:hideMark/>
          </w:tcPr>
          <w:p w:rsidR="00B00B50" w:rsidRDefault="00B00B50">
            <w:pPr>
              <w:jc w:val="right"/>
              <w:rPr>
                <w:color w:val="000000"/>
                <w:sz w:val="20"/>
                <w:szCs w:val="20"/>
              </w:rPr>
            </w:pPr>
            <w:r>
              <w:rPr>
                <w:color w:val="000000"/>
                <w:sz w:val="20"/>
                <w:szCs w:val="20"/>
              </w:rPr>
              <w:t xml:space="preserve">$1,985 </w:t>
            </w:r>
          </w:p>
        </w:tc>
        <w:tc>
          <w:tcPr>
            <w:tcW w:w="222" w:type="dxa"/>
            <w:tcBorders>
              <w:top w:val="nil"/>
              <w:left w:val="nil"/>
              <w:bottom w:val="nil"/>
              <w:right w:val="nil"/>
            </w:tcBorders>
            <w:shd w:val="clear" w:color="auto" w:fill="auto"/>
            <w:vAlign w:val="bottom"/>
            <w:hideMark/>
          </w:tcPr>
          <w:p w:rsidR="00B00B50" w:rsidRDefault="00B00B50">
            <w:pPr>
              <w:rPr>
                <w:color w:val="000000"/>
                <w:sz w:val="20"/>
                <w:szCs w:val="20"/>
              </w:rPr>
            </w:pPr>
          </w:p>
        </w:tc>
        <w:tc>
          <w:tcPr>
            <w:tcW w:w="836" w:type="dxa"/>
            <w:tcBorders>
              <w:top w:val="nil"/>
              <w:left w:val="nil"/>
              <w:bottom w:val="nil"/>
              <w:right w:val="nil"/>
            </w:tcBorders>
            <w:shd w:val="clear" w:color="auto" w:fill="auto"/>
            <w:vAlign w:val="bottom"/>
            <w:hideMark/>
          </w:tcPr>
          <w:p w:rsidR="00B00B50" w:rsidRDefault="00B00B50">
            <w:pPr>
              <w:jc w:val="right"/>
              <w:rPr>
                <w:color w:val="000000"/>
                <w:sz w:val="20"/>
                <w:szCs w:val="20"/>
              </w:rPr>
            </w:pPr>
            <w:r>
              <w:rPr>
                <w:color w:val="000000"/>
                <w:sz w:val="20"/>
                <w:szCs w:val="20"/>
              </w:rPr>
              <w:t xml:space="preserve">$2,531 </w:t>
            </w:r>
          </w:p>
        </w:tc>
        <w:tc>
          <w:tcPr>
            <w:tcW w:w="222" w:type="dxa"/>
            <w:tcBorders>
              <w:top w:val="nil"/>
              <w:left w:val="nil"/>
              <w:bottom w:val="nil"/>
              <w:right w:val="nil"/>
            </w:tcBorders>
            <w:shd w:val="clear" w:color="auto" w:fill="auto"/>
            <w:vAlign w:val="bottom"/>
            <w:hideMark/>
          </w:tcPr>
          <w:p w:rsidR="00B00B50" w:rsidRDefault="00B00B50">
            <w:pPr>
              <w:rPr>
                <w:color w:val="000000"/>
                <w:sz w:val="20"/>
                <w:szCs w:val="20"/>
              </w:rPr>
            </w:pPr>
          </w:p>
        </w:tc>
        <w:tc>
          <w:tcPr>
            <w:tcW w:w="826" w:type="dxa"/>
            <w:tcBorders>
              <w:top w:val="nil"/>
              <w:left w:val="nil"/>
              <w:bottom w:val="nil"/>
              <w:right w:val="nil"/>
            </w:tcBorders>
            <w:shd w:val="clear" w:color="auto" w:fill="auto"/>
            <w:vAlign w:val="bottom"/>
            <w:hideMark/>
          </w:tcPr>
          <w:p w:rsidR="00B00B50" w:rsidRDefault="00B00B50">
            <w:pPr>
              <w:jc w:val="right"/>
              <w:rPr>
                <w:color w:val="000000"/>
                <w:sz w:val="20"/>
                <w:szCs w:val="20"/>
              </w:rPr>
            </w:pPr>
            <w:r>
              <w:rPr>
                <w:color w:val="FF0000"/>
                <w:sz w:val="20"/>
                <w:szCs w:val="20"/>
              </w:rPr>
              <w:t>($546)</w:t>
            </w:r>
          </w:p>
        </w:tc>
        <w:tc>
          <w:tcPr>
            <w:tcW w:w="222" w:type="dxa"/>
            <w:tcBorders>
              <w:top w:val="nil"/>
              <w:left w:val="nil"/>
              <w:bottom w:val="nil"/>
              <w:right w:val="nil"/>
            </w:tcBorders>
            <w:shd w:val="clear" w:color="auto" w:fill="auto"/>
            <w:vAlign w:val="bottom"/>
            <w:hideMark/>
          </w:tcPr>
          <w:p w:rsidR="00B00B50" w:rsidRDefault="00B00B50">
            <w:pPr>
              <w:rPr>
                <w:color w:val="000000"/>
                <w:sz w:val="20"/>
                <w:szCs w:val="20"/>
              </w:rPr>
            </w:pPr>
          </w:p>
        </w:tc>
        <w:tc>
          <w:tcPr>
            <w:tcW w:w="716" w:type="dxa"/>
            <w:tcBorders>
              <w:top w:val="nil"/>
              <w:left w:val="nil"/>
              <w:bottom w:val="nil"/>
              <w:right w:val="nil"/>
            </w:tcBorders>
            <w:shd w:val="clear" w:color="auto" w:fill="auto"/>
            <w:vAlign w:val="bottom"/>
            <w:hideMark/>
          </w:tcPr>
          <w:p w:rsidR="00B00B50" w:rsidRDefault="00B00B50">
            <w:pPr>
              <w:jc w:val="right"/>
              <w:rPr>
                <w:color w:val="000000"/>
                <w:sz w:val="20"/>
                <w:szCs w:val="20"/>
              </w:rPr>
            </w:pPr>
            <w:r>
              <w:rPr>
                <w:color w:val="000000"/>
                <w:sz w:val="20"/>
                <w:szCs w:val="20"/>
              </w:rPr>
              <w:t>-22%</w:t>
            </w:r>
          </w:p>
        </w:tc>
      </w:tr>
      <w:tr w:rsidR="00B00B50" w:rsidTr="00B00B50">
        <w:trPr>
          <w:trHeight w:val="255"/>
        </w:trPr>
        <w:tc>
          <w:tcPr>
            <w:tcW w:w="1370" w:type="dxa"/>
            <w:tcBorders>
              <w:top w:val="nil"/>
              <w:left w:val="nil"/>
              <w:bottom w:val="nil"/>
              <w:right w:val="nil"/>
            </w:tcBorders>
            <w:shd w:val="clear" w:color="auto" w:fill="auto"/>
            <w:vAlign w:val="bottom"/>
            <w:hideMark/>
          </w:tcPr>
          <w:p w:rsidR="00B00B50" w:rsidRDefault="00B00B50">
            <w:pPr>
              <w:rPr>
                <w:color w:val="000000"/>
                <w:sz w:val="20"/>
                <w:szCs w:val="20"/>
              </w:rPr>
            </w:pPr>
            <w:proofErr w:type="spellStart"/>
            <w:r>
              <w:rPr>
                <w:color w:val="000000"/>
                <w:sz w:val="20"/>
                <w:szCs w:val="20"/>
              </w:rPr>
              <w:t>SmartMusic</w:t>
            </w:r>
            <w:proofErr w:type="spellEnd"/>
          </w:p>
        </w:tc>
        <w:tc>
          <w:tcPr>
            <w:tcW w:w="836" w:type="dxa"/>
            <w:tcBorders>
              <w:top w:val="nil"/>
              <w:left w:val="nil"/>
              <w:bottom w:val="nil"/>
              <w:right w:val="nil"/>
            </w:tcBorders>
            <w:shd w:val="clear" w:color="auto" w:fill="auto"/>
            <w:vAlign w:val="bottom"/>
            <w:hideMark/>
          </w:tcPr>
          <w:p w:rsidR="00B00B50" w:rsidRDefault="00B00B50">
            <w:pPr>
              <w:jc w:val="right"/>
              <w:rPr>
                <w:color w:val="000000"/>
                <w:sz w:val="20"/>
                <w:szCs w:val="20"/>
              </w:rPr>
            </w:pPr>
            <w:r>
              <w:rPr>
                <w:color w:val="000000"/>
                <w:sz w:val="20"/>
                <w:szCs w:val="20"/>
              </w:rPr>
              <w:t xml:space="preserve">1,549 </w:t>
            </w:r>
          </w:p>
        </w:tc>
        <w:tc>
          <w:tcPr>
            <w:tcW w:w="222" w:type="dxa"/>
            <w:tcBorders>
              <w:top w:val="nil"/>
              <w:left w:val="nil"/>
              <w:bottom w:val="nil"/>
              <w:right w:val="nil"/>
            </w:tcBorders>
            <w:shd w:val="clear" w:color="auto" w:fill="auto"/>
            <w:vAlign w:val="bottom"/>
            <w:hideMark/>
          </w:tcPr>
          <w:p w:rsidR="00B00B50" w:rsidRDefault="00B00B50">
            <w:pPr>
              <w:rPr>
                <w:color w:val="000000"/>
                <w:sz w:val="20"/>
                <w:szCs w:val="20"/>
              </w:rPr>
            </w:pPr>
          </w:p>
        </w:tc>
        <w:tc>
          <w:tcPr>
            <w:tcW w:w="836" w:type="dxa"/>
            <w:tcBorders>
              <w:top w:val="nil"/>
              <w:left w:val="nil"/>
              <w:bottom w:val="nil"/>
              <w:right w:val="nil"/>
            </w:tcBorders>
            <w:shd w:val="clear" w:color="auto" w:fill="auto"/>
            <w:vAlign w:val="bottom"/>
            <w:hideMark/>
          </w:tcPr>
          <w:p w:rsidR="00B00B50" w:rsidRDefault="00B00B50">
            <w:pPr>
              <w:jc w:val="right"/>
              <w:rPr>
                <w:color w:val="000000"/>
                <w:sz w:val="20"/>
                <w:szCs w:val="20"/>
              </w:rPr>
            </w:pPr>
            <w:r>
              <w:rPr>
                <w:color w:val="000000"/>
                <w:sz w:val="20"/>
                <w:szCs w:val="20"/>
              </w:rPr>
              <w:t xml:space="preserve">1,957 </w:t>
            </w:r>
          </w:p>
        </w:tc>
        <w:tc>
          <w:tcPr>
            <w:tcW w:w="222" w:type="dxa"/>
            <w:tcBorders>
              <w:top w:val="nil"/>
              <w:left w:val="nil"/>
              <w:bottom w:val="nil"/>
              <w:right w:val="nil"/>
            </w:tcBorders>
            <w:shd w:val="clear" w:color="auto" w:fill="auto"/>
            <w:vAlign w:val="bottom"/>
            <w:hideMark/>
          </w:tcPr>
          <w:p w:rsidR="00B00B50" w:rsidRDefault="00B00B50">
            <w:pPr>
              <w:rPr>
                <w:color w:val="000000"/>
                <w:sz w:val="20"/>
                <w:szCs w:val="20"/>
              </w:rPr>
            </w:pPr>
          </w:p>
        </w:tc>
        <w:tc>
          <w:tcPr>
            <w:tcW w:w="826" w:type="dxa"/>
            <w:tcBorders>
              <w:top w:val="nil"/>
              <w:left w:val="nil"/>
              <w:bottom w:val="nil"/>
              <w:right w:val="nil"/>
            </w:tcBorders>
            <w:shd w:val="clear" w:color="auto" w:fill="auto"/>
            <w:vAlign w:val="bottom"/>
            <w:hideMark/>
          </w:tcPr>
          <w:p w:rsidR="00B00B50" w:rsidRDefault="00B00B50">
            <w:pPr>
              <w:jc w:val="right"/>
              <w:rPr>
                <w:color w:val="000000"/>
                <w:sz w:val="20"/>
                <w:szCs w:val="20"/>
              </w:rPr>
            </w:pPr>
            <w:r>
              <w:rPr>
                <w:color w:val="FF0000"/>
                <w:sz w:val="20"/>
                <w:szCs w:val="20"/>
              </w:rPr>
              <w:t>(408)</w:t>
            </w:r>
          </w:p>
        </w:tc>
        <w:tc>
          <w:tcPr>
            <w:tcW w:w="222" w:type="dxa"/>
            <w:tcBorders>
              <w:top w:val="nil"/>
              <w:left w:val="nil"/>
              <w:bottom w:val="nil"/>
              <w:right w:val="nil"/>
            </w:tcBorders>
            <w:shd w:val="clear" w:color="auto" w:fill="auto"/>
            <w:vAlign w:val="bottom"/>
            <w:hideMark/>
          </w:tcPr>
          <w:p w:rsidR="00B00B50" w:rsidRDefault="00B00B50">
            <w:pPr>
              <w:rPr>
                <w:color w:val="000000"/>
                <w:sz w:val="20"/>
                <w:szCs w:val="20"/>
              </w:rPr>
            </w:pPr>
          </w:p>
        </w:tc>
        <w:tc>
          <w:tcPr>
            <w:tcW w:w="716" w:type="dxa"/>
            <w:tcBorders>
              <w:top w:val="nil"/>
              <w:left w:val="nil"/>
              <w:bottom w:val="nil"/>
              <w:right w:val="nil"/>
            </w:tcBorders>
            <w:shd w:val="clear" w:color="auto" w:fill="auto"/>
            <w:vAlign w:val="bottom"/>
            <w:hideMark/>
          </w:tcPr>
          <w:p w:rsidR="00B00B50" w:rsidRDefault="00B00B50">
            <w:pPr>
              <w:jc w:val="right"/>
              <w:rPr>
                <w:color w:val="000000"/>
                <w:sz w:val="20"/>
                <w:szCs w:val="20"/>
              </w:rPr>
            </w:pPr>
            <w:r>
              <w:rPr>
                <w:color w:val="000000"/>
                <w:sz w:val="20"/>
                <w:szCs w:val="20"/>
              </w:rPr>
              <w:t>-21%</w:t>
            </w:r>
          </w:p>
        </w:tc>
      </w:tr>
      <w:tr w:rsidR="00B00B50" w:rsidTr="00B00B50">
        <w:trPr>
          <w:trHeight w:val="255"/>
        </w:trPr>
        <w:tc>
          <w:tcPr>
            <w:tcW w:w="1370" w:type="dxa"/>
            <w:tcBorders>
              <w:top w:val="nil"/>
              <w:left w:val="nil"/>
              <w:bottom w:val="nil"/>
              <w:right w:val="nil"/>
            </w:tcBorders>
            <w:shd w:val="clear" w:color="auto" w:fill="auto"/>
            <w:vAlign w:val="bottom"/>
            <w:hideMark/>
          </w:tcPr>
          <w:p w:rsidR="00B00B50" w:rsidRDefault="00B00B50">
            <w:pPr>
              <w:rPr>
                <w:color w:val="000000"/>
                <w:sz w:val="20"/>
                <w:szCs w:val="20"/>
              </w:rPr>
            </w:pPr>
            <w:r>
              <w:rPr>
                <w:color w:val="000000"/>
                <w:sz w:val="20"/>
                <w:szCs w:val="20"/>
              </w:rPr>
              <w:t>Other</w:t>
            </w:r>
          </w:p>
        </w:tc>
        <w:tc>
          <w:tcPr>
            <w:tcW w:w="836" w:type="dxa"/>
            <w:tcBorders>
              <w:top w:val="nil"/>
              <w:left w:val="nil"/>
              <w:bottom w:val="nil"/>
              <w:right w:val="nil"/>
            </w:tcBorders>
            <w:shd w:val="clear" w:color="auto" w:fill="auto"/>
            <w:vAlign w:val="bottom"/>
            <w:hideMark/>
          </w:tcPr>
          <w:p w:rsidR="00B00B50" w:rsidRDefault="00B00B50">
            <w:pPr>
              <w:jc w:val="right"/>
              <w:rPr>
                <w:color w:val="000000"/>
                <w:sz w:val="20"/>
                <w:szCs w:val="20"/>
              </w:rPr>
            </w:pPr>
            <w:r>
              <w:rPr>
                <w:color w:val="000000"/>
                <w:sz w:val="20"/>
                <w:szCs w:val="20"/>
              </w:rPr>
              <w:t xml:space="preserve">1,104 </w:t>
            </w:r>
          </w:p>
        </w:tc>
        <w:tc>
          <w:tcPr>
            <w:tcW w:w="222" w:type="dxa"/>
            <w:tcBorders>
              <w:top w:val="nil"/>
              <w:left w:val="nil"/>
              <w:bottom w:val="nil"/>
              <w:right w:val="nil"/>
            </w:tcBorders>
            <w:shd w:val="clear" w:color="auto" w:fill="auto"/>
            <w:vAlign w:val="bottom"/>
            <w:hideMark/>
          </w:tcPr>
          <w:p w:rsidR="00B00B50" w:rsidRDefault="00B00B50">
            <w:pPr>
              <w:rPr>
                <w:color w:val="000000"/>
                <w:sz w:val="20"/>
                <w:szCs w:val="20"/>
              </w:rPr>
            </w:pPr>
          </w:p>
        </w:tc>
        <w:tc>
          <w:tcPr>
            <w:tcW w:w="836" w:type="dxa"/>
            <w:tcBorders>
              <w:top w:val="nil"/>
              <w:left w:val="nil"/>
              <w:bottom w:val="nil"/>
              <w:right w:val="nil"/>
            </w:tcBorders>
            <w:shd w:val="clear" w:color="auto" w:fill="auto"/>
            <w:vAlign w:val="bottom"/>
            <w:hideMark/>
          </w:tcPr>
          <w:p w:rsidR="00B00B50" w:rsidRDefault="00B00B50">
            <w:pPr>
              <w:jc w:val="right"/>
              <w:rPr>
                <w:color w:val="000000"/>
                <w:sz w:val="20"/>
                <w:szCs w:val="20"/>
              </w:rPr>
            </w:pPr>
            <w:r>
              <w:rPr>
                <w:color w:val="000000"/>
                <w:sz w:val="20"/>
                <w:szCs w:val="20"/>
              </w:rPr>
              <w:t xml:space="preserve">1,036 </w:t>
            </w:r>
          </w:p>
        </w:tc>
        <w:tc>
          <w:tcPr>
            <w:tcW w:w="222" w:type="dxa"/>
            <w:tcBorders>
              <w:top w:val="nil"/>
              <w:left w:val="nil"/>
              <w:bottom w:val="nil"/>
              <w:right w:val="nil"/>
            </w:tcBorders>
            <w:shd w:val="clear" w:color="auto" w:fill="auto"/>
            <w:vAlign w:val="bottom"/>
            <w:hideMark/>
          </w:tcPr>
          <w:p w:rsidR="00B00B50" w:rsidRDefault="00B00B50">
            <w:pPr>
              <w:rPr>
                <w:color w:val="000000"/>
                <w:sz w:val="20"/>
                <w:szCs w:val="20"/>
              </w:rPr>
            </w:pPr>
          </w:p>
        </w:tc>
        <w:tc>
          <w:tcPr>
            <w:tcW w:w="826" w:type="dxa"/>
            <w:tcBorders>
              <w:top w:val="nil"/>
              <w:left w:val="nil"/>
              <w:bottom w:val="nil"/>
              <w:right w:val="nil"/>
            </w:tcBorders>
            <w:shd w:val="clear" w:color="auto" w:fill="auto"/>
            <w:vAlign w:val="bottom"/>
            <w:hideMark/>
          </w:tcPr>
          <w:p w:rsidR="00B00B50" w:rsidRDefault="00B00B50">
            <w:pPr>
              <w:jc w:val="right"/>
              <w:rPr>
                <w:color w:val="000000"/>
                <w:sz w:val="20"/>
                <w:szCs w:val="20"/>
              </w:rPr>
            </w:pPr>
            <w:r>
              <w:rPr>
                <w:color w:val="000000"/>
                <w:sz w:val="20"/>
                <w:szCs w:val="20"/>
              </w:rPr>
              <w:t xml:space="preserve">68 </w:t>
            </w:r>
          </w:p>
        </w:tc>
        <w:tc>
          <w:tcPr>
            <w:tcW w:w="222" w:type="dxa"/>
            <w:tcBorders>
              <w:top w:val="nil"/>
              <w:left w:val="nil"/>
              <w:bottom w:val="nil"/>
              <w:right w:val="nil"/>
            </w:tcBorders>
            <w:shd w:val="clear" w:color="auto" w:fill="auto"/>
            <w:vAlign w:val="bottom"/>
            <w:hideMark/>
          </w:tcPr>
          <w:p w:rsidR="00B00B50" w:rsidRDefault="00B00B50">
            <w:pPr>
              <w:rPr>
                <w:color w:val="000000"/>
                <w:sz w:val="20"/>
                <w:szCs w:val="20"/>
              </w:rPr>
            </w:pPr>
          </w:p>
        </w:tc>
        <w:tc>
          <w:tcPr>
            <w:tcW w:w="716" w:type="dxa"/>
            <w:tcBorders>
              <w:top w:val="nil"/>
              <w:left w:val="nil"/>
              <w:bottom w:val="nil"/>
              <w:right w:val="nil"/>
            </w:tcBorders>
            <w:shd w:val="clear" w:color="auto" w:fill="auto"/>
            <w:vAlign w:val="bottom"/>
            <w:hideMark/>
          </w:tcPr>
          <w:p w:rsidR="00B00B50" w:rsidRDefault="00B00B50">
            <w:pPr>
              <w:jc w:val="right"/>
              <w:rPr>
                <w:color w:val="000000"/>
                <w:sz w:val="20"/>
                <w:szCs w:val="20"/>
              </w:rPr>
            </w:pPr>
            <w:r>
              <w:rPr>
                <w:color w:val="000000"/>
                <w:sz w:val="20"/>
                <w:szCs w:val="20"/>
              </w:rPr>
              <w:t>7%</w:t>
            </w:r>
          </w:p>
        </w:tc>
      </w:tr>
      <w:tr w:rsidR="00B00B50" w:rsidTr="006964F2">
        <w:trPr>
          <w:trHeight w:val="270"/>
        </w:trPr>
        <w:tc>
          <w:tcPr>
            <w:tcW w:w="1370" w:type="dxa"/>
            <w:tcBorders>
              <w:top w:val="nil"/>
              <w:left w:val="nil"/>
              <w:bottom w:val="nil"/>
              <w:right w:val="nil"/>
            </w:tcBorders>
            <w:shd w:val="clear" w:color="auto" w:fill="auto"/>
            <w:noWrap/>
            <w:vAlign w:val="bottom"/>
            <w:hideMark/>
          </w:tcPr>
          <w:p w:rsidR="00B00B50" w:rsidRDefault="00B00B50">
            <w:pPr>
              <w:rPr>
                <w:sz w:val="20"/>
                <w:szCs w:val="20"/>
              </w:rPr>
            </w:pPr>
            <w:r>
              <w:rPr>
                <w:sz w:val="20"/>
                <w:szCs w:val="20"/>
              </w:rPr>
              <w:t>Total</w:t>
            </w:r>
          </w:p>
        </w:tc>
        <w:tc>
          <w:tcPr>
            <w:tcW w:w="836" w:type="dxa"/>
            <w:tcBorders>
              <w:top w:val="single" w:sz="4" w:space="0" w:color="auto"/>
              <w:left w:val="nil"/>
              <w:bottom w:val="double" w:sz="6" w:space="0" w:color="auto"/>
              <w:right w:val="nil"/>
            </w:tcBorders>
            <w:shd w:val="clear" w:color="auto" w:fill="auto"/>
            <w:noWrap/>
            <w:vAlign w:val="bottom"/>
            <w:hideMark/>
          </w:tcPr>
          <w:p w:rsidR="00B00B50" w:rsidRDefault="00B00B50">
            <w:pPr>
              <w:jc w:val="right"/>
              <w:rPr>
                <w:sz w:val="20"/>
                <w:szCs w:val="20"/>
              </w:rPr>
            </w:pPr>
            <w:r>
              <w:rPr>
                <w:sz w:val="20"/>
                <w:szCs w:val="20"/>
              </w:rPr>
              <w:t xml:space="preserve">$4,638 </w:t>
            </w:r>
          </w:p>
        </w:tc>
        <w:tc>
          <w:tcPr>
            <w:tcW w:w="222" w:type="dxa"/>
            <w:tcBorders>
              <w:top w:val="nil"/>
              <w:left w:val="nil"/>
              <w:bottom w:val="nil"/>
              <w:right w:val="nil"/>
            </w:tcBorders>
            <w:shd w:val="clear" w:color="auto" w:fill="auto"/>
            <w:noWrap/>
            <w:vAlign w:val="bottom"/>
            <w:hideMark/>
          </w:tcPr>
          <w:p w:rsidR="00B00B50" w:rsidRDefault="00B00B50">
            <w:pPr>
              <w:rPr>
                <w:sz w:val="20"/>
                <w:szCs w:val="20"/>
              </w:rPr>
            </w:pPr>
          </w:p>
        </w:tc>
        <w:tc>
          <w:tcPr>
            <w:tcW w:w="836" w:type="dxa"/>
            <w:tcBorders>
              <w:top w:val="single" w:sz="4" w:space="0" w:color="auto"/>
              <w:left w:val="nil"/>
              <w:bottom w:val="double" w:sz="6" w:space="0" w:color="auto"/>
              <w:right w:val="nil"/>
            </w:tcBorders>
            <w:shd w:val="clear" w:color="auto" w:fill="auto"/>
            <w:noWrap/>
            <w:vAlign w:val="bottom"/>
            <w:hideMark/>
          </w:tcPr>
          <w:p w:rsidR="00B00B50" w:rsidRDefault="00B00B50">
            <w:pPr>
              <w:jc w:val="right"/>
              <w:rPr>
                <w:sz w:val="20"/>
                <w:szCs w:val="20"/>
              </w:rPr>
            </w:pPr>
            <w:r>
              <w:rPr>
                <w:sz w:val="20"/>
                <w:szCs w:val="20"/>
              </w:rPr>
              <w:t xml:space="preserve">$5,524 </w:t>
            </w:r>
          </w:p>
        </w:tc>
        <w:tc>
          <w:tcPr>
            <w:tcW w:w="222" w:type="dxa"/>
            <w:tcBorders>
              <w:top w:val="nil"/>
              <w:left w:val="nil"/>
              <w:bottom w:val="nil"/>
              <w:right w:val="nil"/>
            </w:tcBorders>
            <w:shd w:val="clear" w:color="auto" w:fill="auto"/>
            <w:noWrap/>
            <w:vAlign w:val="bottom"/>
            <w:hideMark/>
          </w:tcPr>
          <w:p w:rsidR="00B00B50" w:rsidRDefault="00B00B50">
            <w:pPr>
              <w:rPr>
                <w:sz w:val="20"/>
                <w:szCs w:val="20"/>
              </w:rPr>
            </w:pPr>
          </w:p>
        </w:tc>
        <w:tc>
          <w:tcPr>
            <w:tcW w:w="826" w:type="dxa"/>
            <w:tcBorders>
              <w:top w:val="single" w:sz="4" w:space="0" w:color="auto"/>
              <w:left w:val="nil"/>
              <w:bottom w:val="double" w:sz="6" w:space="0" w:color="auto"/>
              <w:right w:val="nil"/>
            </w:tcBorders>
            <w:shd w:val="clear" w:color="auto" w:fill="auto"/>
            <w:noWrap/>
            <w:vAlign w:val="bottom"/>
            <w:hideMark/>
          </w:tcPr>
          <w:p w:rsidR="00B00B50" w:rsidRDefault="00B00B50">
            <w:pPr>
              <w:jc w:val="right"/>
              <w:rPr>
                <w:sz w:val="20"/>
                <w:szCs w:val="20"/>
              </w:rPr>
            </w:pPr>
            <w:r>
              <w:rPr>
                <w:color w:val="FF0000"/>
                <w:sz w:val="20"/>
                <w:szCs w:val="20"/>
              </w:rPr>
              <w:t>($886)</w:t>
            </w:r>
          </w:p>
        </w:tc>
        <w:tc>
          <w:tcPr>
            <w:tcW w:w="222" w:type="dxa"/>
            <w:tcBorders>
              <w:top w:val="nil"/>
              <w:left w:val="nil"/>
              <w:bottom w:val="nil"/>
              <w:right w:val="nil"/>
            </w:tcBorders>
            <w:shd w:val="clear" w:color="auto" w:fill="auto"/>
            <w:noWrap/>
            <w:vAlign w:val="bottom"/>
            <w:hideMark/>
          </w:tcPr>
          <w:p w:rsidR="00B00B50" w:rsidRDefault="00B00B50">
            <w:pPr>
              <w:rPr>
                <w:sz w:val="20"/>
                <w:szCs w:val="20"/>
              </w:rPr>
            </w:pPr>
          </w:p>
        </w:tc>
        <w:tc>
          <w:tcPr>
            <w:tcW w:w="716" w:type="dxa"/>
            <w:tcBorders>
              <w:top w:val="single" w:sz="4" w:space="0" w:color="auto"/>
              <w:left w:val="nil"/>
              <w:bottom w:val="double" w:sz="6" w:space="0" w:color="auto"/>
              <w:right w:val="nil"/>
            </w:tcBorders>
            <w:shd w:val="clear" w:color="auto" w:fill="auto"/>
            <w:noWrap/>
            <w:vAlign w:val="bottom"/>
            <w:hideMark/>
          </w:tcPr>
          <w:p w:rsidR="00B00B50" w:rsidRDefault="00B00B50">
            <w:pPr>
              <w:jc w:val="right"/>
              <w:rPr>
                <w:sz w:val="20"/>
                <w:szCs w:val="20"/>
              </w:rPr>
            </w:pPr>
            <w:r>
              <w:rPr>
                <w:sz w:val="20"/>
                <w:szCs w:val="20"/>
              </w:rPr>
              <w:t>-16%</w:t>
            </w:r>
          </w:p>
        </w:tc>
      </w:tr>
    </w:tbl>
    <w:p w:rsidR="00B00B50" w:rsidRDefault="00B00B50">
      <w:pPr>
        <w:spacing w:after="240"/>
        <w:rPr>
          <w:color w:val="000000"/>
          <w:sz w:val="20"/>
        </w:rPr>
      </w:pPr>
    </w:p>
    <w:p w:rsidR="004851D7" w:rsidRDefault="004851D7">
      <w:pPr>
        <w:spacing w:after="240"/>
        <w:ind w:firstLine="720"/>
        <w:rPr>
          <w:color w:val="000000"/>
          <w:sz w:val="20"/>
        </w:rPr>
      </w:pPr>
      <w:r>
        <w:rPr>
          <w:color w:val="000000"/>
          <w:sz w:val="20"/>
        </w:rPr>
        <w:t xml:space="preserve">Development expenses </w:t>
      </w:r>
      <w:r w:rsidR="00B00B50">
        <w:rPr>
          <w:color w:val="000000"/>
          <w:sz w:val="20"/>
        </w:rPr>
        <w:t>de</w:t>
      </w:r>
      <w:r>
        <w:rPr>
          <w:color w:val="000000"/>
          <w:sz w:val="20"/>
        </w:rPr>
        <w:t>creased $</w:t>
      </w:r>
      <w:r w:rsidR="00B00B50">
        <w:rPr>
          <w:color w:val="000000"/>
          <w:sz w:val="20"/>
        </w:rPr>
        <w:t>886</w:t>
      </w:r>
      <w:r>
        <w:rPr>
          <w:color w:val="000000"/>
          <w:sz w:val="20"/>
        </w:rPr>
        <w:t>,000 from $</w:t>
      </w:r>
      <w:r w:rsidR="00B00B50">
        <w:rPr>
          <w:color w:val="000000"/>
          <w:sz w:val="20"/>
        </w:rPr>
        <w:t xml:space="preserve">5,524,000 </w:t>
      </w:r>
      <w:r>
        <w:rPr>
          <w:color w:val="000000"/>
          <w:sz w:val="20"/>
        </w:rPr>
        <w:t xml:space="preserve">in </w:t>
      </w:r>
      <w:r w:rsidR="00B00B50">
        <w:rPr>
          <w:color w:val="000000"/>
          <w:sz w:val="20"/>
        </w:rPr>
        <w:t xml:space="preserve">2010 </w:t>
      </w:r>
      <w:r>
        <w:rPr>
          <w:color w:val="000000"/>
          <w:sz w:val="20"/>
        </w:rPr>
        <w:t>to $</w:t>
      </w:r>
      <w:r w:rsidR="00B00B50">
        <w:rPr>
          <w:color w:val="000000"/>
          <w:sz w:val="20"/>
        </w:rPr>
        <w:t>4,638</w:t>
      </w:r>
      <w:r>
        <w:rPr>
          <w:color w:val="000000"/>
          <w:sz w:val="20"/>
        </w:rPr>
        <w:t xml:space="preserve">,000 in </w:t>
      </w:r>
      <w:r w:rsidR="00B00B50">
        <w:rPr>
          <w:color w:val="000000"/>
          <w:sz w:val="20"/>
        </w:rPr>
        <w:t>2011</w:t>
      </w:r>
      <w:r>
        <w:rPr>
          <w:color w:val="000000"/>
          <w:sz w:val="20"/>
        </w:rPr>
        <w:t xml:space="preserve">. Development expenses consist primarily of internal payroll, payments to independent contractors and related expenses for the development and maintenance of our Finale notation, </w:t>
      </w:r>
      <w:proofErr w:type="spellStart"/>
      <w:r>
        <w:rPr>
          <w:color w:val="000000"/>
          <w:sz w:val="20"/>
        </w:rPr>
        <w:t>SmartMusic</w:t>
      </w:r>
      <w:proofErr w:type="spellEnd"/>
      <w:r>
        <w:rPr>
          <w:color w:val="000000"/>
          <w:sz w:val="20"/>
        </w:rPr>
        <w:t xml:space="preserve"> and </w:t>
      </w:r>
      <w:proofErr w:type="spellStart"/>
      <w:r>
        <w:rPr>
          <w:color w:val="000000"/>
          <w:sz w:val="20"/>
        </w:rPr>
        <w:t>SmartMusic</w:t>
      </w:r>
      <w:proofErr w:type="spellEnd"/>
      <w:r>
        <w:rPr>
          <w:color w:val="000000"/>
          <w:sz w:val="20"/>
        </w:rPr>
        <w:t xml:space="preserve"> </w:t>
      </w:r>
      <w:proofErr w:type="spellStart"/>
      <w:r>
        <w:rPr>
          <w:color w:val="000000"/>
          <w:sz w:val="20"/>
        </w:rPr>
        <w:t>Gradebook</w:t>
      </w:r>
      <w:proofErr w:type="spellEnd"/>
      <w:r>
        <w:rPr>
          <w:color w:val="000000"/>
          <w:sz w:val="20"/>
        </w:rPr>
        <w:t xml:space="preserve"> products as well as non-capitalized </w:t>
      </w:r>
      <w:proofErr w:type="spellStart"/>
      <w:r>
        <w:rPr>
          <w:color w:val="000000"/>
          <w:sz w:val="20"/>
        </w:rPr>
        <w:t>SmartMusic</w:t>
      </w:r>
      <w:proofErr w:type="spellEnd"/>
      <w:r>
        <w:rPr>
          <w:color w:val="000000"/>
          <w:sz w:val="20"/>
        </w:rPr>
        <w:t xml:space="preserve"> repertoire development, business systems and quality assurance. Other development expenses are unallocated expenses not directly attributable to a particular segment and include IT infrastructure and website support costs. </w:t>
      </w:r>
    </w:p>
    <w:p w:rsidR="004851D7" w:rsidRDefault="005E596C">
      <w:pPr>
        <w:spacing w:after="240"/>
        <w:ind w:firstLine="720"/>
        <w:rPr>
          <w:color w:val="000000"/>
          <w:sz w:val="20"/>
        </w:rPr>
      </w:pPr>
      <w:r>
        <w:rPr>
          <w:color w:val="000000"/>
          <w:sz w:val="20"/>
        </w:rPr>
        <w:t xml:space="preserve">The decrease in development expenses for Notation and </w:t>
      </w:r>
      <w:proofErr w:type="spellStart"/>
      <w:r>
        <w:rPr>
          <w:color w:val="000000"/>
          <w:sz w:val="20"/>
        </w:rPr>
        <w:t>SmartMusic</w:t>
      </w:r>
      <w:proofErr w:type="spellEnd"/>
      <w:r>
        <w:rPr>
          <w:color w:val="000000"/>
          <w:sz w:val="20"/>
        </w:rPr>
        <w:t xml:space="preserve"> was primarily due to reduced personnel costs relating to the Chief Technology Officer position which was </w:t>
      </w:r>
      <w:r w:rsidR="006B7B09">
        <w:rPr>
          <w:color w:val="000000"/>
          <w:sz w:val="20"/>
        </w:rPr>
        <w:t xml:space="preserve">open </w:t>
      </w:r>
      <w:r w:rsidR="00C841C2">
        <w:rPr>
          <w:color w:val="000000"/>
          <w:sz w:val="20"/>
        </w:rPr>
        <w:t xml:space="preserve">until </w:t>
      </w:r>
      <w:r>
        <w:rPr>
          <w:color w:val="000000"/>
          <w:sz w:val="20"/>
        </w:rPr>
        <w:t>August 2011</w:t>
      </w:r>
      <w:r w:rsidR="006964F2">
        <w:rPr>
          <w:color w:val="000000"/>
          <w:sz w:val="20"/>
        </w:rPr>
        <w:t>,</w:t>
      </w:r>
      <w:r>
        <w:rPr>
          <w:color w:val="000000"/>
          <w:sz w:val="20"/>
        </w:rPr>
        <w:t xml:space="preserve"> other open development positions</w:t>
      </w:r>
      <w:r w:rsidR="006964F2">
        <w:rPr>
          <w:color w:val="000000"/>
          <w:sz w:val="20"/>
        </w:rPr>
        <w:t xml:space="preserve"> and reduced incentive compensation</w:t>
      </w:r>
      <w:r>
        <w:rPr>
          <w:color w:val="000000"/>
          <w:sz w:val="20"/>
        </w:rPr>
        <w:t xml:space="preserve"> due to an</w:t>
      </w:r>
      <w:r w:rsidR="006964F2">
        <w:rPr>
          <w:color w:val="000000"/>
          <w:sz w:val="20"/>
        </w:rPr>
        <w:t>n</w:t>
      </w:r>
      <w:r>
        <w:rPr>
          <w:color w:val="000000"/>
          <w:sz w:val="20"/>
        </w:rPr>
        <w:t xml:space="preserve">ual financial results. </w:t>
      </w:r>
      <w:proofErr w:type="spellStart"/>
      <w:r>
        <w:rPr>
          <w:color w:val="000000"/>
          <w:sz w:val="20"/>
        </w:rPr>
        <w:t>SmartMusic</w:t>
      </w:r>
      <w:proofErr w:type="spellEnd"/>
      <w:r>
        <w:rPr>
          <w:color w:val="000000"/>
          <w:sz w:val="20"/>
        </w:rPr>
        <w:t xml:space="preserve"> consulting expenses were also lower in 2011 due to completion in 2010 of upgrades to the </w:t>
      </w:r>
      <w:proofErr w:type="spellStart"/>
      <w:r>
        <w:rPr>
          <w:color w:val="000000"/>
          <w:sz w:val="20"/>
        </w:rPr>
        <w:t>SmartMusic</w:t>
      </w:r>
      <w:proofErr w:type="spellEnd"/>
      <w:r>
        <w:rPr>
          <w:color w:val="000000"/>
          <w:sz w:val="20"/>
        </w:rPr>
        <w:t xml:space="preserve"> user-interface design. </w:t>
      </w:r>
      <w:bookmarkStart w:id="15" w:name="_DV_C20"/>
      <w:r>
        <w:rPr>
          <w:color w:val="000000"/>
          <w:sz w:val="20"/>
        </w:rPr>
        <w:t xml:space="preserve">In addition, expenses for </w:t>
      </w:r>
      <w:proofErr w:type="spellStart"/>
      <w:r>
        <w:rPr>
          <w:color w:val="000000"/>
          <w:sz w:val="20"/>
        </w:rPr>
        <w:t>SmartMusic</w:t>
      </w:r>
      <w:proofErr w:type="spellEnd"/>
      <w:r>
        <w:rPr>
          <w:color w:val="000000"/>
          <w:sz w:val="20"/>
        </w:rPr>
        <w:t xml:space="preserve"> repertoire development decreased slightly during 2011 compared to 2010, despite an increase to the number of titles </w:t>
      </w:r>
      <w:bookmarkEnd w:id="15"/>
      <w:r>
        <w:rPr>
          <w:color w:val="000000"/>
          <w:sz w:val="20"/>
        </w:rPr>
        <w:t xml:space="preserve">released. During the year ended December 31, 2011, 415 new </w:t>
      </w:r>
      <w:proofErr w:type="spellStart"/>
      <w:r>
        <w:rPr>
          <w:color w:val="000000"/>
          <w:sz w:val="20"/>
        </w:rPr>
        <w:t>SmartMusic</w:t>
      </w:r>
      <w:proofErr w:type="spellEnd"/>
      <w:r>
        <w:rPr>
          <w:color w:val="000000"/>
          <w:sz w:val="20"/>
        </w:rPr>
        <w:t xml:space="preserve"> large ensemble band, jazz ensemble, and orchestra titles with pre-authored assignments were released, compared to 176 new titles during the year ended December 31, 2010. </w:t>
      </w:r>
      <w:r w:rsidR="004851D7">
        <w:rPr>
          <w:color w:val="000000"/>
          <w:sz w:val="20"/>
        </w:rPr>
        <w:t>Net content development expenditures of $</w:t>
      </w:r>
      <w:r>
        <w:rPr>
          <w:color w:val="000000"/>
          <w:sz w:val="20"/>
        </w:rPr>
        <w:t>589</w:t>
      </w:r>
      <w:r w:rsidR="004851D7">
        <w:rPr>
          <w:color w:val="000000"/>
          <w:sz w:val="20"/>
        </w:rPr>
        <w:t xml:space="preserve">,000 in </w:t>
      </w:r>
      <w:r>
        <w:rPr>
          <w:color w:val="000000"/>
          <w:sz w:val="20"/>
        </w:rPr>
        <w:t xml:space="preserve">2011 </w:t>
      </w:r>
      <w:r w:rsidR="004851D7">
        <w:rPr>
          <w:color w:val="000000"/>
          <w:sz w:val="20"/>
        </w:rPr>
        <w:t>and $</w:t>
      </w:r>
      <w:r>
        <w:rPr>
          <w:color w:val="000000"/>
          <w:sz w:val="20"/>
        </w:rPr>
        <w:t>511</w:t>
      </w:r>
      <w:r w:rsidR="004851D7">
        <w:rPr>
          <w:color w:val="000000"/>
          <w:sz w:val="20"/>
        </w:rPr>
        <w:t xml:space="preserve">,000 in </w:t>
      </w:r>
      <w:r>
        <w:rPr>
          <w:color w:val="000000"/>
          <w:sz w:val="20"/>
        </w:rPr>
        <w:t xml:space="preserve">2010 </w:t>
      </w:r>
      <w:r w:rsidR="004851D7">
        <w:rPr>
          <w:color w:val="000000"/>
          <w:sz w:val="20"/>
        </w:rPr>
        <w:t xml:space="preserve">related to this additional </w:t>
      </w:r>
      <w:proofErr w:type="spellStart"/>
      <w:r w:rsidR="004851D7">
        <w:rPr>
          <w:color w:val="000000"/>
          <w:sz w:val="20"/>
        </w:rPr>
        <w:t>SmartMusic</w:t>
      </w:r>
      <w:proofErr w:type="spellEnd"/>
      <w:r w:rsidR="004851D7">
        <w:rPr>
          <w:color w:val="000000"/>
          <w:sz w:val="20"/>
        </w:rPr>
        <w:t xml:space="preserve"> repertoire have been capitalized and are being amortized over their estimated useful life of 5 years. </w:t>
      </w:r>
    </w:p>
    <w:p w:rsidR="00EC6863" w:rsidRDefault="004851D7">
      <w:pPr>
        <w:spacing w:after="240"/>
        <w:ind w:firstLine="720"/>
        <w:rPr>
          <w:color w:val="000000"/>
          <w:sz w:val="20"/>
        </w:rPr>
      </w:pPr>
      <w:r>
        <w:rPr>
          <w:color w:val="000000"/>
          <w:sz w:val="20"/>
        </w:rPr>
        <w:t xml:space="preserve">Other development expenses </w:t>
      </w:r>
      <w:r w:rsidR="001D3E1F">
        <w:rPr>
          <w:color w:val="000000"/>
          <w:sz w:val="20"/>
        </w:rPr>
        <w:t xml:space="preserve">increased </w:t>
      </w:r>
      <w:r>
        <w:rPr>
          <w:color w:val="000000"/>
          <w:sz w:val="20"/>
        </w:rPr>
        <w:t xml:space="preserve">as </w:t>
      </w:r>
      <w:r w:rsidR="001D3E1F">
        <w:rPr>
          <w:color w:val="000000"/>
          <w:sz w:val="20"/>
        </w:rPr>
        <w:t xml:space="preserve">a result </w:t>
      </w:r>
      <w:r w:rsidR="00EC6863">
        <w:rPr>
          <w:color w:val="000000"/>
          <w:sz w:val="20"/>
        </w:rPr>
        <w:t>of increased spending in our business systems department to support our internal infrastructure.</w:t>
      </w:r>
    </w:p>
    <w:p w:rsidR="0085226B" w:rsidRDefault="0085226B">
      <w:pPr>
        <w:spacing w:after="240"/>
        <w:ind w:firstLine="720"/>
        <w:rPr>
          <w:color w:val="000000"/>
          <w:sz w:val="20"/>
        </w:rPr>
      </w:pPr>
      <w:r>
        <w:rPr>
          <w:color w:val="000000"/>
          <w:sz w:val="20"/>
        </w:rPr>
        <w:t xml:space="preserve">We expect our development expenses to increase in the future due to investments in our technology architecture, expansion to mobile </w:t>
      </w:r>
      <w:r w:rsidR="005A44D6">
        <w:rPr>
          <w:color w:val="000000"/>
          <w:sz w:val="20"/>
        </w:rPr>
        <w:t>devices</w:t>
      </w:r>
      <w:r>
        <w:rPr>
          <w:color w:val="000000"/>
          <w:sz w:val="20"/>
        </w:rPr>
        <w:t xml:space="preserve"> and modernizing our applications.</w:t>
      </w:r>
    </w:p>
    <w:tbl>
      <w:tblPr>
        <w:tblW w:w="4676" w:type="dxa"/>
        <w:tblInd w:w="108" w:type="dxa"/>
        <w:tblLook w:val="04A0" w:firstRow="1" w:lastRow="0" w:firstColumn="1" w:lastColumn="0" w:noHBand="0" w:noVBand="1"/>
      </w:tblPr>
      <w:tblGrid>
        <w:gridCol w:w="1394"/>
        <w:gridCol w:w="850"/>
        <w:gridCol w:w="222"/>
        <w:gridCol w:w="850"/>
        <w:gridCol w:w="222"/>
        <w:gridCol w:w="833"/>
        <w:gridCol w:w="222"/>
        <w:gridCol w:w="653"/>
      </w:tblGrid>
      <w:tr w:rsidR="006964F2" w:rsidTr="006964F2">
        <w:trPr>
          <w:trHeight w:val="270"/>
        </w:trPr>
        <w:tc>
          <w:tcPr>
            <w:tcW w:w="4676" w:type="dxa"/>
            <w:gridSpan w:val="8"/>
            <w:tcBorders>
              <w:top w:val="nil"/>
              <w:left w:val="nil"/>
              <w:bottom w:val="nil"/>
              <w:right w:val="nil"/>
            </w:tcBorders>
            <w:shd w:val="clear" w:color="auto" w:fill="auto"/>
            <w:noWrap/>
            <w:vAlign w:val="bottom"/>
            <w:hideMark/>
          </w:tcPr>
          <w:p w:rsidR="006964F2" w:rsidRDefault="006964F2">
            <w:pPr>
              <w:rPr>
                <w:b/>
                <w:bCs/>
                <w:i/>
                <w:iCs/>
                <w:sz w:val="20"/>
                <w:szCs w:val="20"/>
              </w:rPr>
            </w:pPr>
            <w:r>
              <w:rPr>
                <w:b/>
                <w:bCs/>
                <w:i/>
                <w:iCs/>
                <w:sz w:val="20"/>
                <w:szCs w:val="20"/>
              </w:rPr>
              <w:t xml:space="preserve">Selling and marketing expense </w:t>
            </w:r>
            <w:r>
              <w:rPr>
                <w:i/>
                <w:iCs/>
                <w:sz w:val="20"/>
                <w:szCs w:val="20"/>
              </w:rPr>
              <w:t>($ in thousands)</w:t>
            </w:r>
          </w:p>
        </w:tc>
      </w:tr>
      <w:tr w:rsidR="006964F2" w:rsidTr="006964F2">
        <w:trPr>
          <w:trHeight w:val="255"/>
        </w:trPr>
        <w:tc>
          <w:tcPr>
            <w:tcW w:w="1394" w:type="dxa"/>
            <w:tcBorders>
              <w:top w:val="nil"/>
              <w:left w:val="nil"/>
              <w:bottom w:val="nil"/>
              <w:right w:val="nil"/>
            </w:tcBorders>
            <w:shd w:val="clear" w:color="auto" w:fill="auto"/>
            <w:noWrap/>
            <w:vAlign w:val="bottom"/>
            <w:hideMark/>
          </w:tcPr>
          <w:p w:rsidR="006964F2" w:rsidRDefault="006964F2">
            <w:pPr>
              <w:rPr>
                <w:sz w:val="20"/>
                <w:szCs w:val="20"/>
              </w:rPr>
            </w:pPr>
          </w:p>
        </w:tc>
        <w:tc>
          <w:tcPr>
            <w:tcW w:w="3282" w:type="dxa"/>
            <w:gridSpan w:val="7"/>
            <w:tcBorders>
              <w:top w:val="nil"/>
              <w:left w:val="nil"/>
              <w:bottom w:val="nil"/>
              <w:right w:val="nil"/>
            </w:tcBorders>
            <w:shd w:val="clear" w:color="auto" w:fill="auto"/>
            <w:vAlign w:val="bottom"/>
            <w:hideMark/>
          </w:tcPr>
          <w:p w:rsidR="006964F2" w:rsidRDefault="006964F2">
            <w:pPr>
              <w:jc w:val="center"/>
              <w:rPr>
                <w:color w:val="000000"/>
                <w:sz w:val="20"/>
                <w:szCs w:val="20"/>
              </w:rPr>
            </w:pPr>
            <w:r>
              <w:rPr>
                <w:color w:val="000000"/>
                <w:sz w:val="20"/>
                <w:szCs w:val="20"/>
              </w:rPr>
              <w:t xml:space="preserve">Year Ended December 31, </w:t>
            </w:r>
          </w:p>
        </w:tc>
      </w:tr>
      <w:tr w:rsidR="006964F2" w:rsidTr="006964F2">
        <w:trPr>
          <w:trHeight w:val="525"/>
        </w:trPr>
        <w:tc>
          <w:tcPr>
            <w:tcW w:w="1394" w:type="dxa"/>
            <w:tcBorders>
              <w:top w:val="nil"/>
              <w:left w:val="nil"/>
              <w:bottom w:val="nil"/>
              <w:right w:val="nil"/>
            </w:tcBorders>
            <w:shd w:val="clear" w:color="auto" w:fill="auto"/>
            <w:vAlign w:val="bottom"/>
            <w:hideMark/>
          </w:tcPr>
          <w:p w:rsidR="006964F2" w:rsidRDefault="006964F2">
            <w:pPr>
              <w:rPr>
                <w:color w:val="000000"/>
                <w:sz w:val="20"/>
                <w:szCs w:val="20"/>
              </w:rPr>
            </w:pPr>
          </w:p>
        </w:tc>
        <w:tc>
          <w:tcPr>
            <w:tcW w:w="850" w:type="dxa"/>
            <w:tcBorders>
              <w:top w:val="nil"/>
              <w:left w:val="nil"/>
              <w:bottom w:val="single" w:sz="8" w:space="0" w:color="auto"/>
              <w:right w:val="nil"/>
            </w:tcBorders>
            <w:shd w:val="clear" w:color="auto" w:fill="auto"/>
            <w:vAlign w:val="bottom"/>
            <w:hideMark/>
          </w:tcPr>
          <w:p w:rsidR="006964F2" w:rsidRDefault="006964F2">
            <w:pPr>
              <w:jc w:val="center"/>
              <w:rPr>
                <w:color w:val="000000"/>
                <w:sz w:val="20"/>
                <w:szCs w:val="20"/>
              </w:rPr>
            </w:pPr>
            <w:r>
              <w:rPr>
                <w:color w:val="000000"/>
                <w:sz w:val="20"/>
                <w:szCs w:val="20"/>
              </w:rPr>
              <w:t>2011</w:t>
            </w:r>
          </w:p>
        </w:tc>
        <w:tc>
          <w:tcPr>
            <w:tcW w:w="28" w:type="dxa"/>
            <w:tcBorders>
              <w:top w:val="nil"/>
              <w:left w:val="nil"/>
              <w:bottom w:val="nil"/>
              <w:right w:val="nil"/>
            </w:tcBorders>
            <w:shd w:val="clear" w:color="auto" w:fill="auto"/>
            <w:vAlign w:val="bottom"/>
            <w:hideMark/>
          </w:tcPr>
          <w:p w:rsidR="006964F2" w:rsidRDefault="006964F2">
            <w:pPr>
              <w:jc w:val="center"/>
              <w:rPr>
                <w:color w:val="000000"/>
                <w:sz w:val="20"/>
                <w:szCs w:val="20"/>
              </w:rPr>
            </w:pPr>
          </w:p>
        </w:tc>
        <w:tc>
          <w:tcPr>
            <w:tcW w:w="850" w:type="dxa"/>
            <w:tcBorders>
              <w:top w:val="nil"/>
              <w:left w:val="nil"/>
              <w:bottom w:val="single" w:sz="8" w:space="0" w:color="auto"/>
              <w:right w:val="nil"/>
            </w:tcBorders>
            <w:shd w:val="clear" w:color="auto" w:fill="auto"/>
            <w:vAlign w:val="bottom"/>
            <w:hideMark/>
          </w:tcPr>
          <w:p w:rsidR="006964F2" w:rsidRDefault="006964F2">
            <w:pPr>
              <w:jc w:val="center"/>
              <w:rPr>
                <w:color w:val="000000"/>
                <w:sz w:val="20"/>
                <w:szCs w:val="20"/>
              </w:rPr>
            </w:pPr>
            <w:r>
              <w:rPr>
                <w:color w:val="000000"/>
                <w:sz w:val="20"/>
                <w:szCs w:val="20"/>
              </w:rPr>
              <w:t>2010</w:t>
            </w:r>
          </w:p>
        </w:tc>
        <w:tc>
          <w:tcPr>
            <w:tcW w:w="40" w:type="dxa"/>
            <w:tcBorders>
              <w:top w:val="nil"/>
              <w:left w:val="nil"/>
              <w:bottom w:val="nil"/>
              <w:right w:val="nil"/>
            </w:tcBorders>
            <w:shd w:val="clear" w:color="auto" w:fill="auto"/>
            <w:vAlign w:val="bottom"/>
            <w:hideMark/>
          </w:tcPr>
          <w:p w:rsidR="006964F2" w:rsidRDefault="006964F2">
            <w:pPr>
              <w:rPr>
                <w:color w:val="000000"/>
                <w:sz w:val="20"/>
                <w:szCs w:val="20"/>
              </w:rPr>
            </w:pPr>
          </w:p>
        </w:tc>
        <w:tc>
          <w:tcPr>
            <w:tcW w:w="833" w:type="dxa"/>
            <w:tcBorders>
              <w:top w:val="nil"/>
              <w:left w:val="nil"/>
              <w:bottom w:val="single" w:sz="8" w:space="0" w:color="auto"/>
              <w:right w:val="nil"/>
            </w:tcBorders>
            <w:shd w:val="clear" w:color="auto" w:fill="auto"/>
            <w:vAlign w:val="bottom"/>
            <w:hideMark/>
          </w:tcPr>
          <w:p w:rsidR="006964F2" w:rsidRDefault="006964F2">
            <w:pPr>
              <w:jc w:val="center"/>
              <w:rPr>
                <w:color w:val="000000"/>
                <w:sz w:val="20"/>
                <w:szCs w:val="20"/>
              </w:rPr>
            </w:pPr>
            <w:proofErr w:type="spellStart"/>
            <w:r>
              <w:rPr>
                <w:color w:val="000000"/>
                <w:sz w:val="20"/>
                <w:szCs w:val="20"/>
              </w:rPr>
              <w:t>Incr</w:t>
            </w:r>
            <w:proofErr w:type="spellEnd"/>
            <w:r>
              <w:rPr>
                <w:color w:val="000000"/>
                <w:sz w:val="20"/>
                <w:szCs w:val="20"/>
              </w:rPr>
              <w:t xml:space="preserve"> (</w:t>
            </w:r>
            <w:proofErr w:type="spellStart"/>
            <w:r>
              <w:rPr>
                <w:color w:val="000000"/>
                <w:sz w:val="20"/>
                <w:szCs w:val="20"/>
              </w:rPr>
              <w:t>Decr</w:t>
            </w:r>
            <w:proofErr w:type="spellEnd"/>
            <w:r>
              <w:rPr>
                <w:color w:val="000000"/>
                <w:sz w:val="20"/>
                <w:szCs w:val="20"/>
              </w:rPr>
              <w:t>)</w:t>
            </w:r>
          </w:p>
        </w:tc>
        <w:tc>
          <w:tcPr>
            <w:tcW w:w="28" w:type="dxa"/>
            <w:tcBorders>
              <w:top w:val="nil"/>
              <w:left w:val="nil"/>
              <w:bottom w:val="nil"/>
              <w:right w:val="nil"/>
            </w:tcBorders>
            <w:shd w:val="clear" w:color="auto" w:fill="auto"/>
            <w:vAlign w:val="bottom"/>
            <w:hideMark/>
          </w:tcPr>
          <w:p w:rsidR="006964F2" w:rsidRDefault="006964F2">
            <w:pPr>
              <w:jc w:val="center"/>
              <w:rPr>
                <w:color w:val="000000"/>
                <w:sz w:val="20"/>
                <w:szCs w:val="20"/>
              </w:rPr>
            </w:pPr>
          </w:p>
        </w:tc>
        <w:tc>
          <w:tcPr>
            <w:tcW w:w="653" w:type="dxa"/>
            <w:tcBorders>
              <w:top w:val="nil"/>
              <w:left w:val="nil"/>
              <w:bottom w:val="single" w:sz="8" w:space="0" w:color="auto"/>
              <w:right w:val="nil"/>
            </w:tcBorders>
            <w:shd w:val="clear" w:color="auto" w:fill="auto"/>
            <w:vAlign w:val="bottom"/>
            <w:hideMark/>
          </w:tcPr>
          <w:p w:rsidR="006964F2" w:rsidRDefault="006964F2">
            <w:pPr>
              <w:jc w:val="center"/>
              <w:rPr>
                <w:color w:val="000000"/>
                <w:sz w:val="20"/>
                <w:szCs w:val="20"/>
              </w:rPr>
            </w:pPr>
            <w:r>
              <w:rPr>
                <w:color w:val="000000"/>
                <w:sz w:val="20"/>
                <w:szCs w:val="20"/>
              </w:rPr>
              <w:t>%</w:t>
            </w:r>
          </w:p>
        </w:tc>
      </w:tr>
      <w:tr w:rsidR="006964F2" w:rsidTr="006964F2">
        <w:trPr>
          <w:trHeight w:val="255"/>
        </w:trPr>
        <w:tc>
          <w:tcPr>
            <w:tcW w:w="1394" w:type="dxa"/>
            <w:tcBorders>
              <w:top w:val="nil"/>
              <w:left w:val="nil"/>
              <w:bottom w:val="nil"/>
              <w:right w:val="nil"/>
            </w:tcBorders>
            <w:shd w:val="clear" w:color="auto" w:fill="auto"/>
            <w:vAlign w:val="bottom"/>
            <w:hideMark/>
          </w:tcPr>
          <w:p w:rsidR="006964F2" w:rsidRDefault="006964F2">
            <w:pPr>
              <w:rPr>
                <w:color w:val="000000"/>
                <w:sz w:val="20"/>
                <w:szCs w:val="20"/>
              </w:rPr>
            </w:pPr>
            <w:r>
              <w:rPr>
                <w:color w:val="000000"/>
                <w:sz w:val="20"/>
                <w:szCs w:val="20"/>
              </w:rPr>
              <w:t>Notation</w:t>
            </w:r>
          </w:p>
        </w:tc>
        <w:tc>
          <w:tcPr>
            <w:tcW w:w="850" w:type="dxa"/>
            <w:tcBorders>
              <w:top w:val="nil"/>
              <w:left w:val="nil"/>
              <w:bottom w:val="nil"/>
              <w:right w:val="nil"/>
            </w:tcBorders>
            <w:shd w:val="clear" w:color="auto" w:fill="auto"/>
            <w:vAlign w:val="bottom"/>
            <w:hideMark/>
          </w:tcPr>
          <w:p w:rsidR="006964F2" w:rsidRDefault="006964F2">
            <w:pPr>
              <w:jc w:val="right"/>
              <w:rPr>
                <w:color w:val="000000"/>
                <w:sz w:val="20"/>
                <w:szCs w:val="20"/>
              </w:rPr>
            </w:pPr>
            <w:r>
              <w:rPr>
                <w:color w:val="000000"/>
                <w:sz w:val="20"/>
                <w:szCs w:val="20"/>
              </w:rPr>
              <w:t xml:space="preserve">$1,726 </w:t>
            </w:r>
          </w:p>
        </w:tc>
        <w:tc>
          <w:tcPr>
            <w:tcW w:w="28" w:type="dxa"/>
            <w:tcBorders>
              <w:top w:val="nil"/>
              <w:left w:val="nil"/>
              <w:bottom w:val="nil"/>
              <w:right w:val="nil"/>
            </w:tcBorders>
            <w:shd w:val="clear" w:color="auto" w:fill="auto"/>
            <w:vAlign w:val="bottom"/>
            <w:hideMark/>
          </w:tcPr>
          <w:p w:rsidR="006964F2" w:rsidRDefault="006964F2">
            <w:pPr>
              <w:rPr>
                <w:color w:val="000000"/>
                <w:sz w:val="20"/>
                <w:szCs w:val="20"/>
              </w:rPr>
            </w:pPr>
          </w:p>
        </w:tc>
        <w:tc>
          <w:tcPr>
            <w:tcW w:w="850" w:type="dxa"/>
            <w:tcBorders>
              <w:top w:val="nil"/>
              <w:left w:val="nil"/>
              <w:bottom w:val="nil"/>
              <w:right w:val="nil"/>
            </w:tcBorders>
            <w:shd w:val="clear" w:color="auto" w:fill="auto"/>
            <w:vAlign w:val="bottom"/>
            <w:hideMark/>
          </w:tcPr>
          <w:p w:rsidR="006964F2" w:rsidRDefault="006964F2">
            <w:pPr>
              <w:jc w:val="right"/>
              <w:rPr>
                <w:color w:val="000000"/>
                <w:sz w:val="20"/>
                <w:szCs w:val="20"/>
              </w:rPr>
            </w:pPr>
            <w:r>
              <w:rPr>
                <w:color w:val="000000"/>
                <w:sz w:val="20"/>
                <w:szCs w:val="20"/>
              </w:rPr>
              <w:t xml:space="preserve">$1,778 </w:t>
            </w:r>
          </w:p>
        </w:tc>
        <w:tc>
          <w:tcPr>
            <w:tcW w:w="40" w:type="dxa"/>
            <w:tcBorders>
              <w:top w:val="nil"/>
              <w:left w:val="nil"/>
              <w:bottom w:val="nil"/>
              <w:right w:val="nil"/>
            </w:tcBorders>
            <w:shd w:val="clear" w:color="auto" w:fill="auto"/>
            <w:vAlign w:val="bottom"/>
            <w:hideMark/>
          </w:tcPr>
          <w:p w:rsidR="006964F2" w:rsidRDefault="006964F2">
            <w:pPr>
              <w:rPr>
                <w:color w:val="000000"/>
                <w:sz w:val="20"/>
                <w:szCs w:val="20"/>
              </w:rPr>
            </w:pPr>
          </w:p>
        </w:tc>
        <w:tc>
          <w:tcPr>
            <w:tcW w:w="833" w:type="dxa"/>
            <w:tcBorders>
              <w:top w:val="nil"/>
              <w:left w:val="nil"/>
              <w:bottom w:val="nil"/>
              <w:right w:val="nil"/>
            </w:tcBorders>
            <w:shd w:val="clear" w:color="auto" w:fill="auto"/>
            <w:vAlign w:val="bottom"/>
            <w:hideMark/>
          </w:tcPr>
          <w:p w:rsidR="006964F2" w:rsidRDefault="006964F2">
            <w:pPr>
              <w:jc w:val="right"/>
              <w:rPr>
                <w:color w:val="000000"/>
                <w:sz w:val="20"/>
                <w:szCs w:val="20"/>
              </w:rPr>
            </w:pPr>
            <w:r>
              <w:rPr>
                <w:color w:val="FF0000"/>
                <w:sz w:val="20"/>
                <w:szCs w:val="20"/>
              </w:rPr>
              <w:t>($52)</w:t>
            </w:r>
          </w:p>
        </w:tc>
        <w:tc>
          <w:tcPr>
            <w:tcW w:w="28" w:type="dxa"/>
            <w:tcBorders>
              <w:top w:val="nil"/>
              <w:left w:val="nil"/>
              <w:bottom w:val="nil"/>
              <w:right w:val="nil"/>
            </w:tcBorders>
            <w:shd w:val="clear" w:color="auto" w:fill="auto"/>
            <w:vAlign w:val="bottom"/>
            <w:hideMark/>
          </w:tcPr>
          <w:p w:rsidR="006964F2" w:rsidRDefault="006964F2">
            <w:pPr>
              <w:rPr>
                <w:color w:val="000000"/>
                <w:sz w:val="20"/>
                <w:szCs w:val="20"/>
              </w:rPr>
            </w:pPr>
          </w:p>
        </w:tc>
        <w:tc>
          <w:tcPr>
            <w:tcW w:w="653" w:type="dxa"/>
            <w:tcBorders>
              <w:top w:val="nil"/>
              <w:left w:val="nil"/>
              <w:bottom w:val="nil"/>
              <w:right w:val="nil"/>
            </w:tcBorders>
            <w:shd w:val="clear" w:color="auto" w:fill="auto"/>
            <w:vAlign w:val="bottom"/>
            <w:hideMark/>
          </w:tcPr>
          <w:p w:rsidR="006964F2" w:rsidRDefault="006964F2">
            <w:pPr>
              <w:jc w:val="right"/>
              <w:rPr>
                <w:color w:val="000000"/>
                <w:sz w:val="20"/>
                <w:szCs w:val="20"/>
              </w:rPr>
            </w:pPr>
            <w:r>
              <w:rPr>
                <w:color w:val="000000"/>
                <w:sz w:val="20"/>
                <w:szCs w:val="20"/>
              </w:rPr>
              <w:t>-3%</w:t>
            </w:r>
          </w:p>
        </w:tc>
      </w:tr>
      <w:tr w:rsidR="006964F2" w:rsidTr="006964F2">
        <w:trPr>
          <w:trHeight w:val="255"/>
        </w:trPr>
        <w:tc>
          <w:tcPr>
            <w:tcW w:w="1394" w:type="dxa"/>
            <w:tcBorders>
              <w:top w:val="nil"/>
              <w:left w:val="nil"/>
              <w:bottom w:val="nil"/>
              <w:right w:val="nil"/>
            </w:tcBorders>
            <w:shd w:val="clear" w:color="auto" w:fill="auto"/>
            <w:vAlign w:val="bottom"/>
            <w:hideMark/>
          </w:tcPr>
          <w:p w:rsidR="006964F2" w:rsidRDefault="006964F2">
            <w:pPr>
              <w:rPr>
                <w:color w:val="000000"/>
                <w:sz w:val="20"/>
                <w:szCs w:val="20"/>
              </w:rPr>
            </w:pPr>
            <w:proofErr w:type="spellStart"/>
            <w:r>
              <w:rPr>
                <w:color w:val="000000"/>
                <w:sz w:val="20"/>
                <w:szCs w:val="20"/>
              </w:rPr>
              <w:t>SmartMusic</w:t>
            </w:r>
            <w:proofErr w:type="spellEnd"/>
          </w:p>
        </w:tc>
        <w:tc>
          <w:tcPr>
            <w:tcW w:w="850" w:type="dxa"/>
            <w:tcBorders>
              <w:top w:val="nil"/>
              <w:left w:val="nil"/>
              <w:bottom w:val="nil"/>
              <w:right w:val="nil"/>
            </w:tcBorders>
            <w:shd w:val="clear" w:color="auto" w:fill="auto"/>
            <w:vAlign w:val="bottom"/>
            <w:hideMark/>
          </w:tcPr>
          <w:p w:rsidR="006964F2" w:rsidRDefault="006964F2">
            <w:pPr>
              <w:jc w:val="right"/>
              <w:rPr>
                <w:color w:val="000000"/>
                <w:sz w:val="20"/>
                <w:szCs w:val="20"/>
              </w:rPr>
            </w:pPr>
            <w:r>
              <w:rPr>
                <w:color w:val="000000"/>
                <w:sz w:val="20"/>
                <w:szCs w:val="20"/>
              </w:rPr>
              <w:t xml:space="preserve">2,266 </w:t>
            </w:r>
          </w:p>
        </w:tc>
        <w:tc>
          <w:tcPr>
            <w:tcW w:w="28" w:type="dxa"/>
            <w:tcBorders>
              <w:top w:val="nil"/>
              <w:left w:val="nil"/>
              <w:bottom w:val="nil"/>
              <w:right w:val="nil"/>
            </w:tcBorders>
            <w:shd w:val="clear" w:color="auto" w:fill="auto"/>
            <w:vAlign w:val="bottom"/>
            <w:hideMark/>
          </w:tcPr>
          <w:p w:rsidR="006964F2" w:rsidRDefault="006964F2">
            <w:pPr>
              <w:rPr>
                <w:color w:val="000000"/>
                <w:sz w:val="20"/>
                <w:szCs w:val="20"/>
              </w:rPr>
            </w:pPr>
          </w:p>
        </w:tc>
        <w:tc>
          <w:tcPr>
            <w:tcW w:w="850" w:type="dxa"/>
            <w:tcBorders>
              <w:top w:val="nil"/>
              <w:left w:val="nil"/>
              <w:bottom w:val="nil"/>
              <w:right w:val="nil"/>
            </w:tcBorders>
            <w:shd w:val="clear" w:color="auto" w:fill="auto"/>
            <w:vAlign w:val="bottom"/>
            <w:hideMark/>
          </w:tcPr>
          <w:p w:rsidR="006964F2" w:rsidRDefault="006964F2">
            <w:pPr>
              <w:jc w:val="right"/>
              <w:rPr>
                <w:color w:val="000000"/>
                <w:sz w:val="20"/>
                <w:szCs w:val="20"/>
              </w:rPr>
            </w:pPr>
            <w:r>
              <w:rPr>
                <w:color w:val="000000"/>
                <w:sz w:val="20"/>
                <w:szCs w:val="20"/>
              </w:rPr>
              <w:t xml:space="preserve">1,728 </w:t>
            </w:r>
          </w:p>
        </w:tc>
        <w:tc>
          <w:tcPr>
            <w:tcW w:w="40" w:type="dxa"/>
            <w:tcBorders>
              <w:top w:val="nil"/>
              <w:left w:val="nil"/>
              <w:bottom w:val="nil"/>
              <w:right w:val="nil"/>
            </w:tcBorders>
            <w:shd w:val="clear" w:color="auto" w:fill="auto"/>
            <w:vAlign w:val="bottom"/>
            <w:hideMark/>
          </w:tcPr>
          <w:p w:rsidR="006964F2" w:rsidRDefault="006964F2">
            <w:pPr>
              <w:rPr>
                <w:color w:val="000000"/>
                <w:sz w:val="20"/>
                <w:szCs w:val="20"/>
              </w:rPr>
            </w:pPr>
          </w:p>
        </w:tc>
        <w:tc>
          <w:tcPr>
            <w:tcW w:w="833" w:type="dxa"/>
            <w:tcBorders>
              <w:top w:val="nil"/>
              <w:left w:val="nil"/>
              <w:bottom w:val="nil"/>
              <w:right w:val="nil"/>
            </w:tcBorders>
            <w:shd w:val="clear" w:color="auto" w:fill="auto"/>
            <w:vAlign w:val="bottom"/>
            <w:hideMark/>
          </w:tcPr>
          <w:p w:rsidR="006964F2" w:rsidRDefault="006964F2">
            <w:pPr>
              <w:jc w:val="right"/>
              <w:rPr>
                <w:color w:val="000000"/>
                <w:sz w:val="20"/>
                <w:szCs w:val="20"/>
              </w:rPr>
            </w:pPr>
            <w:r>
              <w:rPr>
                <w:color w:val="000000"/>
                <w:sz w:val="20"/>
                <w:szCs w:val="20"/>
              </w:rPr>
              <w:t xml:space="preserve">538 </w:t>
            </w:r>
          </w:p>
        </w:tc>
        <w:tc>
          <w:tcPr>
            <w:tcW w:w="28" w:type="dxa"/>
            <w:tcBorders>
              <w:top w:val="nil"/>
              <w:left w:val="nil"/>
              <w:bottom w:val="nil"/>
              <w:right w:val="nil"/>
            </w:tcBorders>
            <w:shd w:val="clear" w:color="auto" w:fill="auto"/>
            <w:vAlign w:val="bottom"/>
            <w:hideMark/>
          </w:tcPr>
          <w:p w:rsidR="006964F2" w:rsidRDefault="006964F2">
            <w:pPr>
              <w:rPr>
                <w:color w:val="000000"/>
                <w:sz w:val="20"/>
                <w:szCs w:val="20"/>
              </w:rPr>
            </w:pPr>
          </w:p>
        </w:tc>
        <w:tc>
          <w:tcPr>
            <w:tcW w:w="653" w:type="dxa"/>
            <w:tcBorders>
              <w:top w:val="nil"/>
              <w:left w:val="nil"/>
              <w:bottom w:val="nil"/>
              <w:right w:val="nil"/>
            </w:tcBorders>
            <w:shd w:val="clear" w:color="auto" w:fill="auto"/>
            <w:vAlign w:val="bottom"/>
            <w:hideMark/>
          </w:tcPr>
          <w:p w:rsidR="006964F2" w:rsidRDefault="006964F2">
            <w:pPr>
              <w:jc w:val="right"/>
              <w:rPr>
                <w:color w:val="000000"/>
                <w:sz w:val="20"/>
                <w:szCs w:val="20"/>
              </w:rPr>
            </w:pPr>
            <w:r>
              <w:rPr>
                <w:color w:val="000000"/>
                <w:sz w:val="20"/>
                <w:szCs w:val="20"/>
              </w:rPr>
              <w:t>31%</w:t>
            </w:r>
          </w:p>
        </w:tc>
      </w:tr>
      <w:tr w:rsidR="006964F2" w:rsidTr="006964F2">
        <w:trPr>
          <w:trHeight w:val="255"/>
        </w:trPr>
        <w:tc>
          <w:tcPr>
            <w:tcW w:w="1394" w:type="dxa"/>
            <w:tcBorders>
              <w:top w:val="nil"/>
              <w:left w:val="nil"/>
              <w:bottom w:val="nil"/>
              <w:right w:val="nil"/>
            </w:tcBorders>
            <w:shd w:val="clear" w:color="auto" w:fill="auto"/>
            <w:vAlign w:val="bottom"/>
            <w:hideMark/>
          </w:tcPr>
          <w:p w:rsidR="006964F2" w:rsidRDefault="006964F2">
            <w:pPr>
              <w:rPr>
                <w:color w:val="000000"/>
                <w:sz w:val="20"/>
                <w:szCs w:val="20"/>
              </w:rPr>
            </w:pPr>
            <w:r>
              <w:rPr>
                <w:color w:val="000000"/>
                <w:sz w:val="20"/>
                <w:szCs w:val="20"/>
              </w:rPr>
              <w:t>Other</w:t>
            </w:r>
          </w:p>
        </w:tc>
        <w:tc>
          <w:tcPr>
            <w:tcW w:w="850" w:type="dxa"/>
            <w:tcBorders>
              <w:top w:val="nil"/>
              <w:left w:val="nil"/>
              <w:bottom w:val="nil"/>
              <w:right w:val="nil"/>
            </w:tcBorders>
            <w:shd w:val="clear" w:color="auto" w:fill="auto"/>
            <w:vAlign w:val="bottom"/>
            <w:hideMark/>
          </w:tcPr>
          <w:p w:rsidR="006964F2" w:rsidRDefault="006964F2">
            <w:pPr>
              <w:jc w:val="right"/>
              <w:rPr>
                <w:color w:val="000000"/>
                <w:sz w:val="20"/>
                <w:szCs w:val="20"/>
              </w:rPr>
            </w:pPr>
            <w:r>
              <w:rPr>
                <w:color w:val="000000"/>
                <w:sz w:val="20"/>
                <w:szCs w:val="20"/>
              </w:rPr>
              <w:t xml:space="preserve">1,190 </w:t>
            </w:r>
          </w:p>
        </w:tc>
        <w:tc>
          <w:tcPr>
            <w:tcW w:w="28" w:type="dxa"/>
            <w:tcBorders>
              <w:top w:val="nil"/>
              <w:left w:val="nil"/>
              <w:bottom w:val="nil"/>
              <w:right w:val="nil"/>
            </w:tcBorders>
            <w:shd w:val="clear" w:color="auto" w:fill="auto"/>
            <w:vAlign w:val="bottom"/>
            <w:hideMark/>
          </w:tcPr>
          <w:p w:rsidR="006964F2" w:rsidRDefault="006964F2">
            <w:pPr>
              <w:rPr>
                <w:color w:val="000000"/>
                <w:sz w:val="20"/>
                <w:szCs w:val="20"/>
              </w:rPr>
            </w:pPr>
          </w:p>
        </w:tc>
        <w:tc>
          <w:tcPr>
            <w:tcW w:w="850" w:type="dxa"/>
            <w:tcBorders>
              <w:top w:val="nil"/>
              <w:left w:val="nil"/>
              <w:bottom w:val="nil"/>
              <w:right w:val="nil"/>
            </w:tcBorders>
            <w:shd w:val="clear" w:color="auto" w:fill="auto"/>
            <w:vAlign w:val="bottom"/>
            <w:hideMark/>
          </w:tcPr>
          <w:p w:rsidR="006964F2" w:rsidRDefault="006964F2">
            <w:pPr>
              <w:jc w:val="right"/>
              <w:rPr>
                <w:color w:val="000000"/>
                <w:sz w:val="20"/>
                <w:szCs w:val="20"/>
              </w:rPr>
            </w:pPr>
            <w:r>
              <w:rPr>
                <w:color w:val="000000"/>
                <w:sz w:val="20"/>
                <w:szCs w:val="20"/>
              </w:rPr>
              <w:t xml:space="preserve">1,068 </w:t>
            </w:r>
          </w:p>
        </w:tc>
        <w:tc>
          <w:tcPr>
            <w:tcW w:w="40" w:type="dxa"/>
            <w:tcBorders>
              <w:top w:val="nil"/>
              <w:left w:val="nil"/>
              <w:bottom w:val="nil"/>
              <w:right w:val="nil"/>
            </w:tcBorders>
            <w:shd w:val="clear" w:color="auto" w:fill="auto"/>
            <w:vAlign w:val="bottom"/>
            <w:hideMark/>
          </w:tcPr>
          <w:p w:rsidR="006964F2" w:rsidRDefault="006964F2">
            <w:pPr>
              <w:rPr>
                <w:color w:val="000000"/>
                <w:sz w:val="20"/>
                <w:szCs w:val="20"/>
              </w:rPr>
            </w:pPr>
          </w:p>
        </w:tc>
        <w:tc>
          <w:tcPr>
            <w:tcW w:w="833" w:type="dxa"/>
            <w:tcBorders>
              <w:top w:val="nil"/>
              <w:left w:val="nil"/>
              <w:bottom w:val="nil"/>
              <w:right w:val="nil"/>
            </w:tcBorders>
            <w:shd w:val="clear" w:color="auto" w:fill="auto"/>
            <w:vAlign w:val="bottom"/>
            <w:hideMark/>
          </w:tcPr>
          <w:p w:rsidR="006964F2" w:rsidRDefault="006964F2">
            <w:pPr>
              <w:jc w:val="right"/>
              <w:rPr>
                <w:color w:val="000000"/>
                <w:sz w:val="20"/>
                <w:szCs w:val="20"/>
              </w:rPr>
            </w:pPr>
            <w:r>
              <w:rPr>
                <w:color w:val="000000"/>
                <w:sz w:val="20"/>
                <w:szCs w:val="20"/>
              </w:rPr>
              <w:t xml:space="preserve">122 </w:t>
            </w:r>
          </w:p>
        </w:tc>
        <w:tc>
          <w:tcPr>
            <w:tcW w:w="28" w:type="dxa"/>
            <w:tcBorders>
              <w:top w:val="nil"/>
              <w:left w:val="nil"/>
              <w:bottom w:val="nil"/>
              <w:right w:val="nil"/>
            </w:tcBorders>
            <w:shd w:val="clear" w:color="auto" w:fill="auto"/>
            <w:vAlign w:val="bottom"/>
            <w:hideMark/>
          </w:tcPr>
          <w:p w:rsidR="006964F2" w:rsidRDefault="006964F2">
            <w:pPr>
              <w:rPr>
                <w:color w:val="000000"/>
                <w:sz w:val="20"/>
                <w:szCs w:val="20"/>
              </w:rPr>
            </w:pPr>
          </w:p>
        </w:tc>
        <w:tc>
          <w:tcPr>
            <w:tcW w:w="653" w:type="dxa"/>
            <w:tcBorders>
              <w:top w:val="nil"/>
              <w:left w:val="nil"/>
              <w:bottom w:val="nil"/>
              <w:right w:val="nil"/>
            </w:tcBorders>
            <w:shd w:val="clear" w:color="auto" w:fill="auto"/>
            <w:vAlign w:val="bottom"/>
            <w:hideMark/>
          </w:tcPr>
          <w:p w:rsidR="006964F2" w:rsidRDefault="006964F2">
            <w:pPr>
              <w:jc w:val="right"/>
              <w:rPr>
                <w:color w:val="000000"/>
                <w:sz w:val="20"/>
                <w:szCs w:val="20"/>
              </w:rPr>
            </w:pPr>
            <w:r>
              <w:rPr>
                <w:color w:val="000000"/>
                <w:sz w:val="20"/>
                <w:szCs w:val="20"/>
              </w:rPr>
              <w:t>11%</w:t>
            </w:r>
          </w:p>
        </w:tc>
      </w:tr>
      <w:tr w:rsidR="006964F2" w:rsidTr="006964F2">
        <w:trPr>
          <w:trHeight w:val="270"/>
        </w:trPr>
        <w:tc>
          <w:tcPr>
            <w:tcW w:w="1394" w:type="dxa"/>
            <w:tcBorders>
              <w:top w:val="nil"/>
              <w:left w:val="nil"/>
              <w:bottom w:val="nil"/>
              <w:right w:val="nil"/>
            </w:tcBorders>
            <w:shd w:val="clear" w:color="auto" w:fill="auto"/>
            <w:noWrap/>
            <w:vAlign w:val="bottom"/>
            <w:hideMark/>
          </w:tcPr>
          <w:p w:rsidR="006964F2" w:rsidRDefault="006964F2">
            <w:pPr>
              <w:rPr>
                <w:sz w:val="20"/>
                <w:szCs w:val="20"/>
              </w:rPr>
            </w:pPr>
            <w:r>
              <w:rPr>
                <w:sz w:val="20"/>
                <w:szCs w:val="20"/>
              </w:rPr>
              <w:t>Total</w:t>
            </w:r>
          </w:p>
        </w:tc>
        <w:tc>
          <w:tcPr>
            <w:tcW w:w="850" w:type="dxa"/>
            <w:tcBorders>
              <w:top w:val="single" w:sz="4" w:space="0" w:color="auto"/>
              <w:left w:val="nil"/>
              <w:bottom w:val="double" w:sz="6" w:space="0" w:color="auto"/>
              <w:right w:val="nil"/>
            </w:tcBorders>
            <w:shd w:val="clear" w:color="auto" w:fill="auto"/>
            <w:noWrap/>
            <w:vAlign w:val="bottom"/>
            <w:hideMark/>
          </w:tcPr>
          <w:p w:rsidR="006964F2" w:rsidRDefault="006964F2">
            <w:pPr>
              <w:jc w:val="right"/>
              <w:rPr>
                <w:sz w:val="20"/>
                <w:szCs w:val="20"/>
              </w:rPr>
            </w:pPr>
            <w:r>
              <w:rPr>
                <w:sz w:val="20"/>
                <w:szCs w:val="20"/>
              </w:rPr>
              <w:t xml:space="preserve">$5,182 </w:t>
            </w:r>
          </w:p>
        </w:tc>
        <w:tc>
          <w:tcPr>
            <w:tcW w:w="28" w:type="dxa"/>
            <w:tcBorders>
              <w:top w:val="nil"/>
              <w:left w:val="nil"/>
              <w:bottom w:val="nil"/>
              <w:right w:val="nil"/>
            </w:tcBorders>
            <w:shd w:val="clear" w:color="auto" w:fill="auto"/>
            <w:noWrap/>
            <w:vAlign w:val="bottom"/>
            <w:hideMark/>
          </w:tcPr>
          <w:p w:rsidR="006964F2" w:rsidRDefault="006964F2">
            <w:pPr>
              <w:rPr>
                <w:sz w:val="20"/>
                <w:szCs w:val="20"/>
              </w:rPr>
            </w:pPr>
          </w:p>
        </w:tc>
        <w:tc>
          <w:tcPr>
            <w:tcW w:w="850" w:type="dxa"/>
            <w:tcBorders>
              <w:top w:val="single" w:sz="4" w:space="0" w:color="auto"/>
              <w:left w:val="nil"/>
              <w:bottom w:val="double" w:sz="6" w:space="0" w:color="auto"/>
              <w:right w:val="nil"/>
            </w:tcBorders>
            <w:shd w:val="clear" w:color="auto" w:fill="auto"/>
            <w:noWrap/>
            <w:vAlign w:val="bottom"/>
            <w:hideMark/>
          </w:tcPr>
          <w:p w:rsidR="006964F2" w:rsidRDefault="006964F2">
            <w:pPr>
              <w:jc w:val="right"/>
              <w:rPr>
                <w:sz w:val="20"/>
                <w:szCs w:val="20"/>
              </w:rPr>
            </w:pPr>
            <w:r>
              <w:rPr>
                <w:sz w:val="20"/>
                <w:szCs w:val="20"/>
              </w:rPr>
              <w:t xml:space="preserve">$4,574 </w:t>
            </w:r>
          </w:p>
        </w:tc>
        <w:tc>
          <w:tcPr>
            <w:tcW w:w="40" w:type="dxa"/>
            <w:tcBorders>
              <w:top w:val="nil"/>
              <w:left w:val="nil"/>
              <w:bottom w:val="nil"/>
              <w:right w:val="nil"/>
            </w:tcBorders>
            <w:shd w:val="clear" w:color="auto" w:fill="auto"/>
            <w:noWrap/>
            <w:vAlign w:val="bottom"/>
            <w:hideMark/>
          </w:tcPr>
          <w:p w:rsidR="006964F2" w:rsidRDefault="006964F2">
            <w:pPr>
              <w:rPr>
                <w:sz w:val="20"/>
                <w:szCs w:val="20"/>
              </w:rPr>
            </w:pPr>
          </w:p>
        </w:tc>
        <w:tc>
          <w:tcPr>
            <w:tcW w:w="833" w:type="dxa"/>
            <w:tcBorders>
              <w:top w:val="single" w:sz="4" w:space="0" w:color="auto"/>
              <w:left w:val="nil"/>
              <w:bottom w:val="double" w:sz="6" w:space="0" w:color="auto"/>
              <w:right w:val="nil"/>
            </w:tcBorders>
            <w:shd w:val="clear" w:color="auto" w:fill="auto"/>
            <w:noWrap/>
            <w:vAlign w:val="bottom"/>
            <w:hideMark/>
          </w:tcPr>
          <w:p w:rsidR="006964F2" w:rsidRDefault="006964F2">
            <w:pPr>
              <w:jc w:val="right"/>
              <w:rPr>
                <w:sz w:val="20"/>
                <w:szCs w:val="20"/>
              </w:rPr>
            </w:pPr>
            <w:r>
              <w:rPr>
                <w:sz w:val="20"/>
                <w:szCs w:val="20"/>
              </w:rPr>
              <w:t xml:space="preserve">$608 </w:t>
            </w:r>
          </w:p>
        </w:tc>
        <w:tc>
          <w:tcPr>
            <w:tcW w:w="28" w:type="dxa"/>
            <w:tcBorders>
              <w:top w:val="nil"/>
              <w:left w:val="nil"/>
              <w:bottom w:val="nil"/>
              <w:right w:val="nil"/>
            </w:tcBorders>
            <w:shd w:val="clear" w:color="auto" w:fill="auto"/>
            <w:noWrap/>
            <w:vAlign w:val="bottom"/>
            <w:hideMark/>
          </w:tcPr>
          <w:p w:rsidR="006964F2" w:rsidRDefault="006964F2">
            <w:pPr>
              <w:rPr>
                <w:sz w:val="20"/>
                <w:szCs w:val="20"/>
              </w:rPr>
            </w:pPr>
          </w:p>
        </w:tc>
        <w:tc>
          <w:tcPr>
            <w:tcW w:w="653" w:type="dxa"/>
            <w:tcBorders>
              <w:top w:val="single" w:sz="4" w:space="0" w:color="auto"/>
              <w:left w:val="nil"/>
              <w:bottom w:val="double" w:sz="6" w:space="0" w:color="auto"/>
              <w:right w:val="nil"/>
            </w:tcBorders>
            <w:shd w:val="clear" w:color="auto" w:fill="auto"/>
            <w:noWrap/>
            <w:vAlign w:val="bottom"/>
            <w:hideMark/>
          </w:tcPr>
          <w:p w:rsidR="006964F2" w:rsidRDefault="006964F2">
            <w:pPr>
              <w:jc w:val="right"/>
              <w:rPr>
                <w:sz w:val="20"/>
                <w:szCs w:val="20"/>
              </w:rPr>
            </w:pPr>
            <w:r>
              <w:rPr>
                <w:sz w:val="20"/>
                <w:szCs w:val="20"/>
              </w:rPr>
              <w:t>13%</w:t>
            </w:r>
          </w:p>
        </w:tc>
      </w:tr>
    </w:tbl>
    <w:p w:rsidR="004851D7" w:rsidRDefault="004851D7" w:rsidP="006964F2">
      <w:pPr>
        <w:spacing w:after="240"/>
        <w:rPr>
          <w:color w:val="000000"/>
          <w:sz w:val="20"/>
        </w:rPr>
      </w:pPr>
    </w:p>
    <w:p w:rsidR="004851D7" w:rsidRDefault="004851D7">
      <w:pPr>
        <w:spacing w:after="240"/>
        <w:ind w:firstLine="720"/>
        <w:rPr>
          <w:color w:val="000000"/>
          <w:sz w:val="20"/>
        </w:rPr>
      </w:pPr>
      <w:r>
        <w:rPr>
          <w:color w:val="000000"/>
          <w:sz w:val="20"/>
        </w:rPr>
        <w:t>Selling and marketing expenses primarily consist of marketing, advertising and promotion expenses, business development and customer service activities, and payroll. Selling and marketing expenses increased from $</w:t>
      </w:r>
      <w:r w:rsidR="006964F2">
        <w:rPr>
          <w:color w:val="000000"/>
          <w:sz w:val="20"/>
        </w:rPr>
        <w:t xml:space="preserve">4,574,000 </w:t>
      </w:r>
      <w:r>
        <w:rPr>
          <w:color w:val="000000"/>
          <w:sz w:val="20"/>
        </w:rPr>
        <w:t xml:space="preserve">in </w:t>
      </w:r>
      <w:r w:rsidR="006964F2">
        <w:rPr>
          <w:color w:val="000000"/>
          <w:sz w:val="20"/>
        </w:rPr>
        <w:t xml:space="preserve">2010 </w:t>
      </w:r>
      <w:r>
        <w:rPr>
          <w:color w:val="000000"/>
          <w:sz w:val="20"/>
        </w:rPr>
        <w:t>to $</w:t>
      </w:r>
      <w:r w:rsidR="006964F2">
        <w:rPr>
          <w:color w:val="000000"/>
          <w:sz w:val="20"/>
        </w:rPr>
        <w:t>5,182,</w:t>
      </w:r>
      <w:r>
        <w:rPr>
          <w:color w:val="000000"/>
          <w:sz w:val="20"/>
        </w:rPr>
        <w:t xml:space="preserve">000 in </w:t>
      </w:r>
      <w:r w:rsidR="006964F2">
        <w:rPr>
          <w:color w:val="000000"/>
          <w:sz w:val="20"/>
        </w:rPr>
        <w:t>2011</w:t>
      </w:r>
      <w:r>
        <w:rPr>
          <w:color w:val="000000"/>
          <w:sz w:val="20"/>
        </w:rPr>
        <w:t>. This increase of $</w:t>
      </w:r>
      <w:r w:rsidR="006964F2">
        <w:rPr>
          <w:color w:val="000000"/>
          <w:sz w:val="20"/>
        </w:rPr>
        <w:t>608</w:t>
      </w:r>
      <w:r>
        <w:rPr>
          <w:color w:val="000000"/>
          <w:sz w:val="20"/>
        </w:rPr>
        <w:t>,000, or 1</w:t>
      </w:r>
      <w:r w:rsidR="006964F2">
        <w:rPr>
          <w:color w:val="000000"/>
          <w:sz w:val="20"/>
        </w:rPr>
        <w:t>3</w:t>
      </w:r>
      <w:r>
        <w:rPr>
          <w:color w:val="000000"/>
          <w:sz w:val="20"/>
        </w:rPr>
        <w:t xml:space="preserve">%, is primarily due to </w:t>
      </w:r>
      <w:r w:rsidR="00315079">
        <w:rPr>
          <w:color w:val="000000"/>
          <w:sz w:val="20"/>
        </w:rPr>
        <w:t xml:space="preserve">an increase in </w:t>
      </w:r>
      <w:proofErr w:type="spellStart"/>
      <w:r w:rsidR="00315079">
        <w:rPr>
          <w:color w:val="000000"/>
          <w:sz w:val="20"/>
        </w:rPr>
        <w:t>SmartMusic</w:t>
      </w:r>
      <w:proofErr w:type="spellEnd"/>
      <w:r w:rsidR="00315079">
        <w:rPr>
          <w:color w:val="000000"/>
          <w:sz w:val="20"/>
        </w:rPr>
        <w:t xml:space="preserve"> expenses of $</w:t>
      </w:r>
      <w:r w:rsidR="006964F2">
        <w:rPr>
          <w:color w:val="000000"/>
          <w:sz w:val="20"/>
        </w:rPr>
        <w:t>538</w:t>
      </w:r>
      <w:r w:rsidR="00315079">
        <w:rPr>
          <w:color w:val="000000"/>
          <w:sz w:val="20"/>
        </w:rPr>
        <w:t xml:space="preserve">,000 relating to personnel increases in </w:t>
      </w:r>
      <w:r w:rsidR="00C841C2">
        <w:rPr>
          <w:color w:val="000000"/>
          <w:sz w:val="20"/>
        </w:rPr>
        <w:t xml:space="preserve">our </w:t>
      </w:r>
      <w:r w:rsidR="00315079">
        <w:rPr>
          <w:color w:val="000000"/>
          <w:sz w:val="20"/>
        </w:rPr>
        <w:t xml:space="preserve">educational sales </w:t>
      </w:r>
      <w:r w:rsidR="00C841C2">
        <w:rPr>
          <w:color w:val="000000"/>
          <w:sz w:val="20"/>
        </w:rPr>
        <w:t xml:space="preserve">force </w:t>
      </w:r>
      <w:r w:rsidR="00315079">
        <w:rPr>
          <w:color w:val="000000"/>
          <w:sz w:val="20"/>
        </w:rPr>
        <w:t>and an increase in Other selling and marketing expenses</w:t>
      </w:r>
      <w:r w:rsidR="007B0C04">
        <w:rPr>
          <w:color w:val="000000"/>
          <w:sz w:val="20"/>
        </w:rPr>
        <w:t xml:space="preserve"> of $</w:t>
      </w:r>
      <w:r w:rsidR="006964F2">
        <w:rPr>
          <w:color w:val="000000"/>
          <w:sz w:val="20"/>
        </w:rPr>
        <w:t>122</w:t>
      </w:r>
      <w:r w:rsidR="007B0C04">
        <w:rPr>
          <w:color w:val="000000"/>
          <w:sz w:val="20"/>
        </w:rPr>
        <w:t xml:space="preserve">,000 </w:t>
      </w:r>
      <w:r w:rsidR="006B7B09">
        <w:rPr>
          <w:color w:val="000000"/>
          <w:sz w:val="20"/>
        </w:rPr>
        <w:t xml:space="preserve">relating </w:t>
      </w:r>
      <w:r w:rsidR="00315079">
        <w:rPr>
          <w:color w:val="000000"/>
          <w:sz w:val="20"/>
        </w:rPr>
        <w:t xml:space="preserve">to </w:t>
      </w:r>
      <w:r>
        <w:rPr>
          <w:color w:val="000000"/>
          <w:sz w:val="20"/>
        </w:rPr>
        <w:t xml:space="preserve">company-wide strategic sales and marketing initiatives </w:t>
      </w:r>
      <w:r w:rsidR="006B7B09">
        <w:rPr>
          <w:color w:val="000000"/>
          <w:sz w:val="20"/>
        </w:rPr>
        <w:t xml:space="preserve">that required a greater number of personnel </w:t>
      </w:r>
      <w:r>
        <w:rPr>
          <w:color w:val="000000"/>
          <w:sz w:val="20"/>
        </w:rPr>
        <w:t>and expanded focus on company-wide e-commerce efforts.</w:t>
      </w:r>
      <w:r w:rsidR="006964F2">
        <w:rPr>
          <w:color w:val="000000"/>
          <w:sz w:val="20"/>
        </w:rPr>
        <w:t xml:space="preserve"> Notation selling and marketing expenses decreased primarily due to reduced incentive compensation and </w:t>
      </w:r>
      <w:r w:rsidR="00533422">
        <w:rPr>
          <w:color w:val="000000"/>
          <w:sz w:val="20"/>
        </w:rPr>
        <w:t xml:space="preserve">lower </w:t>
      </w:r>
      <w:r w:rsidR="006964F2">
        <w:rPr>
          <w:color w:val="000000"/>
          <w:sz w:val="20"/>
        </w:rPr>
        <w:t>direct marketing expenses</w:t>
      </w:r>
      <w:r w:rsidR="006B7B09">
        <w:rPr>
          <w:color w:val="000000"/>
          <w:sz w:val="20"/>
        </w:rPr>
        <w:t>,</w:t>
      </w:r>
      <w:r w:rsidR="006964F2">
        <w:rPr>
          <w:color w:val="000000"/>
          <w:sz w:val="20"/>
        </w:rPr>
        <w:t xml:space="preserve"> </w:t>
      </w:r>
      <w:r w:rsidR="006B7B09">
        <w:rPr>
          <w:color w:val="000000"/>
          <w:sz w:val="20"/>
        </w:rPr>
        <w:t>which resulted from</w:t>
      </w:r>
      <w:r w:rsidR="006964F2">
        <w:rPr>
          <w:color w:val="000000"/>
          <w:sz w:val="20"/>
        </w:rPr>
        <w:t xml:space="preserve"> the later release of Finale 2012. </w:t>
      </w:r>
    </w:p>
    <w:p w:rsidR="0037770D" w:rsidRDefault="0037770D">
      <w:pPr>
        <w:spacing w:after="240"/>
        <w:ind w:firstLine="720"/>
        <w:rPr>
          <w:color w:val="000000"/>
          <w:sz w:val="20"/>
        </w:rPr>
      </w:pPr>
      <w:r>
        <w:rPr>
          <w:color w:val="000000"/>
          <w:sz w:val="20"/>
        </w:rPr>
        <w:t>We expect an increase in our sales and marketing expenses in the future due to the annualized impact of our 2011 sales staff additions and the hiring of a sales executive to lead our sales and business development initiatives in 2012.</w:t>
      </w:r>
    </w:p>
    <w:tbl>
      <w:tblPr>
        <w:tblW w:w="0" w:type="auto"/>
        <w:tblInd w:w="108" w:type="dxa"/>
        <w:tblLook w:val="04A0" w:firstRow="1" w:lastRow="0" w:firstColumn="1" w:lastColumn="0" w:noHBand="0" w:noVBand="1"/>
      </w:tblPr>
      <w:tblGrid>
        <w:gridCol w:w="1394"/>
        <w:gridCol w:w="850"/>
        <w:gridCol w:w="222"/>
        <w:gridCol w:w="850"/>
        <w:gridCol w:w="222"/>
        <w:gridCol w:w="833"/>
        <w:gridCol w:w="222"/>
        <w:gridCol w:w="653"/>
      </w:tblGrid>
      <w:tr w:rsidR="006964F2" w:rsidTr="006964F2">
        <w:trPr>
          <w:trHeight w:val="270"/>
        </w:trPr>
        <w:tc>
          <w:tcPr>
            <w:tcW w:w="4676" w:type="dxa"/>
            <w:gridSpan w:val="8"/>
            <w:tcBorders>
              <w:top w:val="nil"/>
              <w:left w:val="nil"/>
              <w:bottom w:val="nil"/>
              <w:right w:val="nil"/>
            </w:tcBorders>
            <w:shd w:val="clear" w:color="auto" w:fill="auto"/>
            <w:noWrap/>
            <w:vAlign w:val="bottom"/>
            <w:hideMark/>
          </w:tcPr>
          <w:p w:rsidR="006964F2" w:rsidRDefault="006964F2">
            <w:pPr>
              <w:rPr>
                <w:b/>
                <w:bCs/>
                <w:i/>
                <w:iCs/>
                <w:sz w:val="20"/>
                <w:szCs w:val="20"/>
              </w:rPr>
            </w:pPr>
            <w:r>
              <w:rPr>
                <w:b/>
                <w:bCs/>
                <w:i/>
                <w:iCs/>
                <w:sz w:val="20"/>
                <w:szCs w:val="20"/>
              </w:rPr>
              <w:t xml:space="preserve">General and administrative expense </w:t>
            </w:r>
            <w:r>
              <w:rPr>
                <w:i/>
                <w:iCs/>
                <w:sz w:val="20"/>
                <w:szCs w:val="20"/>
              </w:rPr>
              <w:t>($ in thousands)</w:t>
            </w:r>
          </w:p>
        </w:tc>
      </w:tr>
      <w:tr w:rsidR="006964F2" w:rsidTr="006964F2">
        <w:trPr>
          <w:trHeight w:val="255"/>
        </w:trPr>
        <w:tc>
          <w:tcPr>
            <w:tcW w:w="1394" w:type="dxa"/>
            <w:tcBorders>
              <w:top w:val="nil"/>
              <w:left w:val="nil"/>
              <w:bottom w:val="nil"/>
              <w:right w:val="nil"/>
            </w:tcBorders>
            <w:shd w:val="clear" w:color="auto" w:fill="auto"/>
            <w:noWrap/>
            <w:vAlign w:val="bottom"/>
            <w:hideMark/>
          </w:tcPr>
          <w:p w:rsidR="006964F2" w:rsidRDefault="006964F2">
            <w:pPr>
              <w:rPr>
                <w:sz w:val="20"/>
                <w:szCs w:val="20"/>
              </w:rPr>
            </w:pPr>
          </w:p>
        </w:tc>
        <w:tc>
          <w:tcPr>
            <w:tcW w:w="3282" w:type="dxa"/>
            <w:gridSpan w:val="7"/>
            <w:tcBorders>
              <w:top w:val="nil"/>
              <w:left w:val="nil"/>
              <w:bottom w:val="nil"/>
              <w:right w:val="nil"/>
            </w:tcBorders>
            <w:shd w:val="clear" w:color="auto" w:fill="auto"/>
            <w:vAlign w:val="bottom"/>
            <w:hideMark/>
          </w:tcPr>
          <w:p w:rsidR="006964F2" w:rsidRDefault="006964F2">
            <w:pPr>
              <w:jc w:val="center"/>
              <w:rPr>
                <w:color w:val="000000"/>
                <w:sz w:val="20"/>
                <w:szCs w:val="20"/>
              </w:rPr>
            </w:pPr>
            <w:r>
              <w:rPr>
                <w:color w:val="000000"/>
                <w:sz w:val="20"/>
                <w:szCs w:val="20"/>
              </w:rPr>
              <w:t xml:space="preserve">Year Ended December 31, </w:t>
            </w:r>
          </w:p>
        </w:tc>
      </w:tr>
      <w:tr w:rsidR="006964F2" w:rsidTr="006964F2">
        <w:trPr>
          <w:trHeight w:val="525"/>
        </w:trPr>
        <w:tc>
          <w:tcPr>
            <w:tcW w:w="1394" w:type="dxa"/>
            <w:tcBorders>
              <w:top w:val="nil"/>
              <w:left w:val="nil"/>
              <w:bottom w:val="nil"/>
              <w:right w:val="nil"/>
            </w:tcBorders>
            <w:shd w:val="clear" w:color="auto" w:fill="auto"/>
            <w:vAlign w:val="bottom"/>
            <w:hideMark/>
          </w:tcPr>
          <w:p w:rsidR="006964F2" w:rsidRDefault="006964F2">
            <w:pPr>
              <w:rPr>
                <w:color w:val="000000"/>
                <w:sz w:val="20"/>
                <w:szCs w:val="20"/>
              </w:rPr>
            </w:pPr>
          </w:p>
        </w:tc>
        <w:tc>
          <w:tcPr>
            <w:tcW w:w="850" w:type="dxa"/>
            <w:tcBorders>
              <w:top w:val="nil"/>
              <w:left w:val="nil"/>
              <w:bottom w:val="single" w:sz="8" w:space="0" w:color="auto"/>
              <w:right w:val="nil"/>
            </w:tcBorders>
            <w:shd w:val="clear" w:color="auto" w:fill="auto"/>
            <w:vAlign w:val="bottom"/>
            <w:hideMark/>
          </w:tcPr>
          <w:p w:rsidR="006964F2" w:rsidRDefault="006964F2">
            <w:pPr>
              <w:jc w:val="center"/>
              <w:rPr>
                <w:color w:val="000000"/>
                <w:sz w:val="20"/>
                <w:szCs w:val="20"/>
              </w:rPr>
            </w:pPr>
            <w:r>
              <w:rPr>
                <w:color w:val="000000"/>
                <w:sz w:val="20"/>
                <w:szCs w:val="20"/>
              </w:rPr>
              <w:t>2011</w:t>
            </w:r>
          </w:p>
        </w:tc>
        <w:tc>
          <w:tcPr>
            <w:tcW w:w="28" w:type="dxa"/>
            <w:tcBorders>
              <w:top w:val="nil"/>
              <w:left w:val="nil"/>
              <w:bottom w:val="nil"/>
              <w:right w:val="nil"/>
            </w:tcBorders>
            <w:shd w:val="clear" w:color="auto" w:fill="auto"/>
            <w:vAlign w:val="bottom"/>
            <w:hideMark/>
          </w:tcPr>
          <w:p w:rsidR="006964F2" w:rsidRDefault="006964F2">
            <w:pPr>
              <w:jc w:val="center"/>
              <w:rPr>
                <w:color w:val="000000"/>
                <w:sz w:val="20"/>
                <w:szCs w:val="20"/>
              </w:rPr>
            </w:pPr>
          </w:p>
        </w:tc>
        <w:tc>
          <w:tcPr>
            <w:tcW w:w="850" w:type="dxa"/>
            <w:tcBorders>
              <w:top w:val="nil"/>
              <w:left w:val="nil"/>
              <w:bottom w:val="single" w:sz="8" w:space="0" w:color="auto"/>
              <w:right w:val="nil"/>
            </w:tcBorders>
            <w:shd w:val="clear" w:color="auto" w:fill="auto"/>
            <w:vAlign w:val="bottom"/>
            <w:hideMark/>
          </w:tcPr>
          <w:p w:rsidR="006964F2" w:rsidRDefault="006964F2">
            <w:pPr>
              <w:jc w:val="center"/>
              <w:rPr>
                <w:color w:val="000000"/>
                <w:sz w:val="20"/>
                <w:szCs w:val="20"/>
              </w:rPr>
            </w:pPr>
            <w:r>
              <w:rPr>
                <w:color w:val="000000"/>
                <w:sz w:val="20"/>
                <w:szCs w:val="20"/>
              </w:rPr>
              <w:t>2010</w:t>
            </w:r>
          </w:p>
        </w:tc>
        <w:tc>
          <w:tcPr>
            <w:tcW w:w="40" w:type="dxa"/>
            <w:tcBorders>
              <w:top w:val="nil"/>
              <w:left w:val="nil"/>
              <w:bottom w:val="nil"/>
              <w:right w:val="nil"/>
            </w:tcBorders>
            <w:shd w:val="clear" w:color="auto" w:fill="auto"/>
            <w:vAlign w:val="bottom"/>
            <w:hideMark/>
          </w:tcPr>
          <w:p w:rsidR="006964F2" w:rsidRDefault="006964F2">
            <w:pPr>
              <w:rPr>
                <w:color w:val="000000"/>
                <w:sz w:val="20"/>
                <w:szCs w:val="20"/>
              </w:rPr>
            </w:pPr>
          </w:p>
        </w:tc>
        <w:tc>
          <w:tcPr>
            <w:tcW w:w="833" w:type="dxa"/>
            <w:tcBorders>
              <w:top w:val="nil"/>
              <w:left w:val="nil"/>
              <w:bottom w:val="single" w:sz="8" w:space="0" w:color="auto"/>
              <w:right w:val="nil"/>
            </w:tcBorders>
            <w:shd w:val="clear" w:color="auto" w:fill="auto"/>
            <w:vAlign w:val="bottom"/>
            <w:hideMark/>
          </w:tcPr>
          <w:p w:rsidR="006964F2" w:rsidRDefault="006964F2">
            <w:pPr>
              <w:jc w:val="center"/>
              <w:rPr>
                <w:color w:val="000000"/>
                <w:sz w:val="20"/>
                <w:szCs w:val="20"/>
              </w:rPr>
            </w:pPr>
            <w:proofErr w:type="spellStart"/>
            <w:r>
              <w:rPr>
                <w:color w:val="000000"/>
                <w:sz w:val="20"/>
                <w:szCs w:val="20"/>
              </w:rPr>
              <w:t>Incr</w:t>
            </w:r>
            <w:proofErr w:type="spellEnd"/>
            <w:r>
              <w:rPr>
                <w:color w:val="000000"/>
                <w:sz w:val="20"/>
                <w:szCs w:val="20"/>
              </w:rPr>
              <w:t xml:space="preserve"> (</w:t>
            </w:r>
            <w:proofErr w:type="spellStart"/>
            <w:r>
              <w:rPr>
                <w:color w:val="000000"/>
                <w:sz w:val="20"/>
                <w:szCs w:val="20"/>
              </w:rPr>
              <w:t>Decr</w:t>
            </w:r>
            <w:proofErr w:type="spellEnd"/>
            <w:r>
              <w:rPr>
                <w:color w:val="000000"/>
                <w:sz w:val="20"/>
                <w:szCs w:val="20"/>
              </w:rPr>
              <w:t>)</w:t>
            </w:r>
          </w:p>
        </w:tc>
        <w:tc>
          <w:tcPr>
            <w:tcW w:w="28" w:type="dxa"/>
            <w:tcBorders>
              <w:top w:val="nil"/>
              <w:left w:val="nil"/>
              <w:bottom w:val="nil"/>
              <w:right w:val="nil"/>
            </w:tcBorders>
            <w:shd w:val="clear" w:color="auto" w:fill="auto"/>
            <w:vAlign w:val="bottom"/>
            <w:hideMark/>
          </w:tcPr>
          <w:p w:rsidR="006964F2" w:rsidRDefault="006964F2">
            <w:pPr>
              <w:jc w:val="center"/>
              <w:rPr>
                <w:color w:val="000000"/>
                <w:sz w:val="20"/>
                <w:szCs w:val="20"/>
              </w:rPr>
            </w:pPr>
          </w:p>
        </w:tc>
        <w:tc>
          <w:tcPr>
            <w:tcW w:w="653" w:type="dxa"/>
            <w:tcBorders>
              <w:top w:val="nil"/>
              <w:left w:val="nil"/>
              <w:bottom w:val="single" w:sz="8" w:space="0" w:color="auto"/>
              <w:right w:val="nil"/>
            </w:tcBorders>
            <w:shd w:val="clear" w:color="auto" w:fill="auto"/>
            <w:vAlign w:val="bottom"/>
            <w:hideMark/>
          </w:tcPr>
          <w:p w:rsidR="006964F2" w:rsidRDefault="006964F2">
            <w:pPr>
              <w:jc w:val="center"/>
              <w:rPr>
                <w:color w:val="000000"/>
                <w:sz w:val="20"/>
                <w:szCs w:val="20"/>
              </w:rPr>
            </w:pPr>
            <w:r>
              <w:rPr>
                <w:color w:val="000000"/>
                <w:sz w:val="20"/>
                <w:szCs w:val="20"/>
              </w:rPr>
              <w:t>%</w:t>
            </w:r>
          </w:p>
        </w:tc>
      </w:tr>
      <w:tr w:rsidR="006964F2" w:rsidTr="006964F2">
        <w:trPr>
          <w:trHeight w:val="255"/>
        </w:trPr>
        <w:tc>
          <w:tcPr>
            <w:tcW w:w="1394" w:type="dxa"/>
            <w:tcBorders>
              <w:top w:val="nil"/>
              <w:left w:val="nil"/>
              <w:bottom w:val="nil"/>
              <w:right w:val="nil"/>
            </w:tcBorders>
            <w:shd w:val="clear" w:color="auto" w:fill="auto"/>
            <w:vAlign w:val="bottom"/>
            <w:hideMark/>
          </w:tcPr>
          <w:p w:rsidR="006964F2" w:rsidRDefault="006964F2">
            <w:pPr>
              <w:rPr>
                <w:color w:val="000000"/>
                <w:sz w:val="20"/>
                <w:szCs w:val="20"/>
              </w:rPr>
            </w:pPr>
            <w:r>
              <w:rPr>
                <w:color w:val="000000"/>
                <w:sz w:val="20"/>
                <w:szCs w:val="20"/>
              </w:rPr>
              <w:t>Notation</w:t>
            </w:r>
          </w:p>
        </w:tc>
        <w:tc>
          <w:tcPr>
            <w:tcW w:w="850" w:type="dxa"/>
            <w:tcBorders>
              <w:top w:val="nil"/>
              <w:left w:val="nil"/>
              <w:bottom w:val="nil"/>
              <w:right w:val="nil"/>
            </w:tcBorders>
            <w:shd w:val="clear" w:color="auto" w:fill="auto"/>
            <w:vAlign w:val="bottom"/>
            <w:hideMark/>
          </w:tcPr>
          <w:p w:rsidR="006964F2" w:rsidRDefault="006964F2">
            <w:pPr>
              <w:jc w:val="right"/>
              <w:rPr>
                <w:color w:val="000000"/>
                <w:sz w:val="20"/>
                <w:szCs w:val="20"/>
              </w:rPr>
            </w:pPr>
            <w:r>
              <w:rPr>
                <w:color w:val="000000"/>
                <w:sz w:val="20"/>
                <w:szCs w:val="20"/>
              </w:rPr>
              <w:t xml:space="preserve">$75 </w:t>
            </w:r>
          </w:p>
        </w:tc>
        <w:tc>
          <w:tcPr>
            <w:tcW w:w="28" w:type="dxa"/>
            <w:tcBorders>
              <w:top w:val="nil"/>
              <w:left w:val="nil"/>
              <w:bottom w:val="nil"/>
              <w:right w:val="nil"/>
            </w:tcBorders>
            <w:shd w:val="clear" w:color="auto" w:fill="auto"/>
            <w:vAlign w:val="bottom"/>
            <w:hideMark/>
          </w:tcPr>
          <w:p w:rsidR="006964F2" w:rsidRDefault="006964F2">
            <w:pPr>
              <w:rPr>
                <w:color w:val="000000"/>
                <w:sz w:val="20"/>
                <w:szCs w:val="20"/>
              </w:rPr>
            </w:pPr>
          </w:p>
        </w:tc>
        <w:tc>
          <w:tcPr>
            <w:tcW w:w="850" w:type="dxa"/>
            <w:tcBorders>
              <w:top w:val="nil"/>
              <w:left w:val="nil"/>
              <w:bottom w:val="nil"/>
              <w:right w:val="nil"/>
            </w:tcBorders>
            <w:shd w:val="clear" w:color="auto" w:fill="auto"/>
            <w:vAlign w:val="bottom"/>
            <w:hideMark/>
          </w:tcPr>
          <w:p w:rsidR="006964F2" w:rsidRDefault="006964F2">
            <w:pPr>
              <w:jc w:val="right"/>
              <w:rPr>
                <w:color w:val="000000"/>
                <w:sz w:val="20"/>
                <w:szCs w:val="20"/>
              </w:rPr>
            </w:pPr>
            <w:r>
              <w:rPr>
                <w:color w:val="000000"/>
                <w:sz w:val="20"/>
                <w:szCs w:val="20"/>
              </w:rPr>
              <w:t xml:space="preserve">$81 </w:t>
            </w:r>
          </w:p>
        </w:tc>
        <w:tc>
          <w:tcPr>
            <w:tcW w:w="40" w:type="dxa"/>
            <w:tcBorders>
              <w:top w:val="nil"/>
              <w:left w:val="nil"/>
              <w:bottom w:val="nil"/>
              <w:right w:val="nil"/>
            </w:tcBorders>
            <w:shd w:val="clear" w:color="auto" w:fill="auto"/>
            <w:vAlign w:val="bottom"/>
            <w:hideMark/>
          </w:tcPr>
          <w:p w:rsidR="006964F2" w:rsidRDefault="006964F2">
            <w:pPr>
              <w:rPr>
                <w:color w:val="000000"/>
                <w:sz w:val="20"/>
                <w:szCs w:val="20"/>
              </w:rPr>
            </w:pPr>
          </w:p>
        </w:tc>
        <w:tc>
          <w:tcPr>
            <w:tcW w:w="833" w:type="dxa"/>
            <w:tcBorders>
              <w:top w:val="nil"/>
              <w:left w:val="nil"/>
              <w:bottom w:val="nil"/>
              <w:right w:val="nil"/>
            </w:tcBorders>
            <w:shd w:val="clear" w:color="auto" w:fill="auto"/>
            <w:vAlign w:val="bottom"/>
            <w:hideMark/>
          </w:tcPr>
          <w:p w:rsidR="006964F2" w:rsidRDefault="006964F2">
            <w:pPr>
              <w:jc w:val="right"/>
              <w:rPr>
                <w:color w:val="000000"/>
                <w:sz w:val="20"/>
                <w:szCs w:val="20"/>
              </w:rPr>
            </w:pPr>
            <w:r>
              <w:rPr>
                <w:color w:val="FF0000"/>
                <w:sz w:val="20"/>
                <w:szCs w:val="20"/>
              </w:rPr>
              <w:t>($6)</w:t>
            </w:r>
          </w:p>
        </w:tc>
        <w:tc>
          <w:tcPr>
            <w:tcW w:w="28" w:type="dxa"/>
            <w:tcBorders>
              <w:top w:val="nil"/>
              <w:left w:val="nil"/>
              <w:bottom w:val="nil"/>
              <w:right w:val="nil"/>
            </w:tcBorders>
            <w:shd w:val="clear" w:color="auto" w:fill="auto"/>
            <w:vAlign w:val="bottom"/>
            <w:hideMark/>
          </w:tcPr>
          <w:p w:rsidR="006964F2" w:rsidRDefault="006964F2">
            <w:pPr>
              <w:rPr>
                <w:color w:val="000000"/>
                <w:sz w:val="20"/>
                <w:szCs w:val="20"/>
              </w:rPr>
            </w:pPr>
          </w:p>
        </w:tc>
        <w:tc>
          <w:tcPr>
            <w:tcW w:w="653" w:type="dxa"/>
            <w:tcBorders>
              <w:top w:val="nil"/>
              <w:left w:val="nil"/>
              <w:bottom w:val="nil"/>
              <w:right w:val="nil"/>
            </w:tcBorders>
            <w:shd w:val="clear" w:color="auto" w:fill="auto"/>
            <w:vAlign w:val="bottom"/>
            <w:hideMark/>
          </w:tcPr>
          <w:p w:rsidR="006964F2" w:rsidRDefault="006964F2">
            <w:pPr>
              <w:jc w:val="right"/>
              <w:rPr>
                <w:color w:val="000000"/>
                <w:sz w:val="20"/>
                <w:szCs w:val="20"/>
              </w:rPr>
            </w:pPr>
            <w:r>
              <w:rPr>
                <w:color w:val="000000"/>
                <w:sz w:val="20"/>
                <w:szCs w:val="20"/>
              </w:rPr>
              <w:t>-7%</w:t>
            </w:r>
          </w:p>
        </w:tc>
      </w:tr>
      <w:tr w:rsidR="006964F2" w:rsidTr="006964F2">
        <w:trPr>
          <w:trHeight w:val="255"/>
        </w:trPr>
        <w:tc>
          <w:tcPr>
            <w:tcW w:w="1394" w:type="dxa"/>
            <w:tcBorders>
              <w:top w:val="nil"/>
              <w:left w:val="nil"/>
              <w:bottom w:val="nil"/>
              <w:right w:val="nil"/>
            </w:tcBorders>
            <w:shd w:val="clear" w:color="auto" w:fill="auto"/>
            <w:vAlign w:val="bottom"/>
            <w:hideMark/>
          </w:tcPr>
          <w:p w:rsidR="006964F2" w:rsidRDefault="006964F2">
            <w:pPr>
              <w:rPr>
                <w:color w:val="000000"/>
                <w:sz w:val="20"/>
                <w:szCs w:val="20"/>
              </w:rPr>
            </w:pPr>
            <w:proofErr w:type="spellStart"/>
            <w:r>
              <w:rPr>
                <w:color w:val="000000"/>
                <w:sz w:val="20"/>
                <w:szCs w:val="20"/>
              </w:rPr>
              <w:t>SmartMusic</w:t>
            </w:r>
            <w:proofErr w:type="spellEnd"/>
          </w:p>
        </w:tc>
        <w:tc>
          <w:tcPr>
            <w:tcW w:w="850" w:type="dxa"/>
            <w:tcBorders>
              <w:top w:val="nil"/>
              <w:left w:val="nil"/>
              <w:bottom w:val="nil"/>
              <w:right w:val="nil"/>
            </w:tcBorders>
            <w:shd w:val="clear" w:color="auto" w:fill="auto"/>
            <w:vAlign w:val="bottom"/>
            <w:hideMark/>
          </w:tcPr>
          <w:p w:rsidR="006964F2" w:rsidRDefault="006964F2">
            <w:pPr>
              <w:jc w:val="right"/>
              <w:rPr>
                <w:color w:val="000000"/>
                <w:sz w:val="20"/>
                <w:szCs w:val="20"/>
              </w:rPr>
            </w:pPr>
            <w:r>
              <w:rPr>
                <w:color w:val="000000"/>
                <w:sz w:val="20"/>
                <w:szCs w:val="20"/>
              </w:rPr>
              <w:t xml:space="preserve">78 </w:t>
            </w:r>
          </w:p>
        </w:tc>
        <w:tc>
          <w:tcPr>
            <w:tcW w:w="28" w:type="dxa"/>
            <w:tcBorders>
              <w:top w:val="nil"/>
              <w:left w:val="nil"/>
              <w:bottom w:val="nil"/>
              <w:right w:val="nil"/>
            </w:tcBorders>
            <w:shd w:val="clear" w:color="auto" w:fill="auto"/>
            <w:vAlign w:val="bottom"/>
            <w:hideMark/>
          </w:tcPr>
          <w:p w:rsidR="006964F2" w:rsidRDefault="006964F2">
            <w:pPr>
              <w:rPr>
                <w:color w:val="000000"/>
                <w:sz w:val="20"/>
                <w:szCs w:val="20"/>
              </w:rPr>
            </w:pPr>
          </w:p>
        </w:tc>
        <w:tc>
          <w:tcPr>
            <w:tcW w:w="850" w:type="dxa"/>
            <w:tcBorders>
              <w:top w:val="nil"/>
              <w:left w:val="nil"/>
              <w:bottom w:val="nil"/>
              <w:right w:val="nil"/>
            </w:tcBorders>
            <w:shd w:val="clear" w:color="auto" w:fill="auto"/>
            <w:vAlign w:val="bottom"/>
            <w:hideMark/>
          </w:tcPr>
          <w:p w:rsidR="006964F2" w:rsidRDefault="006964F2">
            <w:pPr>
              <w:jc w:val="right"/>
              <w:rPr>
                <w:color w:val="000000"/>
                <w:sz w:val="20"/>
                <w:szCs w:val="20"/>
              </w:rPr>
            </w:pPr>
            <w:r>
              <w:rPr>
                <w:color w:val="000000"/>
                <w:sz w:val="20"/>
                <w:szCs w:val="20"/>
              </w:rPr>
              <w:t xml:space="preserve">71 </w:t>
            </w:r>
          </w:p>
        </w:tc>
        <w:tc>
          <w:tcPr>
            <w:tcW w:w="40" w:type="dxa"/>
            <w:tcBorders>
              <w:top w:val="nil"/>
              <w:left w:val="nil"/>
              <w:bottom w:val="nil"/>
              <w:right w:val="nil"/>
            </w:tcBorders>
            <w:shd w:val="clear" w:color="auto" w:fill="auto"/>
            <w:vAlign w:val="bottom"/>
            <w:hideMark/>
          </w:tcPr>
          <w:p w:rsidR="006964F2" w:rsidRDefault="006964F2">
            <w:pPr>
              <w:rPr>
                <w:color w:val="000000"/>
                <w:sz w:val="20"/>
                <w:szCs w:val="20"/>
              </w:rPr>
            </w:pPr>
          </w:p>
        </w:tc>
        <w:tc>
          <w:tcPr>
            <w:tcW w:w="833" w:type="dxa"/>
            <w:tcBorders>
              <w:top w:val="nil"/>
              <w:left w:val="nil"/>
              <w:bottom w:val="nil"/>
              <w:right w:val="nil"/>
            </w:tcBorders>
            <w:shd w:val="clear" w:color="auto" w:fill="auto"/>
            <w:vAlign w:val="bottom"/>
            <w:hideMark/>
          </w:tcPr>
          <w:p w:rsidR="006964F2" w:rsidRDefault="006964F2">
            <w:pPr>
              <w:jc w:val="right"/>
              <w:rPr>
                <w:color w:val="000000"/>
                <w:sz w:val="20"/>
                <w:szCs w:val="20"/>
              </w:rPr>
            </w:pPr>
            <w:r>
              <w:rPr>
                <w:color w:val="000000"/>
                <w:sz w:val="20"/>
                <w:szCs w:val="20"/>
              </w:rPr>
              <w:t xml:space="preserve">7 </w:t>
            </w:r>
          </w:p>
        </w:tc>
        <w:tc>
          <w:tcPr>
            <w:tcW w:w="28" w:type="dxa"/>
            <w:tcBorders>
              <w:top w:val="nil"/>
              <w:left w:val="nil"/>
              <w:bottom w:val="nil"/>
              <w:right w:val="nil"/>
            </w:tcBorders>
            <w:shd w:val="clear" w:color="auto" w:fill="auto"/>
            <w:vAlign w:val="bottom"/>
            <w:hideMark/>
          </w:tcPr>
          <w:p w:rsidR="006964F2" w:rsidRDefault="006964F2">
            <w:pPr>
              <w:rPr>
                <w:color w:val="000000"/>
                <w:sz w:val="20"/>
                <w:szCs w:val="20"/>
              </w:rPr>
            </w:pPr>
          </w:p>
        </w:tc>
        <w:tc>
          <w:tcPr>
            <w:tcW w:w="653" w:type="dxa"/>
            <w:tcBorders>
              <w:top w:val="nil"/>
              <w:left w:val="nil"/>
              <w:bottom w:val="nil"/>
              <w:right w:val="nil"/>
            </w:tcBorders>
            <w:shd w:val="clear" w:color="auto" w:fill="auto"/>
            <w:vAlign w:val="bottom"/>
            <w:hideMark/>
          </w:tcPr>
          <w:p w:rsidR="006964F2" w:rsidRDefault="006964F2">
            <w:pPr>
              <w:jc w:val="right"/>
              <w:rPr>
                <w:color w:val="000000"/>
                <w:sz w:val="20"/>
                <w:szCs w:val="20"/>
              </w:rPr>
            </w:pPr>
            <w:r>
              <w:rPr>
                <w:color w:val="000000"/>
                <w:sz w:val="20"/>
                <w:szCs w:val="20"/>
              </w:rPr>
              <w:t>10%</w:t>
            </w:r>
          </w:p>
        </w:tc>
      </w:tr>
      <w:tr w:rsidR="006964F2" w:rsidTr="006964F2">
        <w:trPr>
          <w:trHeight w:val="255"/>
        </w:trPr>
        <w:tc>
          <w:tcPr>
            <w:tcW w:w="1394" w:type="dxa"/>
            <w:tcBorders>
              <w:top w:val="nil"/>
              <w:left w:val="nil"/>
              <w:bottom w:val="nil"/>
              <w:right w:val="nil"/>
            </w:tcBorders>
            <w:shd w:val="clear" w:color="auto" w:fill="auto"/>
            <w:vAlign w:val="bottom"/>
            <w:hideMark/>
          </w:tcPr>
          <w:p w:rsidR="006964F2" w:rsidRDefault="006964F2">
            <w:pPr>
              <w:rPr>
                <w:color w:val="000000"/>
                <w:sz w:val="20"/>
                <w:szCs w:val="20"/>
              </w:rPr>
            </w:pPr>
            <w:r>
              <w:rPr>
                <w:color w:val="000000"/>
                <w:sz w:val="20"/>
                <w:szCs w:val="20"/>
              </w:rPr>
              <w:t>Other</w:t>
            </w:r>
          </w:p>
        </w:tc>
        <w:tc>
          <w:tcPr>
            <w:tcW w:w="850" w:type="dxa"/>
            <w:tcBorders>
              <w:top w:val="nil"/>
              <w:left w:val="nil"/>
              <w:bottom w:val="nil"/>
              <w:right w:val="nil"/>
            </w:tcBorders>
            <w:shd w:val="clear" w:color="auto" w:fill="auto"/>
            <w:vAlign w:val="bottom"/>
            <w:hideMark/>
          </w:tcPr>
          <w:p w:rsidR="006964F2" w:rsidRDefault="006964F2">
            <w:pPr>
              <w:jc w:val="right"/>
              <w:rPr>
                <w:color w:val="000000"/>
                <w:sz w:val="20"/>
                <w:szCs w:val="20"/>
              </w:rPr>
            </w:pPr>
            <w:r>
              <w:rPr>
                <w:color w:val="000000"/>
                <w:sz w:val="20"/>
                <w:szCs w:val="20"/>
              </w:rPr>
              <w:t xml:space="preserve">3,900 </w:t>
            </w:r>
          </w:p>
        </w:tc>
        <w:tc>
          <w:tcPr>
            <w:tcW w:w="28" w:type="dxa"/>
            <w:tcBorders>
              <w:top w:val="nil"/>
              <w:left w:val="nil"/>
              <w:bottom w:val="nil"/>
              <w:right w:val="nil"/>
            </w:tcBorders>
            <w:shd w:val="clear" w:color="auto" w:fill="auto"/>
            <w:vAlign w:val="bottom"/>
            <w:hideMark/>
          </w:tcPr>
          <w:p w:rsidR="006964F2" w:rsidRDefault="006964F2">
            <w:pPr>
              <w:rPr>
                <w:color w:val="000000"/>
                <w:sz w:val="20"/>
                <w:szCs w:val="20"/>
              </w:rPr>
            </w:pPr>
          </w:p>
        </w:tc>
        <w:tc>
          <w:tcPr>
            <w:tcW w:w="850" w:type="dxa"/>
            <w:tcBorders>
              <w:top w:val="nil"/>
              <w:left w:val="nil"/>
              <w:bottom w:val="nil"/>
              <w:right w:val="nil"/>
            </w:tcBorders>
            <w:shd w:val="clear" w:color="auto" w:fill="auto"/>
            <w:vAlign w:val="bottom"/>
            <w:hideMark/>
          </w:tcPr>
          <w:p w:rsidR="006964F2" w:rsidRDefault="006964F2">
            <w:pPr>
              <w:jc w:val="right"/>
              <w:rPr>
                <w:color w:val="000000"/>
                <w:sz w:val="20"/>
                <w:szCs w:val="20"/>
              </w:rPr>
            </w:pPr>
            <w:r>
              <w:rPr>
                <w:color w:val="000000"/>
                <w:sz w:val="20"/>
                <w:szCs w:val="20"/>
              </w:rPr>
              <w:t xml:space="preserve">3,589 </w:t>
            </w:r>
          </w:p>
        </w:tc>
        <w:tc>
          <w:tcPr>
            <w:tcW w:w="40" w:type="dxa"/>
            <w:tcBorders>
              <w:top w:val="nil"/>
              <w:left w:val="nil"/>
              <w:bottom w:val="nil"/>
              <w:right w:val="nil"/>
            </w:tcBorders>
            <w:shd w:val="clear" w:color="auto" w:fill="auto"/>
            <w:vAlign w:val="bottom"/>
            <w:hideMark/>
          </w:tcPr>
          <w:p w:rsidR="006964F2" w:rsidRDefault="006964F2">
            <w:pPr>
              <w:rPr>
                <w:color w:val="000000"/>
                <w:sz w:val="20"/>
                <w:szCs w:val="20"/>
              </w:rPr>
            </w:pPr>
          </w:p>
        </w:tc>
        <w:tc>
          <w:tcPr>
            <w:tcW w:w="833" w:type="dxa"/>
            <w:tcBorders>
              <w:top w:val="nil"/>
              <w:left w:val="nil"/>
              <w:bottom w:val="nil"/>
              <w:right w:val="nil"/>
            </w:tcBorders>
            <w:shd w:val="clear" w:color="auto" w:fill="auto"/>
            <w:vAlign w:val="bottom"/>
            <w:hideMark/>
          </w:tcPr>
          <w:p w:rsidR="006964F2" w:rsidRDefault="006964F2">
            <w:pPr>
              <w:jc w:val="right"/>
              <w:rPr>
                <w:color w:val="000000"/>
                <w:sz w:val="20"/>
                <w:szCs w:val="20"/>
              </w:rPr>
            </w:pPr>
            <w:r>
              <w:rPr>
                <w:color w:val="000000"/>
                <w:sz w:val="20"/>
                <w:szCs w:val="20"/>
              </w:rPr>
              <w:t xml:space="preserve">311 </w:t>
            </w:r>
          </w:p>
        </w:tc>
        <w:tc>
          <w:tcPr>
            <w:tcW w:w="28" w:type="dxa"/>
            <w:tcBorders>
              <w:top w:val="nil"/>
              <w:left w:val="nil"/>
              <w:bottom w:val="nil"/>
              <w:right w:val="nil"/>
            </w:tcBorders>
            <w:shd w:val="clear" w:color="auto" w:fill="auto"/>
            <w:vAlign w:val="bottom"/>
            <w:hideMark/>
          </w:tcPr>
          <w:p w:rsidR="006964F2" w:rsidRDefault="006964F2">
            <w:pPr>
              <w:rPr>
                <w:color w:val="000000"/>
                <w:sz w:val="20"/>
                <w:szCs w:val="20"/>
              </w:rPr>
            </w:pPr>
          </w:p>
        </w:tc>
        <w:tc>
          <w:tcPr>
            <w:tcW w:w="653" w:type="dxa"/>
            <w:tcBorders>
              <w:top w:val="nil"/>
              <w:left w:val="nil"/>
              <w:bottom w:val="nil"/>
              <w:right w:val="nil"/>
            </w:tcBorders>
            <w:shd w:val="clear" w:color="auto" w:fill="auto"/>
            <w:vAlign w:val="bottom"/>
            <w:hideMark/>
          </w:tcPr>
          <w:p w:rsidR="006964F2" w:rsidRDefault="006964F2">
            <w:pPr>
              <w:jc w:val="right"/>
              <w:rPr>
                <w:color w:val="000000"/>
                <w:sz w:val="20"/>
                <w:szCs w:val="20"/>
              </w:rPr>
            </w:pPr>
            <w:r>
              <w:rPr>
                <w:color w:val="000000"/>
                <w:sz w:val="20"/>
                <w:szCs w:val="20"/>
              </w:rPr>
              <w:t>9%</w:t>
            </w:r>
          </w:p>
        </w:tc>
      </w:tr>
      <w:tr w:rsidR="006964F2" w:rsidTr="006964F2">
        <w:trPr>
          <w:trHeight w:val="270"/>
        </w:trPr>
        <w:tc>
          <w:tcPr>
            <w:tcW w:w="1394" w:type="dxa"/>
            <w:tcBorders>
              <w:top w:val="nil"/>
              <w:left w:val="nil"/>
              <w:bottom w:val="nil"/>
              <w:right w:val="nil"/>
            </w:tcBorders>
            <w:shd w:val="clear" w:color="auto" w:fill="auto"/>
            <w:noWrap/>
            <w:vAlign w:val="bottom"/>
            <w:hideMark/>
          </w:tcPr>
          <w:p w:rsidR="006964F2" w:rsidRDefault="006964F2">
            <w:pPr>
              <w:rPr>
                <w:sz w:val="20"/>
                <w:szCs w:val="20"/>
              </w:rPr>
            </w:pPr>
            <w:r>
              <w:rPr>
                <w:sz w:val="20"/>
                <w:szCs w:val="20"/>
              </w:rPr>
              <w:t>Total</w:t>
            </w:r>
          </w:p>
        </w:tc>
        <w:tc>
          <w:tcPr>
            <w:tcW w:w="850" w:type="dxa"/>
            <w:tcBorders>
              <w:top w:val="single" w:sz="4" w:space="0" w:color="auto"/>
              <w:left w:val="nil"/>
              <w:bottom w:val="double" w:sz="6" w:space="0" w:color="auto"/>
              <w:right w:val="nil"/>
            </w:tcBorders>
            <w:shd w:val="clear" w:color="auto" w:fill="auto"/>
            <w:noWrap/>
            <w:vAlign w:val="bottom"/>
            <w:hideMark/>
          </w:tcPr>
          <w:p w:rsidR="006964F2" w:rsidRDefault="006964F2">
            <w:pPr>
              <w:jc w:val="right"/>
              <w:rPr>
                <w:sz w:val="20"/>
                <w:szCs w:val="20"/>
              </w:rPr>
            </w:pPr>
            <w:r>
              <w:rPr>
                <w:sz w:val="20"/>
                <w:szCs w:val="20"/>
              </w:rPr>
              <w:t xml:space="preserve">$4,053 </w:t>
            </w:r>
          </w:p>
        </w:tc>
        <w:tc>
          <w:tcPr>
            <w:tcW w:w="28" w:type="dxa"/>
            <w:tcBorders>
              <w:top w:val="nil"/>
              <w:left w:val="nil"/>
              <w:bottom w:val="nil"/>
              <w:right w:val="nil"/>
            </w:tcBorders>
            <w:shd w:val="clear" w:color="auto" w:fill="auto"/>
            <w:noWrap/>
            <w:vAlign w:val="bottom"/>
            <w:hideMark/>
          </w:tcPr>
          <w:p w:rsidR="006964F2" w:rsidRDefault="006964F2">
            <w:pPr>
              <w:rPr>
                <w:sz w:val="20"/>
                <w:szCs w:val="20"/>
              </w:rPr>
            </w:pPr>
          </w:p>
        </w:tc>
        <w:tc>
          <w:tcPr>
            <w:tcW w:w="850" w:type="dxa"/>
            <w:tcBorders>
              <w:top w:val="single" w:sz="4" w:space="0" w:color="auto"/>
              <w:left w:val="nil"/>
              <w:bottom w:val="double" w:sz="6" w:space="0" w:color="auto"/>
              <w:right w:val="nil"/>
            </w:tcBorders>
            <w:shd w:val="clear" w:color="auto" w:fill="auto"/>
            <w:noWrap/>
            <w:vAlign w:val="bottom"/>
            <w:hideMark/>
          </w:tcPr>
          <w:p w:rsidR="006964F2" w:rsidRDefault="006964F2">
            <w:pPr>
              <w:jc w:val="right"/>
              <w:rPr>
                <w:sz w:val="20"/>
                <w:szCs w:val="20"/>
              </w:rPr>
            </w:pPr>
            <w:r>
              <w:rPr>
                <w:sz w:val="20"/>
                <w:szCs w:val="20"/>
              </w:rPr>
              <w:t xml:space="preserve">$3,741 </w:t>
            </w:r>
          </w:p>
        </w:tc>
        <w:tc>
          <w:tcPr>
            <w:tcW w:w="40" w:type="dxa"/>
            <w:tcBorders>
              <w:top w:val="nil"/>
              <w:left w:val="nil"/>
              <w:bottom w:val="nil"/>
              <w:right w:val="nil"/>
            </w:tcBorders>
            <w:shd w:val="clear" w:color="auto" w:fill="auto"/>
            <w:noWrap/>
            <w:vAlign w:val="bottom"/>
            <w:hideMark/>
          </w:tcPr>
          <w:p w:rsidR="006964F2" w:rsidRDefault="006964F2">
            <w:pPr>
              <w:rPr>
                <w:sz w:val="20"/>
                <w:szCs w:val="20"/>
              </w:rPr>
            </w:pPr>
          </w:p>
        </w:tc>
        <w:tc>
          <w:tcPr>
            <w:tcW w:w="833" w:type="dxa"/>
            <w:tcBorders>
              <w:top w:val="single" w:sz="4" w:space="0" w:color="auto"/>
              <w:left w:val="nil"/>
              <w:bottom w:val="double" w:sz="6" w:space="0" w:color="auto"/>
              <w:right w:val="nil"/>
            </w:tcBorders>
            <w:shd w:val="clear" w:color="auto" w:fill="auto"/>
            <w:noWrap/>
            <w:vAlign w:val="bottom"/>
            <w:hideMark/>
          </w:tcPr>
          <w:p w:rsidR="006964F2" w:rsidRDefault="006964F2">
            <w:pPr>
              <w:jc w:val="right"/>
              <w:rPr>
                <w:sz w:val="20"/>
                <w:szCs w:val="20"/>
              </w:rPr>
            </w:pPr>
            <w:r>
              <w:rPr>
                <w:sz w:val="20"/>
                <w:szCs w:val="20"/>
              </w:rPr>
              <w:t xml:space="preserve">$312 </w:t>
            </w:r>
          </w:p>
        </w:tc>
        <w:tc>
          <w:tcPr>
            <w:tcW w:w="28" w:type="dxa"/>
            <w:tcBorders>
              <w:top w:val="nil"/>
              <w:left w:val="nil"/>
              <w:bottom w:val="nil"/>
              <w:right w:val="nil"/>
            </w:tcBorders>
            <w:shd w:val="clear" w:color="auto" w:fill="auto"/>
            <w:noWrap/>
            <w:vAlign w:val="bottom"/>
            <w:hideMark/>
          </w:tcPr>
          <w:p w:rsidR="006964F2" w:rsidRDefault="006964F2">
            <w:pPr>
              <w:rPr>
                <w:sz w:val="20"/>
                <w:szCs w:val="20"/>
              </w:rPr>
            </w:pPr>
          </w:p>
        </w:tc>
        <w:tc>
          <w:tcPr>
            <w:tcW w:w="653" w:type="dxa"/>
            <w:tcBorders>
              <w:top w:val="single" w:sz="4" w:space="0" w:color="auto"/>
              <w:left w:val="nil"/>
              <w:bottom w:val="double" w:sz="6" w:space="0" w:color="auto"/>
              <w:right w:val="nil"/>
            </w:tcBorders>
            <w:shd w:val="clear" w:color="auto" w:fill="auto"/>
            <w:noWrap/>
            <w:vAlign w:val="bottom"/>
            <w:hideMark/>
          </w:tcPr>
          <w:p w:rsidR="006964F2" w:rsidRDefault="006964F2">
            <w:pPr>
              <w:jc w:val="right"/>
              <w:rPr>
                <w:sz w:val="20"/>
                <w:szCs w:val="20"/>
              </w:rPr>
            </w:pPr>
            <w:r>
              <w:rPr>
                <w:sz w:val="20"/>
                <w:szCs w:val="20"/>
              </w:rPr>
              <w:t>8%</w:t>
            </w:r>
          </w:p>
        </w:tc>
      </w:tr>
    </w:tbl>
    <w:p w:rsidR="004851D7" w:rsidRDefault="004851D7">
      <w:pPr>
        <w:spacing w:after="240"/>
        <w:rPr>
          <w:color w:val="000000"/>
          <w:sz w:val="20"/>
        </w:rPr>
      </w:pPr>
      <w:r>
        <w:rPr>
          <w:color w:val="000000"/>
          <w:sz w:val="20"/>
        </w:rPr>
        <w:t xml:space="preserve">    </w:t>
      </w:r>
    </w:p>
    <w:p w:rsidR="006964F2" w:rsidRDefault="004851D7" w:rsidP="006964F2">
      <w:pPr>
        <w:pStyle w:val="BodyText"/>
        <w:keepLines/>
        <w:ind w:firstLine="720"/>
        <w:rPr>
          <w:rFonts w:ascii="Times New Roman" w:hAnsi="Times New Roman"/>
          <w:color w:val="000000"/>
          <w:sz w:val="20"/>
        </w:rPr>
      </w:pPr>
      <w:r>
        <w:rPr>
          <w:color w:val="000000"/>
          <w:sz w:val="20"/>
        </w:rPr>
        <w:t>General and administrative expenses consist primarily of payroll and related expenses for executive and administrative personnel, professional services, facility costs, bad debt, and other general corporate expenses. General and administrative expenses increased by $</w:t>
      </w:r>
      <w:r w:rsidR="006964F2">
        <w:rPr>
          <w:color w:val="000000"/>
          <w:sz w:val="20"/>
        </w:rPr>
        <w:t>312</w:t>
      </w:r>
      <w:r>
        <w:rPr>
          <w:color w:val="000000"/>
          <w:sz w:val="20"/>
        </w:rPr>
        <w:t>,000 from $</w:t>
      </w:r>
      <w:r w:rsidR="006964F2">
        <w:rPr>
          <w:color w:val="000000"/>
          <w:sz w:val="20"/>
        </w:rPr>
        <w:t>3,741</w:t>
      </w:r>
      <w:r>
        <w:rPr>
          <w:color w:val="000000"/>
          <w:sz w:val="20"/>
        </w:rPr>
        <w:t>,000 in 20</w:t>
      </w:r>
      <w:r w:rsidR="006964F2">
        <w:rPr>
          <w:color w:val="000000"/>
          <w:sz w:val="20"/>
        </w:rPr>
        <w:t>10</w:t>
      </w:r>
      <w:r>
        <w:rPr>
          <w:color w:val="000000"/>
          <w:sz w:val="20"/>
        </w:rPr>
        <w:t xml:space="preserve"> to $</w:t>
      </w:r>
      <w:r w:rsidR="006964F2">
        <w:rPr>
          <w:color w:val="000000"/>
          <w:sz w:val="20"/>
        </w:rPr>
        <w:t>4,053</w:t>
      </w:r>
      <w:r>
        <w:rPr>
          <w:color w:val="000000"/>
          <w:sz w:val="20"/>
        </w:rPr>
        <w:t>,000 in 20</w:t>
      </w:r>
      <w:r w:rsidR="006964F2">
        <w:rPr>
          <w:color w:val="000000"/>
          <w:sz w:val="20"/>
        </w:rPr>
        <w:t>11</w:t>
      </w:r>
      <w:r>
        <w:rPr>
          <w:color w:val="000000"/>
          <w:sz w:val="20"/>
        </w:rPr>
        <w:t xml:space="preserve">. </w:t>
      </w:r>
      <w:r w:rsidR="006964F2">
        <w:rPr>
          <w:rFonts w:ascii="Times New Roman" w:hAnsi="Times New Roman"/>
          <w:color w:val="000000"/>
          <w:sz w:val="20"/>
        </w:rPr>
        <w:t>The increase in other general and administrative costs primarily resulted from recruit</w:t>
      </w:r>
      <w:r w:rsidR="00922926">
        <w:rPr>
          <w:rFonts w:ascii="Times New Roman" w:hAnsi="Times New Roman"/>
          <w:color w:val="000000"/>
          <w:sz w:val="20"/>
        </w:rPr>
        <w:t xml:space="preserve">ing our Chief Executive Officer, </w:t>
      </w:r>
      <w:r w:rsidR="006964F2">
        <w:rPr>
          <w:rFonts w:ascii="Times New Roman" w:hAnsi="Times New Roman"/>
          <w:color w:val="000000"/>
          <w:sz w:val="20"/>
        </w:rPr>
        <w:t>severance costs relating to the departure of the former interim Chief Executive Officer</w:t>
      </w:r>
      <w:r w:rsidR="00922926">
        <w:rPr>
          <w:rFonts w:ascii="Times New Roman" w:hAnsi="Times New Roman"/>
          <w:color w:val="000000"/>
          <w:sz w:val="20"/>
        </w:rPr>
        <w:t xml:space="preserve"> and increased legal and accounting expenses relating to the</w:t>
      </w:r>
      <w:r w:rsidR="00533422">
        <w:rPr>
          <w:rFonts w:ascii="Times New Roman" w:hAnsi="Times New Roman"/>
          <w:color w:val="000000"/>
          <w:sz w:val="20"/>
        </w:rPr>
        <w:t xml:space="preserve"> acquisition of </w:t>
      </w:r>
      <w:r w:rsidR="00922926">
        <w:rPr>
          <w:rFonts w:ascii="Times New Roman" w:hAnsi="Times New Roman"/>
          <w:color w:val="000000"/>
          <w:sz w:val="20"/>
        </w:rPr>
        <w:t xml:space="preserve">Garritan </w:t>
      </w:r>
      <w:r w:rsidR="00533422">
        <w:rPr>
          <w:rFonts w:ascii="Times New Roman" w:hAnsi="Times New Roman"/>
          <w:color w:val="000000"/>
          <w:sz w:val="20"/>
        </w:rPr>
        <w:t xml:space="preserve">Corporation </w:t>
      </w:r>
      <w:r w:rsidR="00C25CD1">
        <w:rPr>
          <w:rFonts w:ascii="Times New Roman" w:hAnsi="Times New Roman"/>
          <w:color w:val="000000"/>
          <w:sz w:val="20"/>
        </w:rPr>
        <w:t xml:space="preserve">and </w:t>
      </w:r>
      <w:r w:rsidR="006B7B09">
        <w:rPr>
          <w:rFonts w:ascii="Times New Roman" w:hAnsi="Times New Roman"/>
          <w:color w:val="000000"/>
          <w:sz w:val="20"/>
        </w:rPr>
        <w:t xml:space="preserve">select assets of </w:t>
      </w:r>
      <w:proofErr w:type="spellStart"/>
      <w:r w:rsidR="006B7B09">
        <w:rPr>
          <w:rFonts w:ascii="Times New Roman" w:hAnsi="Times New Roman"/>
          <w:color w:val="000000"/>
          <w:sz w:val="20"/>
        </w:rPr>
        <w:t>Recordare</w:t>
      </w:r>
      <w:proofErr w:type="spellEnd"/>
      <w:r w:rsidR="006B7B09">
        <w:rPr>
          <w:rFonts w:ascii="Times New Roman" w:hAnsi="Times New Roman"/>
          <w:color w:val="000000"/>
          <w:sz w:val="20"/>
        </w:rPr>
        <w:t xml:space="preserve">, LLC, both of </w:t>
      </w:r>
      <w:r w:rsidR="00922926">
        <w:rPr>
          <w:rFonts w:ascii="Times New Roman" w:hAnsi="Times New Roman"/>
          <w:color w:val="000000"/>
          <w:sz w:val="20"/>
        </w:rPr>
        <w:t>which occurred in the fourth quarter of 2011</w:t>
      </w:r>
      <w:r w:rsidR="006964F2">
        <w:rPr>
          <w:rFonts w:ascii="Times New Roman" w:hAnsi="Times New Roman"/>
          <w:color w:val="000000"/>
          <w:sz w:val="20"/>
        </w:rPr>
        <w:t xml:space="preserve">. Partially offsetting these increases </w:t>
      </w:r>
      <w:r w:rsidR="006B7B09">
        <w:rPr>
          <w:rFonts w:ascii="Times New Roman" w:hAnsi="Times New Roman"/>
          <w:color w:val="000000"/>
          <w:sz w:val="20"/>
        </w:rPr>
        <w:t>was</w:t>
      </w:r>
      <w:r w:rsidR="006964F2">
        <w:rPr>
          <w:rFonts w:ascii="Times New Roman" w:hAnsi="Times New Roman"/>
          <w:color w:val="000000"/>
          <w:sz w:val="20"/>
        </w:rPr>
        <w:t xml:space="preserve"> a reduction in incentive compensation in 2011 due to</w:t>
      </w:r>
      <w:r w:rsidR="00922926">
        <w:rPr>
          <w:rFonts w:ascii="Times New Roman" w:hAnsi="Times New Roman"/>
          <w:color w:val="000000"/>
          <w:sz w:val="20"/>
        </w:rPr>
        <w:t xml:space="preserve"> annual </w:t>
      </w:r>
      <w:r w:rsidR="006964F2">
        <w:rPr>
          <w:rFonts w:ascii="Times New Roman" w:hAnsi="Times New Roman"/>
          <w:color w:val="000000"/>
          <w:sz w:val="20"/>
        </w:rPr>
        <w:t>financial results.</w:t>
      </w:r>
    </w:p>
    <w:p w:rsidR="0037770D" w:rsidRDefault="0037770D" w:rsidP="006964F2">
      <w:pPr>
        <w:pStyle w:val="BodyText"/>
        <w:keepLines/>
        <w:ind w:firstLine="720"/>
        <w:rPr>
          <w:rFonts w:ascii="Times New Roman" w:hAnsi="Times New Roman"/>
          <w:color w:val="000000"/>
          <w:sz w:val="20"/>
        </w:rPr>
      </w:pPr>
    </w:p>
    <w:p w:rsidR="0037770D" w:rsidRDefault="0037770D" w:rsidP="006964F2">
      <w:pPr>
        <w:pStyle w:val="BodyText"/>
        <w:keepLines/>
        <w:ind w:firstLine="720"/>
        <w:rPr>
          <w:rFonts w:ascii="Times New Roman" w:hAnsi="Times New Roman"/>
          <w:color w:val="000000"/>
          <w:sz w:val="20"/>
        </w:rPr>
      </w:pPr>
      <w:r>
        <w:rPr>
          <w:rFonts w:ascii="Times New Roman" w:hAnsi="Times New Roman"/>
          <w:color w:val="000000"/>
          <w:sz w:val="20"/>
        </w:rPr>
        <w:t>We expect our</w:t>
      </w:r>
      <w:r w:rsidR="00F63F43">
        <w:rPr>
          <w:rFonts w:ascii="Times New Roman" w:hAnsi="Times New Roman"/>
          <w:color w:val="000000"/>
          <w:sz w:val="20"/>
        </w:rPr>
        <w:t xml:space="preserve"> future</w:t>
      </w:r>
      <w:r>
        <w:rPr>
          <w:rFonts w:ascii="Times New Roman" w:hAnsi="Times New Roman"/>
          <w:color w:val="000000"/>
          <w:sz w:val="20"/>
        </w:rPr>
        <w:t xml:space="preserve"> general and administrative expenses to be generally comparable to 2011 results with modest increases due to the amortization of intangibles relating to our acquisitions in the fourth quarter of 2011.</w:t>
      </w:r>
    </w:p>
    <w:p w:rsidR="00922926" w:rsidRDefault="00922926" w:rsidP="00C25CD1">
      <w:pPr>
        <w:pStyle w:val="BodyText"/>
        <w:keepLines/>
        <w:rPr>
          <w:rFonts w:ascii="Times New Roman" w:hAnsi="Times New Roman"/>
          <w:color w:val="000000"/>
          <w:sz w:val="20"/>
        </w:rPr>
      </w:pPr>
    </w:p>
    <w:p w:rsidR="00922926" w:rsidRDefault="00922926" w:rsidP="00922926">
      <w:pPr>
        <w:pStyle w:val="BodyText"/>
        <w:keepLines/>
        <w:rPr>
          <w:rFonts w:ascii="Times New Roman" w:hAnsi="Times New Roman"/>
          <w:b/>
          <w:i/>
          <w:color w:val="000000"/>
          <w:sz w:val="20"/>
        </w:rPr>
      </w:pPr>
      <w:r>
        <w:rPr>
          <w:rFonts w:ascii="Times New Roman" w:hAnsi="Times New Roman"/>
          <w:b/>
          <w:i/>
          <w:color w:val="000000"/>
          <w:sz w:val="20"/>
        </w:rPr>
        <w:t>Patent litigation expense</w:t>
      </w:r>
    </w:p>
    <w:p w:rsidR="00922926" w:rsidRDefault="00922926" w:rsidP="00922926">
      <w:pPr>
        <w:pStyle w:val="BodyText"/>
        <w:keepLines/>
        <w:ind w:firstLine="720"/>
        <w:rPr>
          <w:rFonts w:ascii="Times New Roman" w:hAnsi="Times New Roman"/>
          <w:sz w:val="20"/>
        </w:rPr>
      </w:pPr>
      <w:r>
        <w:rPr>
          <w:rFonts w:ascii="Times New Roman" w:hAnsi="Times New Roman"/>
          <w:sz w:val="20"/>
        </w:rPr>
        <w:t xml:space="preserve">We reached a confidential settlement with </w:t>
      </w:r>
      <w:proofErr w:type="spellStart"/>
      <w:r>
        <w:rPr>
          <w:rFonts w:ascii="Times New Roman" w:hAnsi="Times New Roman"/>
          <w:sz w:val="20"/>
        </w:rPr>
        <w:t>Uniloc</w:t>
      </w:r>
      <w:proofErr w:type="spellEnd"/>
      <w:r>
        <w:rPr>
          <w:rFonts w:ascii="Times New Roman" w:hAnsi="Times New Roman"/>
          <w:sz w:val="20"/>
        </w:rPr>
        <w:t xml:space="preserve"> USA, Inc. and </w:t>
      </w:r>
      <w:proofErr w:type="spellStart"/>
      <w:r>
        <w:rPr>
          <w:rFonts w:ascii="Times New Roman" w:hAnsi="Times New Roman"/>
          <w:sz w:val="20"/>
        </w:rPr>
        <w:t>Uniloc</w:t>
      </w:r>
      <w:proofErr w:type="spellEnd"/>
      <w:r>
        <w:rPr>
          <w:rFonts w:ascii="Times New Roman" w:hAnsi="Times New Roman"/>
          <w:sz w:val="20"/>
        </w:rPr>
        <w:t xml:space="preserve"> Singapore Private Limited in April 2011, which resulted in patent litigation costs of $225,000 for the year ended December 31, 2011. There were no comparable expenses during year ended December 31, 2010.</w:t>
      </w:r>
    </w:p>
    <w:p w:rsidR="00922926" w:rsidRDefault="00922926" w:rsidP="00C25CD1">
      <w:pPr>
        <w:spacing w:after="240"/>
        <w:rPr>
          <w:color w:val="000000"/>
          <w:sz w:val="20"/>
        </w:rPr>
      </w:pPr>
    </w:p>
    <w:tbl>
      <w:tblPr>
        <w:tblW w:w="4708" w:type="dxa"/>
        <w:tblInd w:w="108" w:type="dxa"/>
        <w:tblLook w:val="04A0" w:firstRow="1" w:lastRow="0" w:firstColumn="1" w:lastColumn="0" w:noHBand="0" w:noVBand="1"/>
      </w:tblPr>
      <w:tblGrid>
        <w:gridCol w:w="1356"/>
        <w:gridCol w:w="848"/>
        <w:gridCol w:w="222"/>
        <w:gridCol w:w="848"/>
        <w:gridCol w:w="222"/>
        <w:gridCol w:w="818"/>
        <w:gridCol w:w="222"/>
        <w:gridCol w:w="716"/>
      </w:tblGrid>
      <w:tr w:rsidR="00922926" w:rsidTr="00922926">
        <w:trPr>
          <w:trHeight w:val="270"/>
        </w:trPr>
        <w:tc>
          <w:tcPr>
            <w:tcW w:w="3936" w:type="dxa"/>
            <w:gridSpan w:val="6"/>
            <w:tcBorders>
              <w:top w:val="nil"/>
              <w:left w:val="nil"/>
              <w:bottom w:val="nil"/>
              <w:right w:val="nil"/>
            </w:tcBorders>
            <w:shd w:val="clear" w:color="auto" w:fill="auto"/>
            <w:noWrap/>
            <w:vAlign w:val="bottom"/>
            <w:hideMark/>
          </w:tcPr>
          <w:p w:rsidR="00922926" w:rsidRDefault="00922926">
            <w:pPr>
              <w:rPr>
                <w:b/>
                <w:bCs/>
                <w:i/>
                <w:iCs/>
                <w:sz w:val="20"/>
                <w:szCs w:val="20"/>
              </w:rPr>
            </w:pPr>
            <w:r>
              <w:rPr>
                <w:b/>
                <w:bCs/>
                <w:i/>
                <w:iCs/>
                <w:sz w:val="20"/>
                <w:szCs w:val="20"/>
              </w:rPr>
              <w:t>Income from operations</w:t>
            </w:r>
            <w:r>
              <w:rPr>
                <w:i/>
                <w:iCs/>
                <w:sz w:val="20"/>
                <w:szCs w:val="20"/>
              </w:rPr>
              <w:t xml:space="preserve"> ($ in thousands)</w:t>
            </w:r>
          </w:p>
        </w:tc>
        <w:tc>
          <w:tcPr>
            <w:tcW w:w="56" w:type="dxa"/>
            <w:tcBorders>
              <w:top w:val="nil"/>
              <w:left w:val="nil"/>
              <w:bottom w:val="nil"/>
              <w:right w:val="nil"/>
            </w:tcBorders>
            <w:shd w:val="clear" w:color="auto" w:fill="auto"/>
            <w:noWrap/>
            <w:vAlign w:val="bottom"/>
            <w:hideMark/>
          </w:tcPr>
          <w:p w:rsidR="00922926" w:rsidRDefault="00922926">
            <w:pPr>
              <w:rPr>
                <w:sz w:val="20"/>
                <w:szCs w:val="20"/>
              </w:rPr>
            </w:pPr>
          </w:p>
        </w:tc>
        <w:tc>
          <w:tcPr>
            <w:tcW w:w="716" w:type="dxa"/>
            <w:tcBorders>
              <w:top w:val="nil"/>
              <w:left w:val="nil"/>
              <w:bottom w:val="nil"/>
              <w:right w:val="nil"/>
            </w:tcBorders>
            <w:shd w:val="clear" w:color="auto" w:fill="auto"/>
            <w:noWrap/>
            <w:vAlign w:val="bottom"/>
            <w:hideMark/>
          </w:tcPr>
          <w:p w:rsidR="00922926" w:rsidRDefault="00922926">
            <w:pPr>
              <w:rPr>
                <w:sz w:val="20"/>
                <w:szCs w:val="20"/>
              </w:rPr>
            </w:pPr>
          </w:p>
        </w:tc>
      </w:tr>
      <w:tr w:rsidR="00922926" w:rsidTr="00922926">
        <w:trPr>
          <w:trHeight w:val="255"/>
        </w:trPr>
        <w:tc>
          <w:tcPr>
            <w:tcW w:w="1356" w:type="dxa"/>
            <w:tcBorders>
              <w:top w:val="nil"/>
              <w:left w:val="nil"/>
              <w:bottom w:val="nil"/>
              <w:right w:val="nil"/>
            </w:tcBorders>
            <w:shd w:val="clear" w:color="auto" w:fill="auto"/>
            <w:noWrap/>
            <w:vAlign w:val="bottom"/>
            <w:hideMark/>
          </w:tcPr>
          <w:p w:rsidR="00922926" w:rsidRDefault="00922926">
            <w:pPr>
              <w:rPr>
                <w:sz w:val="20"/>
                <w:szCs w:val="20"/>
              </w:rPr>
            </w:pPr>
          </w:p>
        </w:tc>
        <w:tc>
          <w:tcPr>
            <w:tcW w:w="3352" w:type="dxa"/>
            <w:gridSpan w:val="7"/>
            <w:tcBorders>
              <w:top w:val="nil"/>
              <w:left w:val="nil"/>
              <w:bottom w:val="nil"/>
              <w:right w:val="nil"/>
            </w:tcBorders>
            <w:shd w:val="clear" w:color="auto" w:fill="auto"/>
            <w:vAlign w:val="bottom"/>
            <w:hideMark/>
          </w:tcPr>
          <w:p w:rsidR="00922926" w:rsidRDefault="00922926">
            <w:pPr>
              <w:jc w:val="center"/>
              <w:rPr>
                <w:color w:val="000000"/>
                <w:sz w:val="20"/>
                <w:szCs w:val="20"/>
              </w:rPr>
            </w:pPr>
            <w:r>
              <w:rPr>
                <w:color w:val="000000"/>
                <w:sz w:val="20"/>
                <w:szCs w:val="20"/>
              </w:rPr>
              <w:t xml:space="preserve">Year Ended December 31, </w:t>
            </w:r>
          </w:p>
        </w:tc>
      </w:tr>
      <w:tr w:rsidR="00922926" w:rsidTr="00922926">
        <w:trPr>
          <w:trHeight w:val="525"/>
        </w:trPr>
        <w:tc>
          <w:tcPr>
            <w:tcW w:w="1356" w:type="dxa"/>
            <w:tcBorders>
              <w:top w:val="nil"/>
              <w:left w:val="nil"/>
              <w:bottom w:val="nil"/>
              <w:right w:val="nil"/>
            </w:tcBorders>
            <w:shd w:val="clear" w:color="auto" w:fill="auto"/>
            <w:vAlign w:val="bottom"/>
            <w:hideMark/>
          </w:tcPr>
          <w:p w:rsidR="00922926" w:rsidRDefault="00922926">
            <w:pPr>
              <w:rPr>
                <w:color w:val="000000"/>
                <w:sz w:val="20"/>
                <w:szCs w:val="20"/>
              </w:rPr>
            </w:pPr>
          </w:p>
        </w:tc>
        <w:tc>
          <w:tcPr>
            <w:tcW w:w="848" w:type="dxa"/>
            <w:tcBorders>
              <w:top w:val="nil"/>
              <w:left w:val="nil"/>
              <w:bottom w:val="single" w:sz="8" w:space="0" w:color="auto"/>
              <w:right w:val="nil"/>
            </w:tcBorders>
            <w:shd w:val="clear" w:color="auto" w:fill="auto"/>
            <w:vAlign w:val="bottom"/>
            <w:hideMark/>
          </w:tcPr>
          <w:p w:rsidR="00922926" w:rsidRDefault="00922926">
            <w:pPr>
              <w:jc w:val="center"/>
              <w:rPr>
                <w:color w:val="000000"/>
                <w:sz w:val="20"/>
                <w:szCs w:val="20"/>
              </w:rPr>
            </w:pPr>
            <w:r>
              <w:rPr>
                <w:color w:val="000000"/>
                <w:sz w:val="20"/>
                <w:szCs w:val="20"/>
              </w:rPr>
              <w:t>2011</w:t>
            </w:r>
          </w:p>
        </w:tc>
        <w:tc>
          <w:tcPr>
            <w:tcW w:w="27" w:type="dxa"/>
            <w:tcBorders>
              <w:top w:val="nil"/>
              <w:left w:val="nil"/>
              <w:bottom w:val="nil"/>
              <w:right w:val="nil"/>
            </w:tcBorders>
            <w:shd w:val="clear" w:color="auto" w:fill="auto"/>
            <w:vAlign w:val="bottom"/>
            <w:hideMark/>
          </w:tcPr>
          <w:p w:rsidR="00922926" w:rsidRDefault="00922926">
            <w:pPr>
              <w:jc w:val="center"/>
              <w:rPr>
                <w:color w:val="000000"/>
                <w:sz w:val="20"/>
                <w:szCs w:val="20"/>
              </w:rPr>
            </w:pPr>
          </w:p>
        </w:tc>
        <w:tc>
          <w:tcPr>
            <w:tcW w:w="848" w:type="dxa"/>
            <w:tcBorders>
              <w:top w:val="nil"/>
              <w:left w:val="nil"/>
              <w:bottom w:val="single" w:sz="8" w:space="0" w:color="auto"/>
              <w:right w:val="nil"/>
            </w:tcBorders>
            <w:shd w:val="clear" w:color="auto" w:fill="auto"/>
            <w:vAlign w:val="bottom"/>
            <w:hideMark/>
          </w:tcPr>
          <w:p w:rsidR="00922926" w:rsidRDefault="00922926">
            <w:pPr>
              <w:jc w:val="center"/>
              <w:rPr>
                <w:color w:val="000000"/>
                <w:sz w:val="20"/>
                <w:szCs w:val="20"/>
              </w:rPr>
            </w:pPr>
            <w:r>
              <w:rPr>
                <w:color w:val="000000"/>
                <w:sz w:val="20"/>
                <w:szCs w:val="20"/>
              </w:rPr>
              <w:t>2010</w:t>
            </w:r>
          </w:p>
        </w:tc>
        <w:tc>
          <w:tcPr>
            <w:tcW w:w="39" w:type="dxa"/>
            <w:tcBorders>
              <w:top w:val="nil"/>
              <w:left w:val="nil"/>
              <w:bottom w:val="nil"/>
              <w:right w:val="nil"/>
            </w:tcBorders>
            <w:shd w:val="clear" w:color="auto" w:fill="auto"/>
            <w:vAlign w:val="bottom"/>
            <w:hideMark/>
          </w:tcPr>
          <w:p w:rsidR="00922926" w:rsidRDefault="00922926">
            <w:pPr>
              <w:rPr>
                <w:color w:val="000000"/>
                <w:sz w:val="20"/>
                <w:szCs w:val="20"/>
              </w:rPr>
            </w:pPr>
          </w:p>
        </w:tc>
        <w:tc>
          <w:tcPr>
            <w:tcW w:w="818" w:type="dxa"/>
            <w:tcBorders>
              <w:top w:val="nil"/>
              <w:left w:val="nil"/>
              <w:bottom w:val="single" w:sz="8" w:space="0" w:color="auto"/>
              <w:right w:val="nil"/>
            </w:tcBorders>
            <w:shd w:val="clear" w:color="auto" w:fill="auto"/>
            <w:vAlign w:val="bottom"/>
            <w:hideMark/>
          </w:tcPr>
          <w:p w:rsidR="00922926" w:rsidRDefault="00922926">
            <w:pPr>
              <w:jc w:val="center"/>
              <w:rPr>
                <w:color w:val="000000"/>
                <w:sz w:val="20"/>
                <w:szCs w:val="20"/>
              </w:rPr>
            </w:pPr>
            <w:proofErr w:type="spellStart"/>
            <w:r>
              <w:rPr>
                <w:color w:val="000000"/>
                <w:sz w:val="20"/>
                <w:szCs w:val="20"/>
              </w:rPr>
              <w:t>Incr</w:t>
            </w:r>
            <w:proofErr w:type="spellEnd"/>
            <w:r>
              <w:rPr>
                <w:color w:val="000000"/>
                <w:sz w:val="20"/>
                <w:szCs w:val="20"/>
              </w:rPr>
              <w:t xml:space="preserve"> (</w:t>
            </w:r>
            <w:proofErr w:type="spellStart"/>
            <w:r>
              <w:rPr>
                <w:color w:val="000000"/>
                <w:sz w:val="20"/>
                <w:szCs w:val="20"/>
              </w:rPr>
              <w:t>Decr</w:t>
            </w:r>
            <w:proofErr w:type="spellEnd"/>
            <w:r>
              <w:rPr>
                <w:color w:val="000000"/>
                <w:sz w:val="20"/>
                <w:szCs w:val="20"/>
              </w:rPr>
              <w:t>)</w:t>
            </w:r>
          </w:p>
        </w:tc>
        <w:tc>
          <w:tcPr>
            <w:tcW w:w="56" w:type="dxa"/>
            <w:tcBorders>
              <w:top w:val="nil"/>
              <w:left w:val="nil"/>
              <w:bottom w:val="nil"/>
              <w:right w:val="nil"/>
            </w:tcBorders>
            <w:shd w:val="clear" w:color="auto" w:fill="auto"/>
            <w:vAlign w:val="bottom"/>
            <w:hideMark/>
          </w:tcPr>
          <w:p w:rsidR="00922926" w:rsidRDefault="00922926">
            <w:pPr>
              <w:jc w:val="center"/>
              <w:rPr>
                <w:color w:val="000000"/>
                <w:sz w:val="20"/>
                <w:szCs w:val="20"/>
              </w:rPr>
            </w:pPr>
          </w:p>
        </w:tc>
        <w:tc>
          <w:tcPr>
            <w:tcW w:w="716" w:type="dxa"/>
            <w:tcBorders>
              <w:top w:val="nil"/>
              <w:left w:val="nil"/>
              <w:bottom w:val="single" w:sz="8" w:space="0" w:color="auto"/>
              <w:right w:val="nil"/>
            </w:tcBorders>
            <w:shd w:val="clear" w:color="auto" w:fill="auto"/>
            <w:vAlign w:val="bottom"/>
            <w:hideMark/>
          </w:tcPr>
          <w:p w:rsidR="00922926" w:rsidRDefault="00922926">
            <w:pPr>
              <w:jc w:val="center"/>
              <w:rPr>
                <w:color w:val="000000"/>
                <w:sz w:val="20"/>
                <w:szCs w:val="20"/>
              </w:rPr>
            </w:pPr>
            <w:r>
              <w:rPr>
                <w:color w:val="000000"/>
                <w:sz w:val="20"/>
                <w:szCs w:val="20"/>
              </w:rPr>
              <w:t>%</w:t>
            </w:r>
          </w:p>
        </w:tc>
      </w:tr>
      <w:tr w:rsidR="00922926" w:rsidTr="00922926">
        <w:trPr>
          <w:trHeight w:val="255"/>
        </w:trPr>
        <w:tc>
          <w:tcPr>
            <w:tcW w:w="1356" w:type="dxa"/>
            <w:tcBorders>
              <w:top w:val="nil"/>
              <w:left w:val="nil"/>
              <w:bottom w:val="nil"/>
              <w:right w:val="nil"/>
            </w:tcBorders>
            <w:shd w:val="clear" w:color="auto" w:fill="auto"/>
            <w:vAlign w:val="bottom"/>
            <w:hideMark/>
          </w:tcPr>
          <w:p w:rsidR="00922926" w:rsidRDefault="00922926">
            <w:pPr>
              <w:rPr>
                <w:color w:val="000000"/>
                <w:sz w:val="20"/>
                <w:szCs w:val="20"/>
              </w:rPr>
            </w:pPr>
            <w:r>
              <w:rPr>
                <w:color w:val="000000"/>
                <w:sz w:val="20"/>
                <w:szCs w:val="20"/>
              </w:rPr>
              <w:t>Notation</w:t>
            </w:r>
          </w:p>
        </w:tc>
        <w:tc>
          <w:tcPr>
            <w:tcW w:w="848" w:type="dxa"/>
            <w:tcBorders>
              <w:top w:val="nil"/>
              <w:left w:val="nil"/>
              <w:bottom w:val="nil"/>
              <w:right w:val="nil"/>
            </w:tcBorders>
            <w:shd w:val="clear" w:color="auto" w:fill="auto"/>
            <w:vAlign w:val="bottom"/>
            <w:hideMark/>
          </w:tcPr>
          <w:p w:rsidR="00922926" w:rsidRDefault="00922926">
            <w:pPr>
              <w:jc w:val="right"/>
              <w:rPr>
                <w:color w:val="000000"/>
                <w:sz w:val="20"/>
                <w:szCs w:val="20"/>
              </w:rPr>
            </w:pPr>
            <w:r>
              <w:rPr>
                <w:color w:val="000000"/>
                <w:sz w:val="20"/>
                <w:szCs w:val="20"/>
              </w:rPr>
              <w:t xml:space="preserve">$5,066 </w:t>
            </w:r>
          </w:p>
        </w:tc>
        <w:tc>
          <w:tcPr>
            <w:tcW w:w="27" w:type="dxa"/>
            <w:tcBorders>
              <w:top w:val="nil"/>
              <w:left w:val="nil"/>
              <w:bottom w:val="nil"/>
              <w:right w:val="nil"/>
            </w:tcBorders>
            <w:shd w:val="clear" w:color="auto" w:fill="auto"/>
            <w:vAlign w:val="bottom"/>
            <w:hideMark/>
          </w:tcPr>
          <w:p w:rsidR="00922926" w:rsidRDefault="00922926">
            <w:pPr>
              <w:rPr>
                <w:color w:val="000000"/>
                <w:sz w:val="20"/>
                <w:szCs w:val="20"/>
              </w:rPr>
            </w:pPr>
          </w:p>
        </w:tc>
        <w:tc>
          <w:tcPr>
            <w:tcW w:w="848" w:type="dxa"/>
            <w:tcBorders>
              <w:top w:val="nil"/>
              <w:left w:val="nil"/>
              <w:bottom w:val="nil"/>
              <w:right w:val="nil"/>
            </w:tcBorders>
            <w:shd w:val="clear" w:color="auto" w:fill="auto"/>
            <w:vAlign w:val="bottom"/>
            <w:hideMark/>
          </w:tcPr>
          <w:p w:rsidR="00922926" w:rsidRDefault="00922926">
            <w:pPr>
              <w:jc w:val="right"/>
              <w:rPr>
                <w:color w:val="000000"/>
                <w:sz w:val="20"/>
                <w:szCs w:val="20"/>
              </w:rPr>
            </w:pPr>
            <w:r>
              <w:rPr>
                <w:color w:val="000000"/>
                <w:sz w:val="20"/>
                <w:szCs w:val="20"/>
              </w:rPr>
              <w:t xml:space="preserve">$5,484 </w:t>
            </w:r>
          </w:p>
        </w:tc>
        <w:tc>
          <w:tcPr>
            <w:tcW w:w="39" w:type="dxa"/>
            <w:tcBorders>
              <w:top w:val="nil"/>
              <w:left w:val="nil"/>
              <w:bottom w:val="nil"/>
              <w:right w:val="nil"/>
            </w:tcBorders>
            <w:shd w:val="clear" w:color="auto" w:fill="auto"/>
            <w:vAlign w:val="bottom"/>
            <w:hideMark/>
          </w:tcPr>
          <w:p w:rsidR="00922926" w:rsidRDefault="00922926">
            <w:pPr>
              <w:rPr>
                <w:color w:val="000000"/>
                <w:sz w:val="20"/>
                <w:szCs w:val="20"/>
              </w:rPr>
            </w:pPr>
          </w:p>
        </w:tc>
        <w:tc>
          <w:tcPr>
            <w:tcW w:w="818" w:type="dxa"/>
            <w:tcBorders>
              <w:top w:val="nil"/>
              <w:left w:val="nil"/>
              <w:bottom w:val="nil"/>
              <w:right w:val="nil"/>
            </w:tcBorders>
            <w:shd w:val="clear" w:color="auto" w:fill="auto"/>
            <w:vAlign w:val="bottom"/>
            <w:hideMark/>
          </w:tcPr>
          <w:p w:rsidR="00922926" w:rsidRDefault="00922926">
            <w:pPr>
              <w:jc w:val="right"/>
              <w:rPr>
                <w:color w:val="000000"/>
                <w:sz w:val="20"/>
                <w:szCs w:val="20"/>
              </w:rPr>
            </w:pPr>
            <w:r>
              <w:rPr>
                <w:color w:val="FF0000"/>
                <w:sz w:val="20"/>
                <w:szCs w:val="20"/>
              </w:rPr>
              <w:t>($418)</w:t>
            </w:r>
          </w:p>
        </w:tc>
        <w:tc>
          <w:tcPr>
            <w:tcW w:w="56" w:type="dxa"/>
            <w:tcBorders>
              <w:top w:val="nil"/>
              <w:left w:val="nil"/>
              <w:bottom w:val="nil"/>
              <w:right w:val="nil"/>
            </w:tcBorders>
            <w:shd w:val="clear" w:color="auto" w:fill="auto"/>
            <w:vAlign w:val="bottom"/>
            <w:hideMark/>
          </w:tcPr>
          <w:p w:rsidR="00922926" w:rsidRDefault="00922926">
            <w:pPr>
              <w:rPr>
                <w:color w:val="000000"/>
                <w:sz w:val="20"/>
                <w:szCs w:val="20"/>
              </w:rPr>
            </w:pPr>
          </w:p>
        </w:tc>
        <w:tc>
          <w:tcPr>
            <w:tcW w:w="716" w:type="dxa"/>
            <w:tcBorders>
              <w:top w:val="nil"/>
              <w:left w:val="nil"/>
              <w:bottom w:val="nil"/>
              <w:right w:val="nil"/>
            </w:tcBorders>
            <w:shd w:val="clear" w:color="auto" w:fill="auto"/>
            <w:vAlign w:val="bottom"/>
            <w:hideMark/>
          </w:tcPr>
          <w:p w:rsidR="00922926" w:rsidRDefault="00922926">
            <w:pPr>
              <w:jc w:val="right"/>
              <w:rPr>
                <w:color w:val="000000"/>
                <w:sz w:val="20"/>
                <w:szCs w:val="20"/>
              </w:rPr>
            </w:pPr>
            <w:r>
              <w:rPr>
                <w:color w:val="000000"/>
                <w:sz w:val="20"/>
                <w:szCs w:val="20"/>
              </w:rPr>
              <w:t>-8%</w:t>
            </w:r>
          </w:p>
        </w:tc>
      </w:tr>
      <w:tr w:rsidR="00922926" w:rsidTr="00922926">
        <w:trPr>
          <w:trHeight w:val="255"/>
        </w:trPr>
        <w:tc>
          <w:tcPr>
            <w:tcW w:w="1356" w:type="dxa"/>
            <w:tcBorders>
              <w:top w:val="nil"/>
              <w:left w:val="nil"/>
              <w:bottom w:val="nil"/>
              <w:right w:val="nil"/>
            </w:tcBorders>
            <w:shd w:val="clear" w:color="auto" w:fill="auto"/>
            <w:vAlign w:val="bottom"/>
            <w:hideMark/>
          </w:tcPr>
          <w:p w:rsidR="00922926" w:rsidRDefault="00922926">
            <w:pPr>
              <w:rPr>
                <w:color w:val="000000"/>
                <w:sz w:val="20"/>
                <w:szCs w:val="20"/>
              </w:rPr>
            </w:pPr>
            <w:proofErr w:type="spellStart"/>
            <w:r>
              <w:rPr>
                <w:color w:val="000000"/>
                <w:sz w:val="20"/>
                <w:szCs w:val="20"/>
              </w:rPr>
              <w:t>SmartMusic</w:t>
            </w:r>
            <w:proofErr w:type="spellEnd"/>
          </w:p>
        </w:tc>
        <w:tc>
          <w:tcPr>
            <w:tcW w:w="848" w:type="dxa"/>
            <w:tcBorders>
              <w:top w:val="nil"/>
              <w:left w:val="nil"/>
              <w:bottom w:val="nil"/>
              <w:right w:val="nil"/>
            </w:tcBorders>
            <w:shd w:val="clear" w:color="auto" w:fill="auto"/>
            <w:vAlign w:val="bottom"/>
            <w:hideMark/>
          </w:tcPr>
          <w:p w:rsidR="00922926" w:rsidRDefault="00922926">
            <w:pPr>
              <w:jc w:val="right"/>
              <w:rPr>
                <w:color w:val="000000"/>
                <w:sz w:val="20"/>
                <w:szCs w:val="20"/>
              </w:rPr>
            </w:pPr>
            <w:r>
              <w:rPr>
                <w:color w:val="000000"/>
                <w:sz w:val="20"/>
                <w:szCs w:val="20"/>
              </w:rPr>
              <w:t xml:space="preserve">1,492 </w:t>
            </w:r>
          </w:p>
        </w:tc>
        <w:tc>
          <w:tcPr>
            <w:tcW w:w="27" w:type="dxa"/>
            <w:tcBorders>
              <w:top w:val="nil"/>
              <w:left w:val="nil"/>
              <w:bottom w:val="nil"/>
              <w:right w:val="nil"/>
            </w:tcBorders>
            <w:shd w:val="clear" w:color="auto" w:fill="auto"/>
            <w:vAlign w:val="bottom"/>
            <w:hideMark/>
          </w:tcPr>
          <w:p w:rsidR="00922926" w:rsidRDefault="00922926">
            <w:pPr>
              <w:rPr>
                <w:color w:val="000000"/>
                <w:sz w:val="20"/>
                <w:szCs w:val="20"/>
              </w:rPr>
            </w:pPr>
          </w:p>
        </w:tc>
        <w:tc>
          <w:tcPr>
            <w:tcW w:w="848" w:type="dxa"/>
            <w:tcBorders>
              <w:top w:val="nil"/>
              <w:left w:val="nil"/>
              <w:bottom w:val="nil"/>
              <w:right w:val="nil"/>
            </w:tcBorders>
            <w:shd w:val="clear" w:color="auto" w:fill="auto"/>
            <w:vAlign w:val="bottom"/>
            <w:hideMark/>
          </w:tcPr>
          <w:p w:rsidR="00922926" w:rsidRDefault="00922926">
            <w:pPr>
              <w:jc w:val="right"/>
              <w:rPr>
                <w:color w:val="000000"/>
                <w:sz w:val="20"/>
                <w:szCs w:val="20"/>
              </w:rPr>
            </w:pPr>
            <w:r>
              <w:rPr>
                <w:color w:val="000000"/>
                <w:sz w:val="20"/>
                <w:szCs w:val="20"/>
              </w:rPr>
              <w:t xml:space="preserve">685 </w:t>
            </w:r>
          </w:p>
        </w:tc>
        <w:tc>
          <w:tcPr>
            <w:tcW w:w="39" w:type="dxa"/>
            <w:tcBorders>
              <w:top w:val="nil"/>
              <w:left w:val="nil"/>
              <w:bottom w:val="nil"/>
              <w:right w:val="nil"/>
            </w:tcBorders>
            <w:shd w:val="clear" w:color="auto" w:fill="auto"/>
            <w:vAlign w:val="bottom"/>
            <w:hideMark/>
          </w:tcPr>
          <w:p w:rsidR="00922926" w:rsidRDefault="00922926">
            <w:pPr>
              <w:rPr>
                <w:color w:val="000000"/>
                <w:sz w:val="20"/>
                <w:szCs w:val="20"/>
              </w:rPr>
            </w:pPr>
          </w:p>
        </w:tc>
        <w:tc>
          <w:tcPr>
            <w:tcW w:w="818" w:type="dxa"/>
            <w:tcBorders>
              <w:top w:val="nil"/>
              <w:left w:val="nil"/>
              <w:bottom w:val="nil"/>
              <w:right w:val="nil"/>
            </w:tcBorders>
            <w:shd w:val="clear" w:color="auto" w:fill="auto"/>
            <w:vAlign w:val="bottom"/>
            <w:hideMark/>
          </w:tcPr>
          <w:p w:rsidR="00922926" w:rsidRDefault="00922926">
            <w:pPr>
              <w:jc w:val="right"/>
              <w:rPr>
                <w:color w:val="000000"/>
                <w:sz w:val="20"/>
                <w:szCs w:val="20"/>
              </w:rPr>
            </w:pPr>
            <w:r>
              <w:rPr>
                <w:color w:val="000000"/>
                <w:sz w:val="20"/>
                <w:szCs w:val="20"/>
              </w:rPr>
              <w:t xml:space="preserve">807 </w:t>
            </w:r>
          </w:p>
        </w:tc>
        <w:tc>
          <w:tcPr>
            <w:tcW w:w="56" w:type="dxa"/>
            <w:tcBorders>
              <w:top w:val="nil"/>
              <w:left w:val="nil"/>
              <w:bottom w:val="nil"/>
              <w:right w:val="nil"/>
            </w:tcBorders>
            <w:shd w:val="clear" w:color="auto" w:fill="auto"/>
            <w:vAlign w:val="bottom"/>
            <w:hideMark/>
          </w:tcPr>
          <w:p w:rsidR="00922926" w:rsidRDefault="00922926">
            <w:pPr>
              <w:rPr>
                <w:color w:val="000000"/>
                <w:sz w:val="20"/>
                <w:szCs w:val="20"/>
              </w:rPr>
            </w:pPr>
          </w:p>
        </w:tc>
        <w:tc>
          <w:tcPr>
            <w:tcW w:w="716" w:type="dxa"/>
            <w:tcBorders>
              <w:top w:val="nil"/>
              <w:left w:val="nil"/>
              <w:bottom w:val="nil"/>
              <w:right w:val="nil"/>
            </w:tcBorders>
            <w:shd w:val="clear" w:color="auto" w:fill="auto"/>
            <w:vAlign w:val="bottom"/>
            <w:hideMark/>
          </w:tcPr>
          <w:p w:rsidR="00922926" w:rsidRDefault="00922926">
            <w:pPr>
              <w:jc w:val="right"/>
              <w:rPr>
                <w:color w:val="000000"/>
                <w:sz w:val="20"/>
                <w:szCs w:val="20"/>
              </w:rPr>
            </w:pPr>
            <w:r>
              <w:rPr>
                <w:color w:val="000000"/>
                <w:sz w:val="20"/>
                <w:szCs w:val="20"/>
              </w:rPr>
              <w:t>118%</w:t>
            </w:r>
          </w:p>
        </w:tc>
      </w:tr>
      <w:tr w:rsidR="00922926" w:rsidTr="00922926">
        <w:trPr>
          <w:trHeight w:val="255"/>
        </w:trPr>
        <w:tc>
          <w:tcPr>
            <w:tcW w:w="1356" w:type="dxa"/>
            <w:tcBorders>
              <w:top w:val="nil"/>
              <w:left w:val="nil"/>
              <w:bottom w:val="nil"/>
              <w:right w:val="nil"/>
            </w:tcBorders>
            <w:shd w:val="clear" w:color="auto" w:fill="auto"/>
            <w:vAlign w:val="bottom"/>
            <w:hideMark/>
          </w:tcPr>
          <w:p w:rsidR="00922926" w:rsidRDefault="00922926">
            <w:pPr>
              <w:rPr>
                <w:color w:val="000000"/>
                <w:sz w:val="20"/>
                <w:szCs w:val="20"/>
              </w:rPr>
            </w:pPr>
            <w:r>
              <w:rPr>
                <w:color w:val="000000"/>
                <w:sz w:val="20"/>
                <w:szCs w:val="20"/>
              </w:rPr>
              <w:t>Other</w:t>
            </w:r>
          </w:p>
        </w:tc>
        <w:tc>
          <w:tcPr>
            <w:tcW w:w="848" w:type="dxa"/>
            <w:tcBorders>
              <w:top w:val="nil"/>
              <w:left w:val="nil"/>
              <w:bottom w:val="nil"/>
              <w:right w:val="nil"/>
            </w:tcBorders>
            <w:shd w:val="clear" w:color="auto" w:fill="auto"/>
            <w:vAlign w:val="bottom"/>
            <w:hideMark/>
          </w:tcPr>
          <w:p w:rsidR="00922926" w:rsidRDefault="00922926">
            <w:pPr>
              <w:jc w:val="right"/>
              <w:rPr>
                <w:color w:val="000000"/>
                <w:sz w:val="20"/>
                <w:szCs w:val="20"/>
              </w:rPr>
            </w:pPr>
            <w:r>
              <w:rPr>
                <w:color w:val="FF0000"/>
                <w:sz w:val="20"/>
                <w:szCs w:val="20"/>
              </w:rPr>
              <w:t>(6,419)</w:t>
            </w:r>
          </w:p>
        </w:tc>
        <w:tc>
          <w:tcPr>
            <w:tcW w:w="27" w:type="dxa"/>
            <w:tcBorders>
              <w:top w:val="nil"/>
              <w:left w:val="nil"/>
              <w:bottom w:val="nil"/>
              <w:right w:val="nil"/>
            </w:tcBorders>
            <w:shd w:val="clear" w:color="auto" w:fill="auto"/>
            <w:vAlign w:val="bottom"/>
            <w:hideMark/>
          </w:tcPr>
          <w:p w:rsidR="00922926" w:rsidRDefault="00922926">
            <w:pPr>
              <w:rPr>
                <w:color w:val="000000"/>
                <w:sz w:val="20"/>
                <w:szCs w:val="20"/>
              </w:rPr>
            </w:pPr>
          </w:p>
        </w:tc>
        <w:tc>
          <w:tcPr>
            <w:tcW w:w="848" w:type="dxa"/>
            <w:tcBorders>
              <w:top w:val="nil"/>
              <w:left w:val="nil"/>
              <w:bottom w:val="nil"/>
              <w:right w:val="nil"/>
            </w:tcBorders>
            <w:shd w:val="clear" w:color="auto" w:fill="auto"/>
            <w:vAlign w:val="bottom"/>
            <w:hideMark/>
          </w:tcPr>
          <w:p w:rsidR="00922926" w:rsidRDefault="00922926">
            <w:pPr>
              <w:jc w:val="right"/>
              <w:rPr>
                <w:color w:val="000000"/>
                <w:sz w:val="20"/>
                <w:szCs w:val="20"/>
              </w:rPr>
            </w:pPr>
            <w:r>
              <w:rPr>
                <w:color w:val="FF0000"/>
                <w:sz w:val="20"/>
                <w:szCs w:val="20"/>
              </w:rPr>
              <w:t>(5,693)</w:t>
            </w:r>
          </w:p>
        </w:tc>
        <w:tc>
          <w:tcPr>
            <w:tcW w:w="39" w:type="dxa"/>
            <w:tcBorders>
              <w:top w:val="nil"/>
              <w:left w:val="nil"/>
              <w:bottom w:val="nil"/>
              <w:right w:val="nil"/>
            </w:tcBorders>
            <w:shd w:val="clear" w:color="auto" w:fill="auto"/>
            <w:vAlign w:val="bottom"/>
            <w:hideMark/>
          </w:tcPr>
          <w:p w:rsidR="00922926" w:rsidRDefault="00922926">
            <w:pPr>
              <w:rPr>
                <w:color w:val="000000"/>
                <w:sz w:val="20"/>
                <w:szCs w:val="20"/>
              </w:rPr>
            </w:pPr>
          </w:p>
        </w:tc>
        <w:tc>
          <w:tcPr>
            <w:tcW w:w="818" w:type="dxa"/>
            <w:tcBorders>
              <w:top w:val="nil"/>
              <w:left w:val="nil"/>
              <w:bottom w:val="nil"/>
              <w:right w:val="nil"/>
            </w:tcBorders>
            <w:shd w:val="clear" w:color="auto" w:fill="auto"/>
            <w:vAlign w:val="bottom"/>
            <w:hideMark/>
          </w:tcPr>
          <w:p w:rsidR="00922926" w:rsidRDefault="00922926">
            <w:pPr>
              <w:jc w:val="right"/>
              <w:rPr>
                <w:color w:val="000000"/>
                <w:sz w:val="20"/>
                <w:szCs w:val="20"/>
              </w:rPr>
            </w:pPr>
            <w:r>
              <w:rPr>
                <w:color w:val="FF0000"/>
                <w:sz w:val="20"/>
                <w:szCs w:val="20"/>
              </w:rPr>
              <w:t>(726)</w:t>
            </w:r>
          </w:p>
        </w:tc>
        <w:tc>
          <w:tcPr>
            <w:tcW w:w="56" w:type="dxa"/>
            <w:tcBorders>
              <w:top w:val="nil"/>
              <w:left w:val="nil"/>
              <w:bottom w:val="nil"/>
              <w:right w:val="nil"/>
            </w:tcBorders>
            <w:shd w:val="clear" w:color="auto" w:fill="auto"/>
            <w:vAlign w:val="bottom"/>
            <w:hideMark/>
          </w:tcPr>
          <w:p w:rsidR="00922926" w:rsidRDefault="00922926">
            <w:pPr>
              <w:rPr>
                <w:color w:val="000000"/>
                <w:sz w:val="20"/>
                <w:szCs w:val="20"/>
              </w:rPr>
            </w:pPr>
          </w:p>
        </w:tc>
        <w:tc>
          <w:tcPr>
            <w:tcW w:w="716" w:type="dxa"/>
            <w:tcBorders>
              <w:top w:val="nil"/>
              <w:left w:val="nil"/>
              <w:bottom w:val="nil"/>
              <w:right w:val="nil"/>
            </w:tcBorders>
            <w:shd w:val="clear" w:color="auto" w:fill="auto"/>
            <w:vAlign w:val="bottom"/>
            <w:hideMark/>
          </w:tcPr>
          <w:p w:rsidR="00922926" w:rsidRDefault="00922926">
            <w:pPr>
              <w:jc w:val="right"/>
              <w:rPr>
                <w:color w:val="000000"/>
                <w:sz w:val="20"/>
                <w:szCs w:val="20"/>
              </w:rPr>
            </w:pPr>
            <w:r>
              <w:rPr>
                <w:color w:val="000000"/>
                <w:sz w:val="20"/>
                <w:szCs w:val="20"/>
              </w:rPr>
              <w:t>13%</w:t>
            </w:r>
          </w:p>
        </w:tc>
      </w:tr>
      <w:tr w:rsidR="00922926" w:rsidTr="00922926">
        <w:trPr>
          <w:trHeight w:val="270"/>
        </w:trPr>
        <w:tc>
          <w:tcPr>
            <w:tcW w:w="1356" w:type="dxa"/>
            <w:tcBorders>
              <w:top w:val="nil"/>
              <w:left w:val="nil"/>
              <w:bottom w:val="nil"/>
              <w:right w:val="nil"/>
            </w:tcBorders>
            <w:shd w:val="clear" w:color="auto" w:fill="auto"/>
            <w:noWrap/>
            <w:vAlign w:val="bottom"/>
            <w:hideMark/>
          </w:tcPr>
          <w:p w:rsidR="00922926" w:rsidRDefault="00922926">
            <w:pPr>
              <w:rPr>
                <w:sz w:val="20"/>
                <w:szCs w:val="20"/>
              </w:rPr>
            </w:pPr>
            <w:r>
              <w:rPr>
                <w:sz w:val="20"/>
                <w:szCs w:val="20"/>
              </w:rPr>
              <w:t>Total</w:t>
            </w:r>
          </w:p>
        </w:tc>
        <w:tc>
          <w:tcPr>
            <w:tcW w:w="848" w:type="dxa"/>
            <w:tcBorders>
              <w:top w:val="single" w:sz="4" w:space="0" w:color="auto"/>
              <w:left w:val="nil"/>
              <w:bottom w:val="double" w:sz="6" w:space="0" w:color="auto"/>
              <w:right w:val="nil"/>
            </w:tcBorders>
            <w:shd w:val="clear" w:color="auto" w:fill="auto"/>
            <w:noWrap/>
            <w:vAlign w:val="bottom"/>
            <w:hideMark/>
          </w:tcPr>
          <w:p w:rsidR="00922926" w:rsidRDefault="00922926">
            <w:pPr>
              <w:jc w:val="right"/>
              <w:rPr>
                <w:sz w:val="20"/>
                <w:szCs w:val="20"/>
              </w:rPr>
            </w:pPr>
            <w:r>
              <w:rPr>
                <w:sz w:val="20"/>
                <w:szCs w:val="20"/>
              </w:rPr>
              <w:t xml:space="preserve">$139 </w:t>
            </w:r>
          </w:p>
        </w:tc>
        <w:tc>
          <w:tcPr>
            <w:tcW w:w="27" w:type="dxa"/>
            <w:tcBorders>
              <w:top w:val="nil"/>
              <w:left w:val="nil"/>
              <w:bottom w:val="nil"/>
              <w:right w:val="nil"/>
            </w:tcBorders>
            <w:shd w:val="clear" w:color="auto" w:fill="auto"/>
            <w:noWrap/>
            <w:vAlign w:val="bottom"/>
            <w:hideMark/>
          </w:tcPr>
          <w:p w:rsidR="00922926" w:rsidRDefault="00922926">
            <w:pPr>
              <w:rPr>
                <w:sz w:val="20"/>
                <w:szCs w:val="20"/>
              </w:rPr>
            </w:pPr>
          </w:p>
        </w:tc>
        <w:tc>
          <w:tcPr>
            <w:tcW w:w="848" w:type="dxa"/>
            <w:tcBorders>
              <w:top w:val="single" w:sz="4" w:space="0" w:color="auto"/>
              <w:left w:val="nil"/>
              <w:bottom w:val="double" w:sz="6" w:space="0" w:color="auto"/>
              <w:right w:val="nil"/>
            </w:tcBorders>
            <w:shd w:val="clear" w:color="auto" w:fill="auto"/>
            <w:noWrap/>
            <w:vAlign w:val="bottom"/>
            <w:hideMark/>
          </w:tcPr>
          <w:p w:rsidR="00922926" w:rsidRDefault="00922926">
            <w:pPr>
              <w:jc w:val="right"/>
              <w:rPr>
                <w:sz w:val="20"/>
                <w:szCs w:val="20"/>
              </w:rPr>
            </w:pPr>
            <w:r>
              <w:rPr>
                <w:sz w:val="20"/>
                <w:szCs w:val="20"/>
              </w:rPr>
              <w:t xml:space="preserve">$476 </w:t>
            </w:r>
          </w:p>
        </w:tc>
        <w:tc>
          <w:tcPr>
            <w:tcW w:w="39" w:type="dxa"/>
            <w:tcBorders>
              <w:top w:val="nil"/>
              <w:left w:val="nil"/>
              <w:bottom w:val="nil"/>
              <w:right w:val="nil"/>
            </w:tcBorders>
            <w:shd w:val="clear" w:color="auto" w:fill="auto"/>
            <w:noWrap/>
            <w:vAlign w:val="bottom"/>
            <w:hideMark/>
          </w:tcPr>
          <w:p w:rsidR="00922926" w:rsidRDefault="00922926">
            <w:pPr>
              <w:rPr>
                <w:sz w:val="20"/>
                <w:szCs w:val="20"/>
              </w:rPr>
            </w:pPr>
          </w:p>
        </w:tc>
        <w:tc>
          <w:tcPr>
            <w:tcW w:w="818" w:type="dxa"/>
            <w:tcBorders>
              <w:top w:val="single" w:sz="4" w:space="0" w:color="auto"/>
              <w:left w:val="nil"/>
              <w:bottom w:val="double" w:sz="6" w:space="0" w:color="auto"/>
              <w:right w:val="nil"/>
            </w:tcBorders>
            <w:shd w:val="clear" w:color="auto" w:fill="auto"/>
            <w:noWrap/>
            <w:vAlign w:val="bottom"/>
            <w:hideMark/>
          </w:tcPr>
          <w:p w:rsidR="00922926" w:rsidRDefault="00922926">
            <w:pPr>
              <w:jc w:val="right"/>
              <w:rPr>
                <w:sz w:val="20"/>
                <w:szCs w:val="20"/>
              </w:rPr>
            </w:pPr>
            <w:r>
              <w:rPr>
                <w:color w:val="FF0000"/>
                <w:sz w:val="20"/>
                <w:szCs w:val="20"/>
              </w:rPr>
              <w:t>($337)</w:t>
            </w:r>
          </w:p>
        </w:tc>
        <w:tc>
          <w:tcPr>
            <w:tcW w:w="56" w:type="dxa"/>
            <w:tcBorders>
              <w:top w:val="nil"/>
              <w:left w:val="nil"/>
              <w:bottom w:val="nil"/>
              <w:right w:val="nil"/>
            </w:tcBorders>
            <w:shd w:val="clear" w:color="auto" w:fill="auto"/>
            <w:noWrap/>
            <w:vAlign w:val="bottom"/>
            <w:hideMark/>
          </w:tcPr>
          <w:p w:rsidR="00922926" w:rsidRDefault="00922926">
            <w:pPr>
              <w:rPr>
                <w:sz w:val="20"/>
                <w:szCs w:val="20"/>
              </w:rPr>
            </w:pPr>
          </w:p>
        </w:tc>
        <w:tc>
          <w:tcPr>
            <w:tcW w:w="716" w:type="dxa"/>
            <w:tcBorders>
              <w:top w:val="single" w:sz="4" w:space="0" w:color="auto"/>
              <w:left w:val="nil"/>
              <w:bottom w:val="double" w:sz="6" w:space="0" w:color="auto"/>
              <w:right w:val="nil"/>
            </w:tcBorders>
            <w:shd w:val="clear" w:color="auto" w:fill="auto"/>
            <w:noWrap/>
            <w:vAlign w:val="bottom"/>
            <w:hideMark/>
          </w:tcPr>
          <w:p w:rsidR="00922926" w:rsidRDefault="00922926">
            <w:pPr>
              <w:jc w:val="right"/>
              <w:rPr>
                <w:sz w:val="20"/>
                <w:szCs w:val="20"/>
              </w:rPr>
            </w:pPr>
            <w:r>
              <w:rPr>
                <w:sz w:val="20"/>
                <w:szCs w:val="20"/>
              </w:rPr>
              <w:t>-71%</w:t>
            </w:r>
          </w:p>
        </w:tc>
      </w:tr>
    </w:tbl>
    <w:p w:rsidR="004851D7" w:rsidRDefault="004851D7" w:rsidP="00C25CD1">
      <w:pPr>
        <w:spacing w:after="240"/>
        <w:rPr>
          <w:color w:val="000000"/>
          <w:sz w:val="20"/>
        </w:rPr>
      </w:pPr>
    </w:p>
    <w:p w:rsidR="004851D7" w:rsidRDefault="004851D7">
      <w:pPr>
        <w:pStyle w:val="BodyText"/>
        <w:widowControl/>
        <w:ind w:firstLine="720"/>
        <w:rPr>
          <w:rFonts w:ascii="Times New Roman" w:hAnsi="Times New Roman"/>
          <w:color w:val="000000"/>
          <w:sz w:val="20"/>
        </w:rPr>
      </w:pPr>
      <w:r>
        <w:rPr>
          <w:color w:val="000000"/>
          <w:sz w:val="20"/>
        </w:rPr>
        <w:t>Net income from operations decreased from $</w:t>
      </w:r>
      <w:r w:rsidR="00922926">
        <w:rPr>
          <w:color w:val="000000"/>
          <w:sz w:val="20"/>
        </w:rPr>
        <w:t>476</w:t>
      </w:r>
      <w:r>
        <w:rPr>
          <w:color w:val="000000"/>
          <w:sz w:val="20"/>
        </w:rPr>
        <w:t xml:space="preserve">,000 in </w:t>
      </w:r>
      <w:r w:rsidR="00922926">
        <w:rPr>
          <w:color w:val="000000"/>
          <w:sz w:val="20"/>
        </w:rPr>
        <w:t xml:space="preserve">2010 </w:t>
      </w:r>
      <w:r>
        <w:rPr>
          <w:color w:val="000000"/>
          <w:sz w:val="20"/>
        </w:rPr>
        <w:t>to $</w:t>
      </w:r>
      <w:r w:rsidR="00922926">
        <w:rPr>
          <w:color w:val="000000"/>
          <w:sz w:val="20"/>
        </w:rPr>
        <w:t>139</w:t>
      </w:r>
      <w:r>
        <w:rPr>
          <w:color w:val="000000"/>
          <w:sz w:val="20"/>
        </w:rPr>
        <w:t xml:space="preserve">,000 in </w:t>
      </w:r>
      <w:r w:rsidR="00922926">
        <w:rPr>
          <w:color w:val="000000"/>
          <w:sz w:val="20"/>
        </w:rPr>
        <w:t>2011</w:t>
      </w:r>
      <w:r>
        <w:rPr>
          <w:color w:val="000000"/>
          <w:sz w:val="20"/>
        </w:rPr>
        <w:t xml:space="preserve">. </w:t>
      </w:r>
      <w:r>
        <w:rPr>
          <w:rFonts w:ascii="Times New Roman" w:hAnsi="Times New Roman"/>
          <w:color w:val="000000"/>
          <w:sz w:val="20"/>
        </w:rPr>
        <w:t xml:space="preserve">The decline in operating </w:t>
      </w:r>
      <w:r w:rsidR="00F63F43">
        <w:rPr>
          <w:rFonts w:ascii="Times New Roman" w:hAnsi="Times New Roman"/>
          <w:color w:val="000000"/>
          <w:sz w:val="20"/>
        </w:rPr>
        <w:t xml:space="preserve">income </w:t>
      </w:r>
      <w:r>
        <w:rPr>
          <w:rFonts w:ascii="Times New Roman" w:hAnsi="Times New Roman"/>
          <w:color w:val="000000"/>
          <w:sz w:val="20"/>
        </w:rPr>
        <w:t xml:space="preserve">was primarily due to </w:t>
      </w:r>
      <w:r w:rsidR="00F63F43">
        <w:rPr>
          <w:rFonts w:ascii="Times New Roman" w:hAnsi="Times New Roman"/>
          <w:color w:val="000000"/>
          <w:sz w:val="20"/>
        </w:rPr>
        <w:t xml:space="preserve">the decrease of </w:t>
      </w:r>
      <w:r w:rsidR="00533422">
        <w:rPr>
          <w:rFonts w:ascii="Times New Roman" w:hAnsi="Times New Roman"/>
          <w:color w:val="000000"/>
          <w:sz w:val="20"/>
        </w:rPr>
        <w:t>$</w:t>
      </w:r>
      <w:r w:rsidR="00F63F43">
        <w:rPr>
          <w:rFonts w:ascii="Times New Roman" w:hAnsi="Times New Roman"/>
          <w:color w:val="000000"/>
          <w:sz w:val="20"/>
        </w:rPr>
        <w:t>154</w:t>
      </w:r>
      <w:r w:rsidR="00533422">
        <w:rPr>
          <w:rFonts w:ascii="Times New Roman" w:hAnsi="Times New Roman"/>
          <w:color w:val="000000"/>
          <w:sz w:val="20"/>
        </w:rPr>
        <w:t>,000</w:t>
      </w:r>
      <w:r w:rsidR="00922926">
        <w:rPr>
          <w:rFonts w:ascii="Times New Roman" w:hAnsi="Times New Roman"/>
          <w:color w:val="000000"/>
          <w:sz w:val="20"/>
        </w:rPr>
        <w:t xml:space="preserve"> </w:t>
      </w:r>
      <w:r w:rsidR="00F63F43">
        <w:rPr>
          <w:rFonts w:ascii="Times New Roman" w:hAnsi="Times New Roman"/>
          <w:color w:val="000000"/>
          <w:sz w:val="20"/>
        </w:rPr>
        <w:t xml:space="preserve">in revenue </w:t>
      </w:r>
      <w:r w:rsidR="00922926">
        <w:rPr>
          <w:rFonts w:ascii="Times New Roman" w:hAnsi="Times New Roman"/>
          <w:color w:val="000000"/>
          <w:sz w:val="20"/>
        </w:rPr>
        <w:t xml:space="preserve">and </w:t>
      </w:r>
      <w:r>
        <w:rPr>
          <w:rFonts w:ascii="Times New Roman" w:hAnsi="Times New Roman"/>
          <w:color w:val="000000"/>
          <w:sz w:val="20"/>
        </w:rPr>
        <w:t>the overall increase</w:t>
      </w:r>
      <w:r w:rsidR="003B4A3C">
        <w:rPr>
          <w:rFonts w:ascii="Times New Roman" w:hAnsi="Times New Roman"/>
          <w:color w:val="000000"/>
          <w:sz w:val="20"/>
        </w:rPr>
        <w:t xml:space="preserve"> of $259</w:t>
      </w:r>
      <w:r w:rsidR="00533422">
        <w:rPr>
          <w:rFonts w:ascii="Times New Roman" w:hAnsi="Times New Roman"/>
          <w:color w:val="000000"/>
          <w:sz w:val="20"/>
        </w:rPr>
        <w:t>,000</w:t>
      </w:r>
      <w:r>
        <w:rPr>
          <w:rFonts w:ascii="Times New Roman" w:hAnsi="Times New Roman"/>
          <w:color w:val="000000"/>
          <w:sz w:val="20"/>
        </w:rPr>
        <w:t xml:space="preserve"> in operating expenses, when compared to the same period last year.</w:t>
      </w:r>
    </w:p>
    <w:p w:rsidR="004851D7" w:rsidRDefault="004851D7">
      <w:pPr>
        <w:pStyle w:val="BodyText"/>
        <w:widowControl/>
        <w:ind w:firstLine="720"/>
        <w:rPr>
          <w:rFonts w:ascii="Times New Roman" w:hAnsi="Times New Roman"/>
          <w:color w:val="000000"/>
          <w:sz w:val="20"/>
        </w:rPr>
      </w:pPr>
    </w:p>
    <w:p w:rsidR="004851D7" w:rsidRDefault="004851D7">
      <w:pPr>
        <w:pStyle w:val="BodyText"/>
        <w:widowControl/>
        <w:ind w:firstLine="720"/>
        <w:rPr>
          <w:rFonts w:ascii="Times New Roman" w:hAnsi="Times New Roman"/>
          <w:color w:val="000000"/>
          <w:sz w:val="20"/>
        </w:rPr>
      </w:pPr>
      <w:r>
        <w:rPr>
          <w:rFonts w:ascii="Times New Roman" w:hAnsi="Times New Roman"/>
          <w:color w:val="000000"/>
          <w:sz w:val="20"/>
        </w:rPr>
        <w:t>The notation segment net income decreased from $</w:t>
      </w:r>
      <w:r w:rsidR="00922926">
        <w:rPr>
          <w:rFonts w:ascii="Times New Roman" w:hAnsi="Times New Roman"/>
          <w:color w:val="000000"/>
          <w:sz w:val="20"/>
        </w:rPr>
        <w:t>5,484</w:t>
      </w:r>
      <w:r>
        <w:rPr>
          <w:rFonts w:ascii="Times New Roman" w:hAnsi="Times New Roman"/>
          <w:color w:val="000000"/>
          <w:sz w:val="20"/>
        </w:rPr>
        <w:t xml:space="preserve">,000 in </w:t>
      </w:r>
      <w:r w:rsidR="00922926">
        <w:rPr>
          <w:rFonts w:ascii="Times New Roman" w:hAnsi="Times New Roman"/>
          <w:color w:val="000000"/>
          <w:sz w:val="20"/>
        </w:rPr>
        <w:t xml:space="preserve">2010 </w:t>
      </w:r>
      <w:r>
        <w:rPr>
          <w:rFonts w:ascii="Times New Roman" w:hAnsi="Times New Roman"/>
          <w:color w:val="000000"/>
          <w:sz w:val="20"/>
        </w:rPr>
        <w:t>to $</w:t>
      </w:r>
      <w:r w:rsidR="00922926">
        <w:rPr>
          <w:rFonts w:ascii="Times New Roman" w:hAnsi="Times New Roman"/>
          <w:color w:val="000000"/>
          <w:sz w:val="20"/>
        </w:rPr>
        <w:t>5,066</w:t>
      </w:r>
      <w:r>
        <w:rPr>
          <w:rFonts w:ascii="Times New Roman" w:hAnsi="Times New Roman"/>
          <w:color w:val="000000"/>
          <w:sz w:val="20"/>
        </w:rPr>
        <w:t>,000 in 201</w:t>
      </w:r>
      <w:r w:rsidR="00922926">
        <w:rPr>
          <w:rFonts w:ascii="Times New Roman" w:hAnsi="Times New Roman"/>
          <w:color w:val="000000"/>
          <w:sz w:val="20"/>
        </w:rPr>
        <w:t>1</w:t>
      </w:r>
      <w:r w:rsidR="00F63F43">
        <w:rPr>
          <w:rFonts w:ascii="Times New Roman" w:hAnsi="Times New Roman"/>
          <w:color w:val="000000"/>
          <w:sz w:val="20"/>
        </w:rPr>
        <w:t xml:space="preserve">. The decrease was </w:t>
      </w:r>
      <w:r>
        <w:rPr>
          <w:rFonts w:ascii="Times New Roman" w:hAnsi="Times New Roman"/>
          <w:color w:val="000000"/>
          <w:sz w:val="20"/>
        </w:rPr>
        <w:t xml:space="preserve">primarily </w:t>
      </w:r>
      <w:r w:rsidR="00F63F43">
        <w:rPr>
          <w:rFonts w:ascii="Times New Roman" w:hAnsi="Times New Roman"/>
          <w:color w:val="000000"/>
          <w:sz w:val="20"/>
        </w:rPr>
        <w:t xml:space="preserve">attributable to </w:t>
      </w:r>
      <w:r>
        <w:rPr>
          <w:rFonts w:ascii="Times New Roman" w:hAnsi="Times New Roman"/>
          <w:color w:val="000000"/>
          <w:sz w:val="20"/>
        </w:rPr>
        <w:t>a decrease in revenue</w:t>
      </w:r>
      <w:r w:rsidR="00922926">
        <w:rPr>
          <w:rFonts w:ascii="Times New Roman" w:hAnsi="Times New Roman"/>
          <w:color w:val="000000"/>
          <w:sz w:val="20"/>
        </w:rPr>
        <w:t xml:space="preserve"> </w:t>
      </w:r>
      <w:r w:rsidR="00F63F43">
        <w:rPr>
          <w:rFonts w:ascii="Times New Roman" w:hAnsi="Times New Roman"/>
          <w:color w:val="000000"/>
          <w:sz w:val="20"/>
        </w:rPr>
        <w:t xml:space="preserve">resulting from </w:t>
      </w:r>
      <w:r w:rsidR="00922926">
        <w:rPr>
          <w:rFonts w:ascii="Times New Roman" w:hAnsi="Times New Roman"/>
          <w:color w:val="000000"/>
          <w:sz w:val="20"/>
        </w:rPr>
        <w:t>the later release of Finale 2012, offset by decreased</w:t>
      </w:r>
      <w:r>
        <w:rPr>
          <w:rFonts w:ascii="Times New Roman" w:hAnsi="Times New Roman"/>
          <w:color w:val="000000"/>
          <w:sz w:val="20"/>
        </w:rPr>
        <w:t xml:space="preserve"> development expenses. </w:t>
      </w:r>
      <w:proofErr w:type="spellStart"/>
      <w:r>
        <w:rPr>
          <w:rFonts w:ascii="Times New Roman" w:hAnsi="Times New Roman"/>
          <w:color w:val="000000"/>
          <w:sz w:val="20"/>
        </w:rPr>
        <w:t>SmartMusic</w:t>
      </w:r>
      <w:proofErr w:type="spellEnd"/>
      <w:r>
        <w:rPr>
          <w:rFonts w:ascii="Times New Roman" w:hAnsi="Times New Roman"/>
          <w:color w:val="000000"/>
          <w:sz w:val="20"/>
        </w:rPr>
        <w:t xml:space="preserve"> income from operations improved $</w:t>
      </w:r>
      <w:r w:rsidR="00922926">
        <w:rPr>
          <w:rFonts w:ascii="Times New Roman" w:hAnsi="Times New Roman"/>
          <w:color w:val="000000"/>
          <w:sz w:val="20"/>
        </w:rPr>
        <w:t>807</w:t>
      </w:r>
      <w:r>
        <w:rPr>
          <w:rFonts w:ascii="Times New Roman" w:hAnsi="Times New Roman"/>
          <w:color w:val="000000"/>
          <w:sz w:val="20"/>
        </w:rPr>
        <w:t>,000 to $</w:t>
      </w:r>
      <w:r w:rsidR="00922926">
        <w:rPr>
          <w:rFonts w:ascii="Times New Roman" w:hAnsi="Times New Roman"/>
          <w:color w:val="000000"/>
          <w:sz w:val="20"/>
        </w:rPr>
        <w:t>1,492</w:t>
      </w:r>
      <w:r>
        <w:rPr>
          <w:rFonts w:ascii="Times New Roman" w:hAnsi="Times New Roman"/>
          <w:color w:val="000000"/>
          <w:sz w:val="20"/>
        </w:rPr>
        <w:t>,000 in 20</w:t>
      </w:r>
      <w:r w:rsidR="00922926">
        <w:rPr>
          <w:rFonts w:ascii="Times New Roman" w:hAnsi="Times New Roman"/>
          <w:color w:val="000000"/>
          <w:sz w:val="20"/>
        </w:rPr>
        <w:t>11</w:t>
      </w:r>
      <w:r w:rsidR="00F63F43">
        <w:rPr>
          <w:rFonts w:ascii="Times New Roman" w:hAnsi="Times New Roman"/>
          <w:color w:val="000000"/>
          <w:sz w:val="20"/>
        </w:rPr>
        <w:t>. The increase was</w:t>
      </w:r>
      <w:r>
        <w:rPr>
          <w:rFonts w:ascii="Times New Roman" w:hAnsi="Times New Roman"/>
          <w:color w:val="000000"/>
          <w:sz w:val="20"/>
        </w:rPr>
        <w:t xml:space="preserve"> due to </w:t>
      </w:r>
      <w:r w:rsidR="00F63F43">
        <w:rPr>
          <w:rFonts w:ascii="Times New Roman" w:hAnsi="Times New Roman"/>
          <w:color w:val="000000"/>
          <w:sz w:val="20"/>
        </w:rPr>
        <w:t xml:space="preserve">higher </w:t>
      </w:r>
      <w:proofErr w:type="spellStart"/>
      <w:r>
        <w:rPr>
          <w:rFonts w:ascii="Times New Roman" w:hAnsi="Times New Roman"/>
          <w:color w:val="000000"/>
          <w:sz w:val="20"/>
        </w:rPr>
        <w:t>SmartMusic</w:t>
      </w:r>
      <w:proofErr w:type="spellEnd"/>
      <w:r>
        <w:rPr>
          <w:rFonts w:ascii="Times New Roman" w:hAnsi="Times New Roman"/>
          <w:color w:val="000000"/>
          <w:sz w:val="20"/>
        </w:rPr>
        <w:t xml:space="preserve"> revenue, which was partially offset by </w:t>
      </w:r>
      <w:r w:rsidR="00F63F43">
        <w:rPr>
          <w:rFonts w:ascii="Times New Roman" w:hAnsi="Times New Roman"/>
          <w:color w:val="000000"/>
          <w:sz w:val="20"/>
        </w:rPr>
        <w:t xml:space="preserve">higher selling and marketing expenses and other </w:t>
      </w:r>
      <w:r>
        <w:rPr>
          <w:rFonts w:ascii="Times New Roman" w:hAnsi="Times New Roman"/>
          <w:color w:val="000000"/>
          <w:sz w:val="20"/>
        </w:rPr>
        <w:t>operating expenses</w:t>
      </w:r>
      <w:r w:rsidR="00F63F43">
        <w:rPr>
          <w:rFonts w:ascii="Times New Roman" w:hAnsi="Times New Roman"/>
          <w:color w:val="000000"/>
          <w:sz w:val="20"/>
        </w:rPr>
        <w:t>.</w:t>
      </w:r>
    </w:p>
    <w:p w:rsidR="003B58B0" w:rsidRDefault="003B58B0">
      <w:pPr>
        <w:spacing w:after="240"/>
        <w:rPr>
          <w:b/>
          <w:bCs/>
          <w:i/>
          <w:color w:val="000000"/>
          <w:sz w:val="20"/>
        </w:rPr>
      </w:pPr>
    </w:p>
    <w:p w:rsidR="004851D7" w:rsidRPr="00D542E2" w:rsidRDefault="00C841C2">
      <w:pPr>
        <w:spacing w:after="240"/>
        <w:rPr>
          <w:b/>
          <w:bCs/>
          <w:i/>
          <w:color w:val="000000"/>
          <w:sz w:val="20"/>
        </w:rPr>
      </w:pPr>
      <w:r>
        <w:rPr>
          <w:b/>
          <w:bCs/>
          <w:i/>
          <w:color w:val="000000"/>
          <w:sz w:val="20"/>
        </w:rPr>
        <w:t>Other</w:t>
      </w:r>
      <w:r w:rsidRPr="00D542E2">
        <w:rPr>
          <w:b/>
          <w:bCs/>
          <w:i/>
          <w:color w:val="000000"/>
          <w:sz w:val="20"/>
        </w:rPr>
        <w:t xml:space="preserve"> </w:t>
      </w:r>
      <w:r w:rsidR="004851D7" w:rsidRPr="00D542E2">
        <w:rPr>
          <w:b/>
          <w:bCs/>
          <w:i/>
          <w:color w:val="000000"/>
          <w:sz w:val="20"/>
        </w:rPr>
        <w:t xml:space="preserve">income and expense, net  </w:t>
      </w:r>
    </w:p>
    <w:p w:rsidR="004851D7" w:rsidRDefault="00C841C2">
      <w:pPr>
        <w:spacing w:after="240"/>
        <w:ind w:firstLine="720"/>
        <w:rPr>
          <w:color w:val="000000"/>
          <w:sz w:val="20"/>
        </w:rPr>
      </w:pPr>
      <w:r>
        <w:rPr>
          <w:color w:val="000000"/>
          <w:sz w:val="20"/>
        </w:rPr>
        <w:t xml:space="preserve">Other income and expense, net </w:t>
      </w:r>
      <w:r w:rsidR="00307EE7">
        <w:rPr>
          <w:color w:val="000000"/>
          <w:sz w:val="20"/>
        </w:rPr>
        <w:t xml:space="preserve">was $115,000 for the year ended December 31, 2011, compared to $75,000 for the year ended December 31, 2010. Other income and expense, net </w:t>
      </w:r>
      <w:r>
        <w:rPr>
          <w:color w:val="000000"/>
          <w:sz w:val="20"/>
        </w:rPr>
        <w:t>consists primarily of n</w:t>
      </w:r>
      <w:r w:rsidR="004851D7" w:rsidRPr="00D542E2">
        <w:rPr>
          <w:color w:val="000000"/>
          <w:sz w:val="20"/>
        </w:rPr>
        <w:t xml:space="preserve">et interest income </w:t>
      </w:r>
      <w:r>
        <w:rPr>
          <w:color w:val="000000"/>
          <w:sz w:val="20"/>
        </w:rPr>
        <w:t>of</w:t>
      </w:r>
      <w:r w:rsidRPr="00D542E2">
        <w:rPr>
          <w:color w:val="000000"/>
          <w:sz w:val="20"/>
        </w:rPr>
        <w:t xml:space="preserve"> </w:t>
      </w:r>
      <w:r w:rsidR="004851D7" w:rsidRPr="00D542E2">
        <w:rPr>
          <w:color w:val="000000"/>
          <w:sz w:val="20"/>
        </w:rPr>
        <w:t>$</w:t>
      </w:r>
      <w:r w:rsidR="00394A67">
        <w:rPr>
          <w:color w:val="000000"/>
          <w:sz w:val="20"/>
        </w:rPr>
        <w:t>90</w:t>
      </w:r>
      <w:r w:rsidR="004851D7" w:rsidRPr="00D542E2">
        <w:rPr>
          <w:color w:val="000000"/>
          <w:sz w:val="20"/>
        </w:rPr>
        <w:t>,000 for</w:t>
      </w:r>
      <w:r w:rsidR="004851D7">
        <w:rPr>
          <w:color w:val="000000"/>
          <w:sz w:val="20"/>
        </w:rPr>
        <w:t xml:space="preserve"> the year ended December 31, </w:t>
      </w:r>
      <w:r w:rsidR="00F964A5">
        <w:rPr>
          <w:color w:val="000000"/>
          <w:sz w:val="20"/>
        </w:rPr>
        <w:t>2011</w:t>
      </w:r>
      <w:r w:rsidR="004851D7">
        <w:rPr>
          <w:color w:val="000000"/>
          <w:sz w:val="20"/>
        </w:rPr>
        <w:t>, compared to $5</w:t>
      </w:r>
      <w:r w:rsidR="00F964A5">
        <w:rPr>
          <w:color w:val="000000"/>
          <w:sz w:val="20"/>
        </w:rPr>
        <w:t>8</w:t>
      </w:r>
      <w:r w:rsidR="004851D7">
        <w:rPr>
          <w:color w:val="000000"/>
          <w:sz w:val="20"/>
        </w:rPr>
        <w:t xml:space="preserve">,000 </w:t>
      </w:r>
      <w:r w:rsidR="00394A67">
        <w:rPr>
          <w:color w:val="000000"/>
          <w:sz w:val="20"/>
        </w:rPr>
        <w:t xml:space="preserve">of </w:t>
      </w:r>
      <w:r w:rsidR="004851D7">
        <w:rPr>
          <w:color w:val="000000"/>
          <w:sz w:val="20"/>
        </w:rPr>
        <w:t xml:space="preserve">net interest income for the year ended December 31, </w:t>
      </w:r>
      <w:r w:rsidR="00F964A5">
        <w:rPr>
          <w:color w:val="000000"/>
          <w:sz w:val="20"/>
        </w:rPr>
        <w:t>2010</w:t>
      </w:r>
      <w:r w:rsidR="004851D7">
        <w:rPr>
          <w:color w:val="000000"/>
          <w:sz w:val="20"/>
        </w:rPr>
        <w:t>. The increase in net interest income was due to a larger cash balance during the year.</w:t>
      </w:r>
    </w:p>
    <w:p w:rsidR="004851D7" w:rsidRDefault="004851D7">
      <w:pPr>
        <w:pStyle w:val="NormalWeb"/>
        <w:rPr>
          <w:b/>
          <w:bCs/>
          <w:i/>
          <w:color w:val="000000"/>
          <w:sz w:val="20"/>
        </w:rPr>
      </w:pPr>
      <w:r w:rsidRPr="005E1963">
        <w:rPr>
          <w:b/>
          <w:bCs/>
          <w:i/>
          <w:color w:val="000000"/>
          <w:sz w:val="20"/>
        </w:rPr>
        <w:t>Income tax</w:t>
      </w:r>
      <w:r>
        <w:rPr>
          <w:b/>
          <w:bCs/>
          <w:i/>
          <w:color w:val="000000"/>
          <w:sz w:val="20"/>
        </w:rPr>
        <w:t xml:space="preserve">  </w:t>
      </w:r>
    </w:p>
    <w:p w:rsidR="00A054FE" w:rsidRPr="006A03B5" w:rsidRDefault="00A054FE" w:rsidP="00A054FE">
      <w:pPr>
        <w:pStyle w:val="NormalWeb"/>
        <w:ind w:firstLine="720"/>
      </w:pPr>
      <w:r>
        <w:rPr>
          <w:sz w:val="20"/>
          <w:szCs w:val="20"/>
        </w:rPr>
        <w:t xml:space="preserve">We recorded a net income tax expense of </w:t>
      </w:r>
      <w:r w:rsidRPr="007D6A28">
        <w:rPr>
          <w:sz w:val="20"/>
          <w:szCs w:val="20"/>
        </w:rPr>
        <w:t>$</w:t>
      </w:r>
      <w:r>
        <w:rPr>
          <w:sz w:val="20"/>
          <w:szCs w:val="20"/>
        </w:rPr>
        <w:t>250,000</w:t>
      </w:r>
      <w:r w:rsidRPr="007D6A28">
        <w:rPr>
          <w:sz w:val="20"/>
          <w:szCs w:val="20"/>
        </w:rPr>
        <w:t xml:space="preserve"> for</w:t>
      </w:r>
      <w:r>
        <w:rPr>
          <w:sz w:val="20"/>
          <w:szCs w:val="20"/>
        </w:rPr>
        <w:t xml:space="preserve"> the year ended December 31, 2011, compared to an income tax benefit of $</w:t>
      </w:r>
      <w:r w:rsidR="00804A5E">
        <w:rPr>
          <w:sz w:val="20"/>
          <w:szCs w:val="20"/>
        </w:rPr>
        <w:t>461</w:t>
      </w:r>
      <w:r>
        <w:rPr>
          <w:sz w:val="20"/>
          <w:szCs w:val="20"/>
        </w:rPr>
        <w:t xml:space="preserve">,000 for the year ended December 31, 2010. </w:t>
      </w:r>
      <w:r w:rsidR="00833C19">
        <w:rPr>
          <w:sz w:val="20"/>
          <w:szCs w:val="20"/>
        </w:rPr>
        <w:t>The effective income tax rate of 98.2% of pre-tax book inco</w:t>
      </w:r>
      <w:r w:rsidR="00833C19" w:rsidRPr="001C5767">
        <w:rPr>
          <w:sz w:val="20"/>
          <w:szCs w:val="20"/>
        </w:rPr>
        <w:t xml:space="preserve">me includes 59.5% or $151,000 in permanent differences </w:t>
      </w:r>
      <w:r w:rsidR="00186CDC" w:rsidRPr="001C5767">
        <w:rPr>
          <w:sz w:val="20"/>
          <w:szCs w:val="20"/>
        </w:rPr>
        <w:t xml:space="preserve">primarily </w:t>
      </w:r>
      <w:r w:rsidR="00833C19" w:rsidRPr="001C5767">
        <w:rPr>
          <w:sz w:val="20"/>
          <w:szCs w:val="20"/>
        </w:rPr>
        <w:t>relating to the stock acquisition of Garritan Corporation.</w:t>
      </w:r>
    </w:p>
    <w:p w:rsidR="00A054FE" w:rsidRPr="00E61549" w:rsidRDefault="00A054FE" w:rsidP="00A054FE">
      <w:pPr>
        <w:spacing w:after="240"/>
        <w:ind w:firstLine="720"/>
        <w:rPr>
          <w:sz w:val="20"/>
          <w:szCs w:val="20"/>
        </w:rPr>
      </w:pPr>
      <w:r w:rsidRPr="00E61549">
        <w:rPr>
          <w:sz w:val="20"/>
          <w:szCs w:val="20"/>
        </w:rPr>
        <w:t xml:space="preserve">In evaluating our ability to utilize our deferred tax assets, we consider all available positive and negative evidence, including operating results from the most recent fiscal years and our assessment of expected future profitability and the overall prospects for our business. Based on all the available evidence, in the fourth quarter of 2009, we determined that it had become more likely than not that we would realize a portion of our net deferred tax assets. As a result, we reduced our valuation allowance by approximately $2,564,000.  As of December 31, 2011 and December 31, 2010, the valuation allowance recorded against our net deferred tax assets was approximately $5,690,000.  In the event the valuation allowance on the net operating losses expiring in 2023 is reversed we will need to recognize a reserve for uncertain tax positions of up to $3,166,000. Significant management judgment is required to determine when, in the future, the realization of our net deferred tax assets will become more likely than not. We will continue to assess the </w:t>
      </w:r>
      <w:proofErr w:type="spellStart"/>
      <w:r w:rsidRPr="00E61549">
        <w:rPr>
          <w:sz w:val="20"/>
          <w:szCs w:val="20"/>
        </w:rPr>
        <w:t>realizability</w:t>
      </w:r>
      <w:proofErr w:type="spellEnd"/>
      <w:r w:rsidRPr="00E61549">
        <w:rPr>
          <w:sz w:val="20"/>
          <w:szCs w:val="20"/>
        </w:rPr>
        <w:t xml:space="preserve"> of the tax benefit available based on actual and forecasted operating results.</w:t>
      </w:r>
    </w:p>
    <w:p w:rsidR="00AD66E1" w:rsidRPr="00B01273" w:rsidRDefault="00B2164C" w:rsidP="00A054FE">
      <w:pPr>
        <w:spacing w:after="240"/>
        <w:ind w:firstLine="720"/>
        <w:rPr>
          <w:color w:val="000000"/>
          <w:sz w:val="20"/>
        </w:rPr>
      </w:pPr>
      <w:r w:rsidRPr="001C5767">
        <w:rPr>
          <w:color w:val="000000"/>
          <w:sz w:val="20"/>
          <w:szCs w:val="20"/>
        </w:rPr>
        <w:t xml:space="preserve">An </w:t>
      </w:r>
      <w:r w:rsidR="00AD66E1" w:rsidRPr="001C5767">
        <w:rPr>
          <w:color w:val="000000"/>
          <w:sz w:val="20"/>
          <w:szCs w:val="20"/>
        </w:rPr>
        <w:t>owne</w:t>
      </w:r>
      <w:r w:rsidR="00AD66E1">
        <w:rPr>
          <w:color w:val="000000"/>
          <w:sz w:val="20"/>
          <w:szCs w:val="20"/>
        </w:rPr>
        <w:t xml:space="preserve">rship change would </w:t>
      </w:r>
      <w:r>
        <w:rPr>
          <w:color w:val="000000"/>
          <w:sz w:val="20"/>
          <w:szCs w:val="20"/>
        </w:rPr>
        <w:t xml:space="preserve">also </w:t>
      </w:r>
      <w:r w:rsidR="00AD66E1">
        <w:rPr>
          <w:color w:val="000000"/>
          <w:sz w:val="20"/>
          <w:szCs w:val="20"/>
        </w:rPr>
        <w:t>limit the use of the tax benefits in our NOL carry-forwards.</w:t>
      </w:r>
      <w:r>
        <w:rPr>
          <w:color w:val="000000"/>
          <w:sz w:val="20"/>
          <w:szCs w:val="20"/>
        </w:rPr>
        <w:t xml:space="preserve"> Our Board of Directors has adopted a Tax Asset Protection Plan in order to discourage any person or group from becoming a 5-percent shareholder and dissuade existing 5-percent or greater shareholders from acquiring additional share of our common stock.</w:t>
      </w:r>
    </w:p>
    <w:p w:rsidR="001C5767" w:rsidRDefault="001C5767">
      <w:pPr>
        <w:spacing w:after="240"/>
        <w:rPr>
          <w:b/>
          <w:bCs/>
          <w:i/>
          <w:color w:val="000000"/>
          <w:sz w:val="20"/>
        </w:rPr>
      </w:pPr>
    </w:p>
    <w:p w:rsidR="004851D7" w:rsidRDefault="004851D7">
      <w:pPr>
        <w:spacing w:after="240"/>
        <w:rPr>
          <w:b/>
          <w:bCs/>
          <w:color w:val="000000"/>
          <w:sz w:val="20"/>
        </w:rPr>
      </w:pPr>
      <w:r>
        <w:rPr>
          <w:b/>
          <w:bCs/>
          <w:i/>
          <w:color w:val="000000"/>
          <w:sz w:val="20"/>
        </w:rPr>
        <w:t>Liquidity and capital resources</w:t>
      </w:r>
      <w:r>
        <w:rPr>
          <w:b/>
          <w:bCs/>
          <w:color w:val="000000"/>
          <w:sz w:val="20"/>
        </w:rPr>
        <w:t xml:space="preserve">  </w:t>
      </w:r>
    </w:p>
    <w:p w:rsidR="004851D7" w:rsidRDefault="004851D7">
      <w:pPr>
        <w:spacing w:after="240"/>
        <w:ind w:firstLine="720"/>
        <w:rPr>
          <w:color w:val="000000"/>
          <w:sz w:val="20"/>
        </w:rPr>
      </w:pPr>
      <w:r>
        <w:rPr>
          <w:color w:val="000000"/>
          <w:sz w:val="20"/>
        </w:rPr>
        <w:t>Cash flow from operating activities was $</w:t>
      </w:r>
      <w:r w:rsidR="003B58B0">
        <w:rPr>
          <w:color w:val="000000"/>
          <w:sz w:val="20"/>
        </w:rPr>
        <w:t>1,</w:t>
      </w:r>
      <w:r w:rsidR="00F37B16">
        <w:rPr>
          <w:color w:val="000000"/>
          <w:sz w:val="20"/>
        </w:rPr>
        <w:t>269,000</w:t>
      </w:r>
      <w:r w:rsidR="00856584">
        <w:rPr>
          <w:color w:val="000000"/>
          <w:sz w:val="20"/>
        </w:rPr>
        <w:t xml:space="preserve"> </w:t>
      </w:r>
      <w:r>
        <w:rPr>
          <w:color w:val="000000"/>
          <w:sz w:val="20"/>
        </w:rPr>
        <w:t xml:space="preserve">in the year ended December 31, </w:t>
      </w:r>
      <w:r w:rsidR="003B4A3C">
        <w:rPr>
          <w:color w:val="000000"/>
          <w:sz w:val="20"/>
        </w:rPr>
        <w:t xml:space="preserve">2011 </w:t>
      </w:r>
      <w:r>
        <w:rPr>
          <w:color w:val="000000"/>
          <w:sz w:val="20"/>
        </w:rPr>
        <w:t>compared to $3,</w:t>
      </w:r>
      <w:r w:rsidR="000014B2">
        <w:rPr>
          <w:color w:val="000000"/>
          <w:sz w:val="20"/>
        </w:rPr>
        <w:t>128</w:t>
      </w:r>
      <w:r>
        <w:rPr>
          <w:color w:val="000000"/>
          <w:sz w:val="20"/>
        </w:rPr>
        <w:t xml:space="preserve">,000 in the year ended December 31, </w:t>
      </w:r>
      <w:r w:rsidR="000014B2">
        <w:rPr>
          <w:color w:val="000000"/>
          <w:sz w:val="20"/>
        </w:rPr>
        <w:t>2010</w:t>
      </w:r>
      <w:r>
        <w:rPr>
          <w:color w:val="000000"/>
          <w:sz w:val="20"/>
        </w:rPr>
        <w:t xml:space="preserve">, </w:t>
      </w:r>
      <w:r w:rsidR="00856584">
        <w:rPr>
          <w:color w:val="000000"/>
          <w:sz w:val="20"/>
        </w:rPr>
        <w:t xml:space="preserve">a decrease </w:t>
      </w:r>
      <w:r>
        <w:rPr>
          <w:color w:val="000000"/>
          <w:sz w:val="20"/>
        </w:rPr>
        <w:t>of $</w:t>
      </w:r>
      <w:r w:rsidR="003B58B0">
        <w:rPr>
          <w:color w:val="000000"/>
          <w:sz w:val="20"/>
        </w:rPr>
        <w:t>1,859</w:t>
      </w:r>
      <w:r w:rsidR="00856584">
        <w:rPr>
          <w:color w:val="000000"/>
          <w:sz w:val="20"/>
        </w:rPr>
        <w:t>,000</w:t>
      </w:r>
      <w:r w:rsidR="007304AD">
        <w:rPr>
          <w:color w:val="000000"/>
          <w:sz w:val="20"/>
        </w:rPr>
        <w:t xml:space="preserve">. </w:t>
      </w:r>
      <w:r>
        <w:rPr>
          <w:color w:val="000000"/>
          <w:sz w:val="20"/>
        </w:rPr>
        <w:t xml:space="preserve">The reduction in cash provided by operating activities was primarily due to the reduction in net income for fiscal </w:t>
      </w:r>
      <w:r w:rsidR="0033792E">
        <w:rPr>
          <w:color w:val="000000"/>
          <w:sz w:val="20"/>
        </w:rPr>
        <w:t xml:space="preserve">2011, </w:t>
      </w:r>
      <w:r w:rsidR="003B4A3C">
        <w:rPr>
          <w:color w:val="000000"/>
          <w:sz w:val="20"/>
        </w:rPr>
        <w:t>attributed to</w:t>
      </w:r>
      <w:r w:rsidR="0033792E">
        <w:rPr>
          <w:color w:val="000000"/>
          <w:sz w:val="20"/>
        </w:rPr>
        <w:t xml:space="preserve"> lower </w:t>
      </w:r>
      <w:r w:rsidR="003B4A3C">
        <w:rPr>
          <w:color w:val="000000"/>
          <w:sz w:val="20"/>
        </w:rPr>
        <w:t xml:space="preserve">notation </w:t>
      </w:r>
      <w:r w:rsidR="0033792E">
        <w:rPr>
          <w:color w:val="000000"/>
          <w:sz w:val="20"/>
        </w:rPr>
        <w:t>revenue and an increase in cash used for working capital</w:t>
      </w:r>
      <w:r w:rsidR="00F63F43">
        <w:rPr>
          <w:color w:val="000000"/>
          <w:sz w:val="20"/>
        </w:rPr>
        <w:t xml:space="preserve"> due to bonus payments in the first quarter of 2011 relating to the 2010 incentive plan</w:t>
      </w:r>
      <w:r w:rsidR="007B0C04">
        <w:rPr>
          <w:color w:val="000000"/>
          <w:sz w:val="20"/>
        </w:rPr>
        <w:t>.</w:t>
      </w:r>
      <w:r>
        <w:rPr>
          <w:color w:val="000000"/>
          <w:sz w:val="20"/>
        </w:rPr>
        <w:t xml:space="preserve"> </w:t>
      </w:r>
    </w:p>
    <w:p w:rsidR="004851D7" w:rsidRDefault="004851D7">
      <w:pPr>
        <w:spacing w:after="240"/>
        <w:ind w:firstLine="720"/>
        <w:rPr>
          <w:color w:val="000000"/>
          <w:sz w:val="20"/>
        </w:rPr>
      </w:pPr>
      <w:r>
        <w:rPr>
          <w:color w:val="000000"/>
          <w:sz w:val="20"/>
        </w:rPr>
        <w:t xml:space="preserve">Our primary liquidity and capital requirements have </w:t>
      </w:r>
      <w:r w:rsidR="00C23444">
        <w:rPr>
          <w:color w:val="000000"/>
          <w:sz w:val="20"/>
        </w:rPr>
        <w:t xml:space="preserve">related to adding </w:t>
      </w:r>
      <w:r>
        <w:rPr>
          <w:color w:val="000000"/>
          <w:sz w:val="20"/>
        </w:rPr>
        <w:t xml:space="preserve">titles and method books to </w:t>
      </w:r>
      <w:proofErr w:type="spellStart"/>
      <w:r>
        <w:rPr>
          <w:color w:val="000000"/>
          <w:sz w:val="20"/>
        </w:rPr>
        <w:t>SmartMusic</w:t>
      </w:r>
      <w:proofErr w:type="spellEnd"/>
      <w:r w:rsidR="00C23444">
        <w:rPr>
          <w:color w:val="000000"/>
          <w:sz w:val="20"/>
        </w:rPr>
        <w:t xml:space="preserve"> and investing in other product development efforts</w:t>
      </w:r>
      <w:r>
        <w:rPr>
          <w:color w:val="000000"/>
          <w:sz w:val="20"/>
        </w:rPr>
        <w:t>. Cash used in investing activities was $</w:t>
      </w:r>
      <w:r w:rsidR="003B58B0">
        <w:rPr>
          <w:color w:val="000000"/>
          <w:sz w:val="20"/>
        </w:rPr>
        <w:t>3,278</w:t>
      </w:r>
      <w:r>
        <w:rPr>
          <w:color w:val="000000"/>
          <w:sz w:val="20"/>
        </w:rPr>
        <w:t xml:space="preserve">,000 in the year ended December 31, </w:t>
      </w:r>
      <w:r w:rsidR="003B58B0">
        <w:rPr>
          <w:color w:val="000000"/>
          <w:sz w:val="20"/>
        </w:rPr>
        <w:t>2011</w:t>
      </w:r>
      <w:r>
        <w:rPr>
          <w:color w:val="000000"/>
          <w:sz w:val="20"/>
        </w:rPr>
        <w:t>, compared to $</w:t>
      </w:r>
      <w:r w:rsidR="003B58B0">
        <w:rPr>
          <w:color w:val="000000"/>
          <w:sz w:val="20"/>
        </w:rPr>
        <w:t>653</w:t>
      </w:r>
      <w:r>
        <w:rPr>
          <w:color w:val="000000"/>
          <w:sz w:val="20"/>
        </w:rPr>
        <w:t xml:space="preserve">,000 in the year ended December 31, </w:t>
      </w:r>
      <w:r w:rsidR="003B58B0">
        <w:rPr>
          <w:color w:val="000000"/>
          <w:sz w:val="20"/>
        </w:rPr>
        <w:t>2010</w:t>
      </w:r>
      <w:r>
        <w:rPr>
          <w:color w:val="000000"/>
          <w:sz w:val="20"/>
        </w:rPr>
        <w:t>. This $</w:t>
      </w:r>
      <w:r w:rsidR="00F37B16">
        <w:rPr>
          <w:color w:val="000000"/>
          <w:sz w:val="20"/>
        </w:rPr>
        <w:t>2,625</w:t>
      </w:r>
      <w:r>
        <w:rPr>
          <w:color w:val="000000"/>
          <w:sz w:val="20"/>
        </w:rPr>
        <w:t xml:space="preserve">,000 </w:t>
      </w:r>
      <w:r w:rsidR="00F37B16">
        <w:rPr>
          <w:color w:val="000000"/>
          <w:sz w:val="20"/>
        </w:rPr>
        <w:t xml:space="preserve">increase was </w:t>
      </w:r>
      <w:r w:rsidR="006C3800">
        <w:rPr>
          <w:color w:val="000000"/>
          <w:sz w:val="20"/>
        </w:rPr>
        <w:t xml:space="preserve">primarily </w:t>
      </w:r>
      <w:r w:rsidR="00F37B16">
        <w:rPr>
          <w:color w:val="000000"/>
          <w:sz w:val="20"/>
        </w:rPr>
        <w:t xml:space="preserve">due to our purchase of Garritan Corporation and </w:t>
      </w:r>
      <w:r w:rsidR="00C23444">
        <w:rPr>
          <w:color w:val="000000"/>
          <w:sz w:val="20"/>
        </w:rPr>
        <w:t xml:space="preserve">select assets of </w:t>
      </w:r>
      <w:proofErr w:type="spellStart"/>
      <w:r w:rsidR="00C23444">
        <w:rPr>
          <w:color w:val="000000"/>
          <w:sz w:val="20"/>
        </w:rPr>
        <w:t>Recordare</w:t>
      </w:r>
      <w:proofErr w:type="spellEnd"/>
      <w:r w:rsidR="00C23444">
        <w:rPr>
          <w:color w:val="000000"/>
          <w:sz w:val="20"/>
        </w:rPr>
        <w:t>, LLC both of which occurred</w:t>
      </w:r>
      <w:r w:rsidR="00F37B16">
        <w:rPr>
          <w:color w:val="000000"/>
          <w:sz w:val="20"/>
        </w:rPr>
        <w:t xml:space="preserve"> in the fourth quarter of 2011. </w:t>
      </w:r>
      <w:r w:rsidR="006C3800">
        <w:rPr>
          <w:color w:val="000000"/>
          <w:sz w:val="20"/>
        </w:rPr>
        <w:t>Additionally, we increased our investment in p</w:t>
      </w:r>
      <w:r w:rsidR="00F37B16">
        <w:rPr>
          <w:color w:val="000000"/>
          <w:sz w:val="20"/>
        </w:rPr>
        <w:t>r</w:t>
      </w:r>
      <w:r>
        <w:rPr>
          <w:color w:val="000000"/>
          <w:sz w:val="20"/>
        </w:rPr>
        <w:t>operty and equipment purchases and repertoire development. Current year expenditures were $</w:t>
      </w:r>
      <w:r w:rsidR="00F37B16">
        <w:rPr>
          <w:color w:val="000000"/>
          <w:sz w:val="20"/>
        </w:rPr>
        <w:t>346</w:t>
      </w:r>
      <w:r>
        <w:rPr>
          <w:color w:val="000000"/>
          <w:sz w:val="20"/>
        </w:rPr>
        <w:t>,000 for purchases of property and equipment and $</w:t>
      </w:r>
      <w:r w:rsidR="00F37B16">
        <w:rPr>
          <w:color w:val="000000"/>
          <w:sz w:val="20"/>
        </w:rPr>
        <w:t>588</w:t>
      </w:r>
      <w:r>
        <w:rPr>
          <w:color w:val="000000"/>
          <w:sz w:val="20"/>
        </w:rPr>
        <w:t>,000 for capitalization of repertoire development. We expect to incur higher levels of development spending in the future</w:t>
      </w:r>
      <w:r w:rsidR="00F37B16">
        <w:rPr>
          <w:color w:val="000000"/>
          <w:sz w:val="20"/>
        </w:rPr>
        <w:t xml:space="preserve"> due to </w:t>
      </w:r>
      <w:r>
        <w:rPr>
          <w:color w:val="000000"/>
          <w:sz w:val="20"/>
        </w:rPr>
        <w:t xml:space="preserve">our </w:t>
      </w:r>
      <w:r w:rsidR="003B4A3C">
        <w:rPr>
          <w:color w:val="000000"/>
          <w:sz w:val="20"/>
        </w:rPr>
        <w:t xml:space="preserve">technology </w:t>
      </w:r>
      <w:r>
        <w:rPr>
          <w:color w:val="000000"/>
          <w:sz w:val="20"/>
        </w:rPr>
        <w:t xml:space="preserve">initiatives in both the notation and </w:t>
      </w:r>
      <w:proofErr w:type="spellStart"/>
      <w:r>
        <w:rPr>
          <w:color w:val="000000"/>
          <w:sz w:val="20"/>
        </w:rPr>
        <w:t>SmartMusic</w:t>
      </w:r>
      <w:proofErr w:type="spellEnd"/>
      <w:r>
        <w:rPr>
          <w:color w:val="000000"/>
          <w:sz w:val="20"/>
        </w:rPr>
        <w:t xml:space="preserve"> segments.</w:t>
      </w:r>
    </w:p>
    <w:p w:rsidR="004851D7" w:rsidRDefault="0033792E">
      <w:pPr>
        <w:spacing w:after="240"/>
        <w:ind w:firstLine="720"/>
        <w:rPr>
          <w:color w:val="000000"/>
          <w:sz w:val="20"/>
        </w:rPr>
      </w:pPr>
      <w:r>
        <w:rPr>
          <w:color w:val="000000"/>
          <w:sz w:val="20"/>
        </w:rPr>
        <w:t>Net cash used in</w:t>
      </w:r>
      <w:r w:rsidR="004851D7">
        <w:rPr>
          <w:color w:val="000000"/>
          <w:sz w:val="20"/>
        </w:rPr>
        <w:t xml:space="preserve"> financing activities was $</w:t>
      </w:r>
      <w:r>
        <w:rPr>
          <w:color w:val="000000"/>
          <w:sz w:val="20"/>
        </w:rPr>
        <w:t>227</w:t>
      </w:r>
      <w:r w:rsidR="004851D7">
        <w:rPr>
          <w:color w:val="000000"/>
          <w:sz w:val="20"/>
        </w:rPr>
        <w:t xml:space="preserve">,000 in the year ended December 31, </w:t>
      </w:r>
      <w:r>
        <w:rPr>
          <w:color w:val="000000"/>
          <w:sz w:val="20"/>
        </w:rPr>
        <w:t>2011</w:t>
      </w:r>
      <w:r w:rsidR="004851D7">
        <w:rPr>
          <w:color w:val="000000"/>
          <w:sz w:val="20"/>
        </w:rPr>
        <w:t xml:space="preserve">, compared to cash </w:t>
      </w:r>
      <w:r>
        <w:rPr>
          <w:color w:val="000000"/>
          <w:sz w:val="20"/>
        </w:rPr>
        <w:t>provided of</w:t>
      </w:r>
      <w:r w:rsidR="004851D7">
        <w:rPr>
          <w:color w:val="000000"/>
          <w:sz w:val="20"/>
        </w:rPr>
        <w:t xml:space="preserve"> $</w:t>
      </w:r>
      <w:r>
        <w:rPr>
          <w:color w:val="000000"/>
          <w:sz w:val="20"/>
        </w:rPr>
        <w:t>114</w:t>
      </w:r>
      <w:r w:rsidR="004851D7">
        <w:rPr>
          <w:color w:val="000000"/>
          <w:sz w:val="20"/>
        </w:rPr>
        <w:t xml:space="preserve">,000 in the year ended December 31, </w:t>
      </w:r>
      <w:r>
        <w:rPr>
          <w:color w:val="000000"/>
          <w:sz w:val="20"/>
        </w:rPr>
        <w:t>2010</w:t>
      </w:r>
      <w:r w:rsidR="004851D7">
        <w:rPr>
          <w:color w:val="000000"/>
          <w:sz w:val="20"/>
        </w:rPr>
        <w:t xml:space="preserve">. </w:t>
      </w:r>
      <w:r w:rsidR="00C23444">
        <w:rPr>
          <w:color w:val="000000"/>
          <w:sz w:val="20"/>
        </w:rPr>
        <w:t xml:space="preserve">In 2011, we </w:t>
      </w:r>
      <w:r w:rsidR="00E61EA2">
        <w:rPr>
          <w:color w:val="000000"/>
          <w:sz w:val="20"/>
        </w:rPr>
        <w:t xml:space="preserve">used </w:t>
      </w:r>
      <w:r>
        <w:rPr>
          <w:sz w:val="20"/>
        </w:rPr>
        <w:t xml:space="preserve">$291,000 </w:t>
      </w:r>
      <w:r w:rsidR="00C23444">
        <w:rPr>
          <w:sz w:val="20"/>
        </w:rPr>
        <w:t xml:space="preserve">of cash </w:t>
      </w:r>
      <w:r>
        <w:rPr>
          <w:sz w:val="20"/>
        </w:rPr>
        <w:t xml:space="preserve">to repurchase company shares under </w:t>
      </w:r>
      <w:r w:rsidR="00C23444">
        <w:rPr>
          <w:sz w:val="20"/>
        </w:rPr>
        <w:t>our November 2010</w:t>
      </w:r>
      <w:r>
        <w:rPr>
          <w:sz w:val="20"/>
        </w:rPr>
        <w:t xml:space="preserve"> Stock Repurchase Program which was </w:t>
      </w:r>
      <w:r w:rsidR="00C23444">
        <w:rPr>
          <w:sz w:val="20"/>
        </w:rPr>
        <w:t xml:space="preserve">in effect until </w:t>
      </w:r>
      <w:r>
        <w:rPr>
          <w:color w:val="000000"/>
          <w:sz w:val="20"/>
        </w:rPr>
        <w:t xml:space="preserve">May 6, 2011. </w:t>
      </w:r>
      <w:r w:rsidR="004851D7">
        <w:rPr>
          <w:color w:val="000000"/>
          <w:sz w:val="20"/>
        </w:rPr>
        <w:t xml:space="preserve">During </w:t>
      </w:r>
      <w:r w:rsidR="0030001C">
        <w:rPr>
          <w:color w:val="000000"/>
          <w:sz w:val="20"/>
        </w:rPr>
        <w:t>2011</w:t>
      </w:r>
      <w:r w:rsidR="004851D7">
        <w:rPr>
          <w:color w:val="000000"/>
          <w:sz w:val="20"/>
        </w:rPr>
        <w:t>, $</w:t>
      </w:r>
      <w:r w:rsidR="0030001C">
        <w:rPr>
          <w:color w:val="000000"/>
          <w:sz w:val="20"/>
        </w:rPr>
        <w:t>111</w:t>
      </w:r>
      <w:r w:rsidR="004851D7">
        <w:rPr>
          <w:color w:val="000000"/>
          <w:sz w:val="20"/>
        </w:rPr>
        <w:t>,000 was received for the exercise of stock options and warrants, versus $</w:t>
      </w:r>
      <w:r w:rsidR="0030001C">
        <w:rPr>
          <w:color w:val="000000"/>
          <w:sz w:val="20"/>
        </w:rPr>
        <w:t>181</w:t>
      </w:r>
      <w:r w:rsidR="004851D7">
        <w:rPr>
          <w:color w:val="000000"/>
          <w:sz w:val="20"/>
        </w:rPr>
        <w:t xml:space="preserve">,000 received in </w:t>
      </w:r>
      <w:r w:rsidR="0030001C">
        <w:rPr>
          <w:color w:val="000000"/>
          <w:sz w:val="20"/>
        </w:rPr>
        <w:t>2010</w:t>
      </w:r>
      <w:r w:rsidR="004851D7">
        <w:rPr>
          <w:color w:val="000000"/>
          <w:sz w:val="20"/>
        </w:rPr>
        <w:t xml:space="preserve">. </w:t>
      </w:r>
      <w:r w:rsidR="0030001C">
        <w:rPr>
          <w:color w:val="000000"/>
          <w:sz w:val="20"/>
        </w:rPr>
        <w:t xml:space="preserve">During 2011, two individuals exercised stock options under a cashless exercise and, as a result, cash proceeds of $22,000 were used to pay taxes withheld. </w:t>
      </w:r>
      <w:r w:rsidR="004851D7">
        <w:rPr>
          <w:color w:val="000000"/>
          <w:sz w:val="20"/>
        </w:rPr>
        <w:t xml:space="preserve">During 2010, one individual exercised stock options under a cashless exercise and, as a result, cash proceeds of $6,000 were used to pay taxes withheld. We do not expect any significant cash to be provided by the exercise of stock options in </w:t>
      </w:r>
      <w:r w:rsidR="0030001C">
        <w:rPr>
          <w:color w:val="000000"/>
          <w:sz w:val="20"/>
        </w:rPr>
        <w:t xml:space="preserve">2012 </w:t>
      </w:r>
      <w:r w:rsidR="004851D7">
        <w:rPr>
          <w:color w:val="000000"/>
          <w:sz w:val="20"/>
        </w:rPr>
        <w:t>due to our current stock price and options outstanding.</w:t>
      </w:r>
    </w:p>
    <w:p w:rsidR="004851D7" w:rsidRDefault="004851D7">
      <w:pPr>
        <w:spacing w:after="240"/>
        <w:ind w:firstLine="720"/>
        <w:rPr>
          <w:color w:val="000000"/>
          <w:sz w:val="20"/>
        </w:rPr>
      </w:pPr>
      <w:r>
        <w:rPr>
          <w:color w:val="000000"/>
          <w:sz w:val="20"/>
        </w:rPr>
        <w:t xml:space="preserve">As of December 31, </w:t>
      </w:r>
      <w:r w:rsidR="0030001C">
        <w:rPr>
          <w:color w:val="000000"/>
          <w:sz w:val="20"/>
        </w:rPr>
        <w:t>2011</w:t>
      </w:r>
      <w:r>
        <w:rPr>
          <w:color w:val="000000"/>
          <w:sz w:val="20"/>
        </w:rPr>
        <w:t>, we had cash and cash equivalents of $</w:t>
      </w:r>
      <w:r w:rsidR="0030001C">
        <w:rPr>
          <w:color w:val="000000"/>
          <w:sz w:val="20"/>
        </w:rPr>
        <w:t>9,296</w:t>
      </w:r>
      <w:r>
        <w:rPr>
          <w:color w:val="000000"/>
          <w:sz w:val="20"/>
        </w:rPr>
        <w:t xml:space="preserve">,000 and as of December 31, </w:t>
      </w:r>
      <w:r w:rsidR="0030001C">
        <w:rPr>
          <w:color w:val="000000"/>
          <w:sz w:val="20"/>
        </w:rPr>
        <w:t>2010</w:t>
      </w:r>
      <w:r>
        <w:rPr>
          <w:color w:val="000000"/>
          <w:sz w:val="20"/>
        </w:rPr>
        <w:t>, the balance was $</w:t>
      </w:r>
      <w:r w:rsidR="0030001C">
        <w:rPr>
          <w:color w:val="000000"/>
          <w:sz w:val="20"/>
        </w:rPr>
        <w:t>11,532</w:t>
      </w:r>
      <w:r>
        <w:rPr>
          <w:color w:val="000000"/>
          <w:sz w:val="20"/>
        </w:rPr>
        <w:t>,000.</w:t>
      </w:r>
      <w:r w:rsidR="003B4A3C">
        <w:rPr>
          <w:color w:val="000000"/>
          <w:sz w:val="20"/>
        </w:rPr>
        <w:t xml:space="preserve"> This decline is primarily attributed to the stock and asset acquisitions in the fourth quarter of 2011.  There were no acquisitions during 2010.</w:t>
      </w:r>
      <w:r>
        <w:rPr>
          <w:color w:val="000000"/>
          <w:sz w:val="20"/>
        </w:rPr>
        <w:t xml:space="preserve"> </w:t>
      </w:r>
    </w:p>
    <w:p w:rsidR="00C23444" w:rsidRDefault="00C23444">
      <w:pPr>
        <w:spacing w:after="240"/>
        <w:ind w:firstLine="720"/>
        <w:rPr>
          <w:color w:val="000000"/>
          <w:sz w:val="20"/>
        </w:rPr>
      </w:pPr>
      <w:r>
        <w:rPr>
          <w:color w:val="000000"/>
          <w:sz w:val="20"/>
        </w:rPr>
        <w:t xml:space="preserve">We expect that our revenues and, in particular, continued growth in </w:t>
      </w:r>
      <w:proofErr w:type="spellStart"/>
      <w:r>
        <w:rPr>
          <w:color w:val="000000"/>
          <w:sz w:val="20"/>
        </w:rPr>
        <w:t>SmartMusic</w:t>
      </w:r>
      <w:proofErr w:type="spellEnd"/>
      <w:r>
        <w:rPr>
          <w:color w:val="000000"/>
          <w:sz w:val="20"/>
        </w:rPr>
        <w:t xml:space="preserve"> subscriptions, will yield sufficient cash to finance our operations for at least the next twelve months.</w:t>
      </w:r>
    </w:p>
    <w:p w:rsidR="004851D7" w:rsidRDefault="004851D7">
      <w:pPr>
        <w:pStyle w:val="NormalWeb"/>
        <w:spacing w:before="0" w:beforeAutospacing="0" w:after="120" w:afterAutospacing="0"/>
        <w:rPr>
          <w:b/>
          <w:bCs/>
        </w:rPr>
      </w:pPr>
      <w:r>
        <w:rPr>
          <w:b/>
          <w:bCs/>
          <w:sz w:val="20"/>
          <w:szCs w:val="20"/>
        </w:rPr>
        <w:t>Contractual Obligations and Commitments</w:t>
      </w:r>
      <w:bookmarkStart w:id="16" w:name="ContractualObligationsAndCommitme_173249"/>
      <w:bookmarkEnd w:id="16"/>
    </w:p>
    <w:p w:rsidR="004851D7" w:rsidRDefault="004851D7">
      <w:pPr>
        <w:pStyle w:val="NormalWeb"/>
        <w:spacing w:before="0" w:beforeAutospacing="0" w:after="240" w:afterAutospacing="0"/>
        <w:ind w:firstLine="720"/>
      </w:pPr>
      <w:r>
        <w:rPr>
          <w:sz w:val="20"/>
          <w:szCs w:val="20"/>
        </w:rPr>
        <w:t xml:space="preserve">As of December 31, </w:t>
      </w:r>
      <w:r w:rsidR="00372B5D">
        <w:rPr>
          <w:sz w:val="20"/>
          <w:szCs w:val="20"/>
        </w:rPr>
        <w:t>2011</w:t>
      </w:r>
      <w:r>
        <w:rPr>
          <w:sz w:val="20"/>
          <w:szCs w:val="20"/>
        </w:rPr>
        <w:t>, our contractual cash obligations consist of future minimum lease payments due under non-cancelable capital and operating leases as follows:</w:t>
      </w:r>
    </w:p>
    <w:tbl>
      <w:tblPr>
        <w:tblW w:w="0" w:type="auto"/>
        <w:jc w:val="center"/>
        <w:tblCellMar>
          <w:left w:w="0" w:type="dxa"/>
          <w:right w:w="0" w:type="dxa"/>
        </w:tblCellMar>
        <w:tblLook w:val="0000" w:firstRow="0" w:lastRow="0" w:firstColumn="0" w:lastColumn="0" w:noHBand="0" w:noVBand="0"/>
      </w:tblPr>
      <w:tblGrid>
        <w:gridCol w:w="4258"/>
        <w:gridCol w:w="240"/>
        <w:gridCol w:w="144"/>
        <w:gridCol w:w="144"/>
        <w:gridCol w:w="494"/>
        <w:gridCol w:w="144"/>
        <w:gridCol w:w="240"/>
        <w:gridCol w:w="144"/>
        <w:gridCol w:w="144"/>
        <w:gridCol w:w="557"/>
        <w:gridCol w:w="144"/>
        <w:gridCol w:w="240"/>
        <w:gridCol w:w="144"/>
        <w:gridCol w:w="144"/>
        <w:gridCol w:w="494"/>
        <w:gridCol w:w="144"/>
        <w:gridCol w:w="144"/>
      </w:tblGrid>
      <w:tr w:rsidR="004851D7">
        <w:trPr>
          <w:cantSplit/>
          <w:jc w:val="center"/>
        </w:trPr>
        <w:tc>
          <w:tcPr>
            <w:tcW w:w="4258" w:type="dxa"/>
            <w:tcMar>
              <w:top w:w="0" w:type="dxa"/>
              <w:left w:w="0" w:type="dxa"/>
              <w:bottom w:w="0" w:type="dxa"/>
              <w:right w:w="14" w:type="dxa"/>
            </w:tcMar>
            <w:vAlign w:val="bottom"/>
          </w:tcPr>
          <w:p w:rsidR="004851D7" w:rsidRDefault="004851D7">
            <w:pPr>
              <w:pStyle w:val="NormalWeb"/>
              <w:spacing w:before="0" w:beforeAutospacing="0" w:after="0" w:afterAutospacing="0" w:line="160" w:lineRule="atLeast"/>
              <w:jc w:val="center"/>
              <w:rPr>
                <w:b/>
                <w:bCs/>
              </w:rPr>
            </w:pPr>
            <w:r>
              <w:rPr>
                <w:b/>
                <w:bCs/>
                <w:sz w:val="2"/>
                <w:szCs w:val="2"/>
              </w:rPr>
              <w:t> </w:t>
            </w:r>
          </w:p>
        </w:tc>
        <w:tc>
          <w:tcPr>
            <w:tcW w:w="240" w:type="dxa"/>
            <w:tcMar>
              <w:top w:w="0" w:type="dxa"/>
              <w:left w:w="0" w:type="dxa"/>
              <w:bottom w:w="0" w:type="dxa"/>
              <w:right w:w="14" w:type="dxa"/>
            </w:tcMar>
            <w:vAlign w:val="bottom"/>
          </w:tcPr>
          <w:p w:rsidR="004851D7" w:rsidRDefault="004851D7">
            <w:pPr>
              <w:pStyle w:val="NormalWeb"/>
              <w:spacing w:before="0" w:beforeAutospacing="0" w:after="0" w:afterAutospacing="0" w:line="160" w:lineRule="atLeast"/>
              <w:jc w:val="center"/>
              <w:rPr>
                <w:b/>
                <w:bCs/>
              </w:rPr>
            </w:pPr>
            <w:r>
              <w:rPr>
                <w:b/>
                <w:bCs/>
                <w:sz w:val="2"/>
                <w:szCs w:val="2"/>
              </w:rPr>
              <w:t> </w:t>
            </w:r>
          </w:p>
        </w:tc>
        <w:tc>
          <w:tcPr>
            <w:tcW w:w="926" w:type="dxa"/>
            <w:gridSpan w:val="4"/>
            <w:tcMar>
              <w:top w:w="0" w:type="dxa"/>
              <w:left w:w="0" w:type="dxa"/>
              <w:bottom w:w="0" w:type="dxa"/>
              <w:right w:w="14" w:type="dxa"/>
            </w:tcMar>
            <w:vAlign w:val="bottom"/>
          </w:tcPr>
          <w:p w:rsidR="004851D7" w:rsidRDefault="004851D7">
            <w:pPr>
              <w:pStyle w:val="NormalWeb"/>
              <w:spacing w:before="0" w:beforeAutospacing="0" w:after="0" w:afterAutospacing="0" w:line="160" w:lineRule="atLeast"/>
              <w:jc w:val="center"/>
              <w:rPr>
                <w:b/>
                <w:bCs/>
              </w:rPr>
            </w:pPr>
            <w:r>
              <w:rPr>
                <w:b/>
                <w:bCs/>
                <w:sz w:val="16"/>
                <w:szCs w:val="16"/>
              </w:rPr>
              <w:t>Capital Lease</w:t>
            </w:r>
          </w:p>
        </w:tc>
        <w:tc>
          <w:tcPr>
            <w:tcW w:w="240" w:type="dxa"/>
            <w:tcMar>
              <w:top w:w="0" w:type="dxa"/>
              <w:left w:w="0" w:type="dxa"/>
              <w:bottom w:w="0" w:type="dxa"/>
              <w:right w:w="14" w:type="dxa"/>
            </w:tcMar>
            <w:vAlign w:val="bottom"/>
          </w:tcPr>
          <w:p w:rsidR="004851D7" w:rsidRDefault="004851D7">
            <w:pPr>
              <w:pStyle w:val="NormalWeb"/>
              <w:spacing w:before="0" w:beforeAutospacing="0" w:after="0" w:afterAutospacing="0" w:line="160" w:lineRule="atLeast"/>
              <w:jc w:val="center"/>
              <w:rPr>
                <w:b/>
                <w:bCs/>
              </w:rPr>
            </w:pPr>
            <w:r>
              <w:rPr>
                <w:b/>
                <w:bCs/>
                <w:sz w:val="2"/>
                <w:szCs w:val="2"/>
              </w:rPr>
              <w:t> </w:t>
            </w:r>
          </w:p>
        </w:tc>
        <w:tc>
          <w:tcPr>
            <w:tcW w:w="989" w:type="dxa"/>
            <w:gridSpan w:val="4"/>
            <w:tcMar>
              <w:top w:w="0" w:type="dxa"/>
              <w:left w:w="0" w:type="dxa"/>
              <w:bottom w:w="0" w:type="dxa"/>
              <w:right w:w="14" w:type="dxa"/>
            </w:tcMar>
            <w:vAlign w:val="bottom"/>
          </w:tcPr>
          <w:p w:rsidR="004851D7" w:rsidRDefault="004851D7">
            <w:pPr>
              <w:pStyle w:val="NormalWeb"/>
              <w:spacing w:before="0" w:beforeAutospacing="0" w:after="0" w:afterAutospacing="0" w:line="160" w:lineRule="atLeast"/>
              <w:jc w:val="center"/>
              <w:rPr>
                <w:b/>
                <w:bCs/>
              </w:rPr>
            </w:pPr>
            <w:r>
              <w:rPr>
                <w:b/>
                <w:bCs/>
                <w:sz w:val="16"/>
                <w:szCs w:val="16"/>
              </w:rPr>
              <w:t>Operating Lease</w:t>
            </w:r>
          </w:p>
        </w:tc>
        <w:tc>
          <w:tcPr>
            <w:tcW w:w="240" w:type="dxa"/>
            <w:tcMar>
              <w:top w:w="0" w:type="dxa"/>
              <w:left w:w="0" w:type="dxa"/>
              <w:bottom w:w="0" w:type="dxa"/>
              <w:right w:w="14" w:type="dxa"/>
            </w:tcMar>
            <w:vAlign w:val="bottom"/>
          </w:tcPr>
          <w:p w:rsidR="004851D7" w:rsidRDefault="004851D7">
            <w:pPr>
              <w:pStyle w:val="NormalWeb"/>
              <w:spacing w:before="0" w:beforeAutospacing="0" w:after="0" w:afterAutospacing="0" w:line="160" w:lineRule="atLeast"/>
              <w:jc w:val="center"/>
              <w:rPr>
                <w:b/>
                <w:bCs/>
              </w:rPr>
            </w:pPr>
            <w:r>
              <w:rPr>
                <w:b/>
                <w:bCs/>
                <w:sz w:val="2"/>
                <w:szCs w:val="2"/>
              </w:rPr>
              <w:t> </w:t>
            </w:r>
          </w:p>
        </w:tc>
        <w:tc>
          <w:tcPr>
            <w:tcW w:w="926" w:type="dxa"/>
            <w:gridSpan w:val="4"/>
            <w:tcMar>
              <w:top w:w="0" w:type="dxa"/>
              <w:left w:w="0" w:type="dxa"/>
              <w:bottom w:w="0" w:type="dxa"/>
              <w:right w:w="14" w:type="dxa"/>
            </w:tcMar>
            <w:vAlign w:val="bottom"/>
          </w:tcPr>
          <w:p w:rsidR="004851D7" w:rsidRDefault="004851D7">
            <w:pPr>
              <w:pStyle w:val="NormalWeb"/>
              <w:spacing w:before="0" w:beforeAutospacing="0" w:after="0" w:afterAutospacing="0" w:line="160" w:lineRule="atLeast"/>
              <w:jc w:val="center"/>
              <w:rPr>
                <w:b/>
                <w:bCs/>
              </w:rPr>
            </w:pPr>
            <w:r>
              <w:rPr>
                <w:b/>
                <w:bCs/>
                <w:sz w:val="16"/>
                <w:szCs w:val="16"/>
              </w:rPr>
              <w:t>Total Lease</w:t>
            </w:r>
          </w:p>
        </w:tc>
        <w:tc>
          <w:tcPr>
            <w:tcW w:w="144" w:type="dxa"/>
            <w:tcMar>
              <w:top w:w="0" w:type="dxa"/>
              <w:left w:w="0" w:type="dxa"/>
              <w:bottom w:w="0" w:type="dxa"/>
              <w:right w:w="14" w:type="dxa"/>
            </w:tcMar>
            <w:vAlign w:val="bottom"/>
          </w:tcPr>
          <w:p w:rsidR="004851D7" w:rsidRDefault="004851D7">
            <w:pPr>
              <w:pStyle w:val="NormalWeb"/>
              <w:spacing w:before="0" w:beforeAutospacing="0" w:after="0" w:afterAutospacing="0" w:line="160" w:lineRule="atLeast"/>
              <w:jc w:val="center"/>
              <w:rPr>
                <w:b/>
                <w:bCs/>
              </w:rPr>
            </w:pPr>
            <w:r>
              <w:rPr>
                <w:b/>
                <w:bCs/>
                <w:sz w:val="2"/>
                <w:szCs w:val="2"/>
              </w:rPr>
              <w:t> </w:t>
            </w:r>
          </w:p>
        </w:tc>
      </w:tr>
      <w:tr w:rsidR="004851D7">
        <w:trPr>
          <w:cantSplit/>
          <w:jc w:val="center"/>
        </w:trPr>
        <w:tc>
          <w:tcPr>
            <w:tcW w:w="4258" w:type="dxa"/>
            <w:tcMar>
              <w:top w:w="0" w:type="dxa"/>
              <w:left w:w="0" w:type="dxa"/>
              <w:bottom w:w="0" w:type="dxa"/>
              <w:right w:w="14" w:type="dxa"/>
            </w:tcMar>
            <w:vAlign w:val="bottom"/>
          </w:tcPr>
          <w:p w:rsidR="004851D7" w:rsidRDefault="004851D7">
            <w:pPr>
              <w:pStyle w:val="NormalWeb"/>
              <w:spacing w:before="0" w:beforeAutospacing="0" w:after="0" w:afterAutospacing="0" w:line="160" w:lineRule="atLeast"/>
              <w:jc w:val="center"/>
              <w:rPr>
                <w:b/>
                <w:bCs/>
              </w:rPr>
            </w:pPr>
            <w:r>
              <w:rPr>
                <w:b/>
                <w:bCs/>
                <w:sz w:val="2"/>
                <w:szCs w:val="2"/>
              </w:rPr>
              <w:t> </w:t>
            </w:r>
          </w:p>
        </w:tc>
        <w:tc>
          <w:tcPr>
            <w:tcW w:w="240" w:type="dxa"/>
            <w:tcMar>
              <w:top w:w="0" w:type="dxa"/>
              <w:left w:w="0" w:type="dxa"/>
              <w:bottom w:w="0" w:type="dxa"/>
              <w:right w:w="14" w:type="dxa"/>
            </w:tcMar>
            <w:vAlign w:val="bottom"/>
          </w:tcPr>
          <w:p w:rsidR="004851D7" w:rsidRDefault="004851D7">
            <w:pPr>
              <w:pStyle w:val="NormalWeb"/>
              <w:spacing w:before="0" w:beforeAutospacing="0" w:after="0" w:afterAutospacing="0" w:line="160" w:lineRule="atLeast"/>
              <w:jc w:val="center"/>
              <w:rPr>
                <w:b/>
                <w:bCs/>
              </w:rPr>
            </w:pPr>
            <w:r>
              <w:rPr>
                <w:b/>
                <w:bCs/>
                <w:sz w:val="2"/>
                <w:szCs w:val="2"/>
              </w:rPr>
              <w:t> </w:t>
            </w:r>
          </w:p>
        </w:tc>
        <w:tc>
          <w:tcPr>
            <w:tcW w:w="926" w:type="dxa"/>
            <w:gridSpan w:val="4"/>
            <w:tcBorders>
              <w:top w:val="nil"/>
              <w:left w:val="nil"/>
              <w:bottom w:val="single" w:sz="8" w:space="0" w:color="auto"/>
              <w:right w:val="nil"/>
            </w:tcBorders>
            <w:tcMar>
              <w:top w:w="0" w:type="dxa"/>
              <w:left w:w="0" w:type="dxa"/>
              <w:bottom w:w="0" w:type="dxa"/>
              <w:right w:w="14" w:type="dxa"/>
            </w:tcMar>
            <w:vAlign w:val="bottom"/>
          </w:tcPr>
          <w:p w:rsidR="004851D7" w:rsidRDefault="004851D7">
            <w:pPr>
              <w:pStyle w:val="NormalWeb"/>
              <w:spacing w:before="0" w:beforeAutospacing="0" w:after="0" w:afterAutospacing="0" w:line="160" w:lineRule="atLeast"/>
              <w:jc w:val="center"/>
              <w:rPr>
                <w:b/>
                <w:bCs/>
              </w:rPr>
            </w:pPr>
            <w:r>
              <w:rPr>
                <w:b/>
                <w:bCs/>
                <w:sz w:val="16"/>
                <w:szCs w:val="16"/>
              </w:rPr>
              <w:t>Obligations</w:t>
            </w:r>
          </w:p>
        </w:tc>
        <w:tc>
          <w:tcPr>
            <w:tcW w:w="240" w:type="dxa"/>
            <w:tcMar>
              <w:top w:w="0" w:type="dxa"/>
              <w:left w:w="0" w:type="dxa"/>
              <w:bottom w:w="0" w:type="dxa"/>
              <w:right w:w="14" w:type="dxa"/>
            </w:tcMar>
            <w:vAlign w:val="bottom"/>
          </w:tcPr>
          <w:p w:rsidR="004851D7" w:rsidRDefault="004851D7">
            <w:pPr>
              <w:pStyle w:val="NormalWeb"/>
              <w:spacing w:before="0" w:beforeAutospacing="0" w:after="0" w:afterAutospacing="0" w:line="160" w:lineRule="atLeast"/>
              <w:jc w:val="center"/>
              <w:rPr>
                <w:b/>
                <w:bCs/>
              </w:rPr>
            </w:pPr>
            <w:r>
              <w:rPr>
                <w:b/>
                <w:bCs/>
                <w:sz w:val="2"/>
                <w:szCs w:val="2"/>
              </w:rPr>
              <w:t> </w:t>
            </w:r>
          </w:p>
        </w:tc>
        <w:tc>
          <w:tcPr>
            <w:tcW w:w="989" w:type="dxa"/>
            <w:gridSpan w:val="4"/>
            <w:tcBorders>
              <w:top w:val="nil"/>
              <w:left w:val="nil"/>
              <w:bottom w:val="single" w:sz="8" w:space="0" w:color="auto"/>
              <w:right w:val="nil"/>
            </w:tcBorders>
            <w:tcMar>
              <w:top w:w="0" w:type="dxa"/>
              <w:left w:w="0" w:type="dxa"/>
              <w:bottom w:w="0" w:type="dxa"/>
              <w:right w:w="14" w:type="dxa"/>
            </w:tcMar>
            <w:vAlign w:val="bottom"/>
          </w:tcPr>
          <w:p w:rsidR="004851D7" w:rsidRDefault="004851D7">
            <w:pPr>
              <w:pStyle w:val="NormalWeb"/>
              <w:spacing w:before="0" w:beforeAutospacing="0" w:after="0" w:afterAutospacing="0" w:line="160" w:lineRule="atLeast"/>
              <w:jc w:val="center"/>
              <w:rPr>
                <w:b/>
                <w:bCs/>
              </w:rPr>
            </w:pPr>
            <w:r>
              <w:rPr>
                <w:b/>
                <w:bCs/>
                <w:sz w:val="16"/>
                <w:szCs w:val="16"/>
              </w:rPr>
              <w:t>Obligations</w:t>
            </w:r>
          </w:p>
        </w:tc>
        <w:tc>
          <w:tcPr>
            <w:tcW w:w="240" w:type="dxa"/>
            <w:tcMar>
              <w:top w:w="0" w:type="dxa"/>
              <w:left w:w="0" w:type="dxa"/>
              <w:bottom w:w="0" w:type="dxa"/>
              <w:right w:w="14" w:type="dxa"/>
            </w:tcMar>
            <w:vAlign w:val="bottom"/>
          </w:tcPr>
          <w:p w:rsidR="004851D7" w:rsidRDefault="004851D7">
            <w:pPr>
              <w:pStyle w:val="NormalWeb"/>
              <w:spacing w:before="0" w:beforeAutospacing="0" w:after="0" w:afterAutospacing="0" w:line="160" w:lineRule="atLeast"/>
              <w:jc w:val="center"/>
              <w:rPr>
                <w:b/>
                <w:bCs/>
              </w:rPr>
            </w:pPr>
            <w:r>
              <w:rPr>
                <w:b/>
                <w:bCs/>
                <w:sz w:val="2"/>
                <w:szCs w:val="2"/>
              </w:rPr>
              <w:t> </w:t>
            </w:r>
          </w:p>
        </w:tc>
        <w:tc>
          <w:tcPr>
            <w:tcW w:w="926" w:type="dxa"/>
            <w:gridSpan w:val="4"/>
            <w:tcBorders>
              <w:top w:val="nil"/>
              <w:left w:val="nil"/>
              <w:bottom w:val="single" w:sz="8" w:space="0" w:color="auto"/>
              <w:right w:val="nil"/>
            </w:tcBorders>
            <w:tcMar>
              <w:top w:w="0" w:type="dxa"/>
              <w:left w:w="0" w:type="dxa"/>
              <w:bottom w:w="0" w:type="dxa"/>
              <w:right w:w="14" w:type="dxa"/>
            </w:tcMar>
            <w:vAlign w:val="bottom"/>
          </w:tcPr>
          <w:p w:rsidR="004851D7" w:rsidRDefault="004851D7">
            <w:pPr>
              <w:pStyle w:val="NormalWeb"/>
              <w:spacing w:before="0" w:beforeAutospacing="0" w:after="0" w:afterAutospacing="0" w:line="160" w:lineRule="atLeast"/>
              <w:jc w:val="center"/>
              <w:rPr>
                <w:b/>
                <w:bCs/>
              </w:rPr>
            </w:pPr>
            <w:r>
              <w:rPr>
                <w:b/>
                <w:bCs/>
                <w:sz w:val="16"/>
                <w:szCs w:val="16"/>
              </w:rPr>
              <w:t>Obligations</w:t>
            </w:r>
          </w:p>
        </w:tc>
        <w:tc>
          <w:tcPr>
            <w:tcW w:w="144" w:type="dxa"/>
            <w:tcMar>
              <w:top w:w="0" w:type="dxa"/>
              <w:left w:w="0" w:type="dxa"/>
              <w:bottom w:w="0" w:type="dxa"/>
              <w:right w:w="14" w:type="dxa"/>
            </w:tcMar>
            <w:vAlign w:val="bottom"/>
          </w:tcPr>
          <w:p w:rsidR="004851D7" w:rsidRDefault="004851D7">
            <w:pPr>
              <w:pStyle w:val="NormalWeb"/>
              <w:spacing w:before="0" w:beforeAutospacing="0" w:after="0" w:afterAutospacing="0" w:line="160" w:lineRule="atLeast"/>
              <w:jc w:val="center"/>
              <w:rPr>
                <w:b/>
                <w:bCs/>
              </w:rPr>
            </w:pPr>
            <w:r>
              <w:rPr>
                <w:b/>
                <w:bCs/>
                <w:sz w:val="2"/>
                <w:szCs w:val="2"/>
              </w:rPr>
              <w:t> </w:t>
            </w:r>
          </w:p>
        </w:tc>
      </w:tr>
      <w:tr w:rsidR="004851D7">
        <w:trPr>
          <w:cantSplit/>
          <w:jc w:val="center"/>
        </w:trPr>
        <w:tc>
          <w:tcPr>
            <w:tcW w:w="4258" w:type="dxa"/>
            <w:tcMar>
              <w:top w:w="0" w:type="dxa"/>
              <w:left w:w="0" w:type="dxa"/>
              <w:bottom w:w="0" w:type="dxa"/>
              <w:right w:w="14" w:type="dxa"/>
            </w:tcMar>
            <w:vAlign w:val="bottom"/>
          </w:tcPr>
          <w:p w:rsidR="004851D7" w:rsidRDefault="004851D7">
            <w:pPr>
              <w:pStyle w:val="NormalWeb"/>
              <w:spacing w:before="0" w:beforeAutospacing="0" w:after="0" w:afterAutospacing="0" w:line="160" w:lineRule="atLeast"/>
              <w:jc w:val="center"/>
              <w:rPr>
                <w:b/>
                <w:bCs/>
              </w:rPr>
            </w:pPr>
            <w:r>
              <w:rPr>
                <w:b/>
                <w:bCs/>
                <w:sz w:val="2"/>
                <w:szCs w:val="2"/>
              </w:rPr>
              <w:t> </w:t>
            </w:r>
          </w:p>
        </w:tc>
        <w:tc>
          <w:tcPr>
            <w:tcW w:w="240" w:type="dxa"/>
            <w:tcMar>
              <w:top w:w="0" w:type="dxa"/>
              <w:left w:w="0" w:type="dxa"/>
              <w:bottom w:w="0" w:type="dxa"/>
              <w:right w:w="14" w:type="dxa"/>
            </w:tcMar>
            <w:vAlign w:val="bottom"/>
          </w:tcPr>
          <w:p w:rsidR="004851D7" w:rsidRDefault="004851D7">
            <w:pPr>
              <w:pStyle w:val="NormalWeb"/>
              <w:spacing w:before="0" w:beforeAutospacing="0" w:after="0" w:afterAutospacing="0" w:line="160" w:lineRule="atLeast"/>
              <w:jc w:val="center"/>
              <w:rPr>
                <w:b/>
                <w:bCs/>
              </w:rPr>
            </w:pPr>
            <w:r>
              <w:rPr>
                <w:b/>
                <w:bCs/>
                <w:sz w:val="2"/>
                <w:szCs w:val="2"/>
              </w:rPr>
              <w:t> </w:t>
            </w:r>
          </w:p>
        </w:tc>
        <w:tc>
          <w:tcPr>
            <w:tcW w:w="3321" w:type="dxa"/>
            <w:gridSpan w:val="14"/>
            <w:tcMar>
              <w:top w:w="0" w:type="dxa"/>
              <w:left w:w="0" w:type="dxa"/>
              <w:bottom w:w="0" w:type="dxa"/>
              <w:right w:w="14" w:type="dxa"/>
            </w:tcMar>
            <w:vAlign w:val="bottom"/>
          </w:tcPr>
          <w:p w:rsidR="004851D7" w:rsidRDefault="004851D7">
            <w:pPr>
              <w:pStyle w:val="NormalWeb"/>
              <w:spacing w:before="0" w:beforeAutospacing="0" w:after="0" w:afterAutospacing="0" w:line="160" w:lineRule="atLeast"/>
              <w:jc w:val="center"/>
              <w:rPr>
                <w:b/>
                <w:bCs/>
              </w:rPr>
            </w:pPr>
            <w:r>
              <w:rPr>
                <w:b/>
                <w:bCs/>
                <w:sz w:val="16"/>
                <w:szCs w:val="16"/>
              </w:rPr>
              <w:t>(in thousands)</w:t>
            </w:r>
          </w:p>
        </w:tc>
        <w:tc>
          <w:tcPr>
            <w:tcW w:w="144" w:type="dxa"/>
            <w:tcMar>
              <w:top w:w="0" w:type="dxa"/>
              <w:left w:w="0" w:type="dxa"/>
              <w:bottom w:w="0" w:type="dxa"/>
              <w:right w:w="14" w:type="dxa"/>
            </w:tcMar>
            <w:vAlign w:val="bottom"/>
          </w:tcPr>
          <w:p w:rsidR="004851D7" w:rsidRDefault="004851D7">
            <w:pPr>
              <w:pStyle w:val="NormalWeb"/>
              <w:spacing w:before="0" w:beforeAutospacing="0" w:after="0" w:afterAutospacing="0" w:line="160" w:lineRule="atLeast"/>
              <w:jc w:val="center"/>
              <w:rPr>
                <w:b/>
                <w:bCs/>
              </w:rPr>
            </w:pPr>
            <w:r>
              <w:rPr>
                <w:b/>
                <w:bCs/>
                <w:sz w:val="2"/>
                <w:szCs w:val="2"/>
              </w:rPr>
              <w:t> </w:t>
            </w:r>
          </w:p>
        </w:tc>
      </w:tr>
      <w:tr w:rsidR="004851D7">
        <w:trPr>
          <w:cantSplit/>
          <w:jc w:val="center"/>
        </w:trPr>
        <w:tc>
          <w:tcPr>
            <w:tcW w:w="4258" w:type="dxa"/>
            <w:tcMar>
              <w:top w:w="0" w:type="dxa"/>
              <w:left w:w="0" w:type="dxa"/>
              <w:bottom w:w="0" w:type="dxa"/>
              <w:right w:w="14" w:type="dxa"/>
            </w:tcMar>
          </w:tcPr>
          <w:p w:rsidR="004851D7" w:rsidRDefault="009B4CE9" w:rsidP="009B4CE9">
            <w:pPr>
              <w:pStyle w:val="NormalWeb"/>
              <w:spacing w:before="0" w:beforeAutospacing="0" w:after="0" w:afterAutospacing="0"/>
              <w:ind w:left="200" w:hanging="200"/>
            </w:pPr>
            <w:r>
              <w:rPr>
                <w:sz w:val="20"/>
                <w:szCs w:val="20"/>
              </w:rPr>
              <w:t>2012</w:t>
            </w:r>
          </w:p>
        </w:tc>
        <w:tc>
          <w:tcPr>
            <w:tcW w:w="240" w:type="dxa"/>
            <w:tcMar>
              <w:top w:w="0" w:type="dxa"/>
              <w:left w:w="0" w:type="dxa"/>
              <w:bottom w:w="0" w:type="dxa"/>
              <w:right w:w="14" w:type="dxa"/>
            </w:tcMar>
            <w:vAlign w:val="bottom"/>
          </w:tcPr>
          <w:p w:rsidR="004851D7" w:rsidRDefault="004851D7">
            <w:pPr>
              <w:pStyle w:val="NormalWeb"/>
              <w:spacing w:before="0" w:beforeAutospacing="0" w:after="0" w:afterAutospacing="0"/>
            </w:pPr>
            <w:r>
              <w:rPr>
                <w:sz w:val="2"/>
                <w:szCs w:val="2"/>
              </w:rPr>
              <w:t> </w:t>
            </w:r>
          </w:p>
        </w:tc>
        <w:tc>
          <w:tcPr>
            <w:tcW w:w="144" w:type="dxa"/>
            <w:tcMar>
              <w:top w:w="0" w:type="dxa"/>
              <w:left w:w="0" w:type="dxa"/>
              <w:bottom w:w="0" w:type="dxa"/>
              <w:right w:w="14" w:type="dxa"/>
            </w:tcMar>
            <w:vAlign w:val="bottom"/>
          </w:tcPr>
          <w:p w:rsidR="004851D7" w:rsidRDefault="004851D7">
            <w:pPr>
              <w:pStyle w:val="NormalWeb"/>
              <w:spacing w:before="0" w:beforeAutospacing="0" w:after="0" w:afterAutospacing="0"/>
              <w:jc w:val="right"/>
            </w:pPr>
            <w:r>
              <w:rPr>
                <w:sz w:val="2"/>
                <w:szCs w:val="2"/>
              </w:rPr>
              <w:t> </w:t>
            </w:r>
          </w:p>
        </w:tc>
        <w:tc>
          <w:tcPr>
            <w:tcW w:w="638" w:type="dxa"/>
            <w:gridSpan w:val="2"/>
            <w:tcMar>
              <w:top w:w="0" w:type="dxa"/>
              <w:left w:w="0" w:type="dxa"/>
              <w:bottom w:w="0" w:type="dxa"/>
              <w:right w:w="14" w:type="dxa"/>
            </w:tcMar>
            <w:vAlign w:val="bottom"/>
          </w:tcPr>
          <w:p w:rsidR="004851D7" w:rsidRDefault="004851D7" w:rsidP="00F37B16">
            <w:pPr>
              <w:pStyle w:val="NormalWeb"/>
              <w:spacing w:before="0" w:beforeAutospacing="0" w:after="0" w:afterAutospacing="0"/>
              <w:jc w:val="right"/>
              <w:rPr>
                <w:sz w:val="20"/>
                <w:szCs w:val="20"/>
              </w:rPr>
            </w:pPr>
            <w:r>
              <w:rPr>
                <w:sz w:val="20"/>
                <w:szCs w:val="20"/>
              </w:rPr>
              <w:t>$</w:t>
            </w:r>
            <w:r w:rsidR="00F37B16">
              <w:rPr>
                <w:sz w:val="20"/>
                <w:szCs w:val="20"/>
              </w:rPr>
              <w:t>4</w:t>
            </w:r>
          </w:p>
        </w:tc>
        <w:tc>
          <w:tcPr>
            <w:tcW w:w="144" w:type="dxa"/>
            <w:tcMar>
              <w:top w:w="0" w:type="dxa"/>
              <w:left w:w="0" w:type="dxa"/>
              <w:bottom w:w="0" w:type="dxa"/>
              <w:right w:w="14" w:type="dxa"/>
            </w:tcMar>
            <w:vAlign w:val="bottom"/>
          </w:tcPr>
          <w:p w:rsidR="004851D7" w:rsidRDefault="004851D7">
            <w:pPr>
              <w:pStyle w:val="NormalWeb"/>
              <w:spacing w:before="0" w:beforeAutospacing="0" w:after="0" w:afterAutospacing="0"/>
              <w:rPr>
                <w:sz w:val="20"/>
                <w:szCs w:val="20"/>
              </w:rPr>
            </w:pPr>
          </w:p>
        </w:tc>
        <w:tc>
          <w:tcPr>
            <w:tcW w:w="240" w:type="dxa"/>
            <w:tcMar>
              <w:top w:w="0" w:type="dxa"/>
              <w:left w:w="0" w:type="dxa"/>
              <w:bottom w:w="0" w:type="dxa"/>
              <w:right w:w="14" w:type="dxa"/>
            </w:tcMar>
            <w:vAlign w:val="bottom"/>
          </w:tcPr>
          <w:p w:rsidR="004851D7" w:rsidRDefault="004851D7">
            <w:pPr>
              <w:pStyle w:val="NormalWeb"/>
              <w:spacing w:before="0" w:beforeAutospacing="0" w:after="0" w:afterAutospacing="0"/>
              <w:rPr>
                <w:sz w:val="20"/>
                <w:szCs w:val="20"/>
              </w:rPr>
            </w:pPr>
          </w:p>
        </w:tc>
        <w:tc>
          <w:tcPr>
            <w:tcW w:w="144" w:type="dxa"/>
            <w:tcMar>
              <w:top w:w="0" w:type="dxa"/>
              <w:left w:w="0" w:type="dxa"/>
              <w:bottom w:w="0" w:type="dxa"/>
              <w:right w:w="14" w:type="dxa"/>
            </w:tcMar>
            <w:vAlign w:val="bottom"/>
          </w:tcPr>
          <w:p w:rsidR="004851D7" w:rsidRDefault="004851D7">
            <w:pPr>
              <w:pStyle w:val="NormalWeb"/>
              <w:spacing w:before="0" w:beforeAutospacing="0" w:after="0" w:afterAutospacing="0"/>
              <w:jc w:val="right"/>
              <w:rPr>
                <w:sz w:val="20"/>
                <w:szCs w:val="20"/>
              </w:rPr>
            </w:pPr>
          </w:p>
        </w:tc>
        <w:tc>
          <w:tcPr>
            <w:tcW w:w="701" w:type="dxa"/>
            <w:gridSpan w:val="2"/>
            <w:tcMar>
              <w:top w:w="0" w:type="dxa"/>
              <w:left w:w="0" w:type="dxa"/>
              <w:bottom w:w="0" w:type="dxa"/>
              <w:right w:w="14" w:type="dxa"/>
            </w:tcMar>
            <w:vAlign w:val="bottom"/>
          </w:tcPr>
          <w:p w:rsidR="004851D7" w:rsidRDefault="004851D7" w:rsidP="009B4CE9">
            <w:pPr>
              <w:pStyle w:val="NormalWeb"/>
              <w:spacing w:before="0" w:beforeAutospacing="0" w:after="0" w:afterAutospacing="0"/>
              <w:jc w:val="right"/>
              <w:rPr>
                <w:sz w:val="20"/>
                <w:szCs w:val="20"/>
              </w:rPr>
            </w:pPr>
            <w:r>
              <w:rPr>
                <w:sz w:val="20"/>
                <w:szCs w:val="20"/>
              </w:rPr>
              <w:t>$</w:t>
            </w:r>
            <w:r w:rsidR="009B4CE9">
              <w:rPr>
                <w:sz w:val="20"/>
                <w:szCs w:val="20"/>
              </w:rPr>
              <w:t>203</w:t>
            </w:r>
          </w:p>
        </w:tc>
        <w:tc>
          <w:tcPr>
            <w:tcW w:w="144" w:type="dxa"/>
            <w:tcMar>
              <w:top w:w="0" w:type="dxa"/>
              <w:left w:w="0" w:type="dxa"/>
              <w:bottom w:w="0" w:type="dxa"/>
              <w:right w:w="14" w:type="dxa"/>
            </w:tcMar>
            <w:vAlign w:val="bottom"/>
          </w:tcPr>
          <w:p w:rsidR="004851D7" w:rsidRDefault="004851D7">
            <w:pPr>
              <w:pStyle w:val="NormalWeb"/>
              <w:spacing w:before="0" w:beforeAutospacing="0" w:after="0" w:afterAutospacing="0"/>
              <w:rPr>
                <w:sz w:val="20"/>
                <w:szCs w:val="20"/>
              </w:rPr>
            </w:pPr>
          </w:p>
        </w:tc>
        <w:tc>
          <w:tcPr>
            <w:tcW w:w="240" w:type="dxa"/>
            <w:tcMar>
              <w:top w:w="0" w:type="dxa"/>
              <w:left w:w="0" w:type="dxa"/>
              <w:bottom w:w="0" w:type="dxa"/>
              <w:right w:w="14" w:type="dxa"/>
            </w:tcMar>
            <w:vAlign w:val="bottom"/>
          </w:tcPr>
          <w:p w:rsidR="004851D7" w:rsidRDefault="004851D7">
            <w:pPr>
              <w:pStyle w:val="NormalWeb"/>
              <w:spacing w:before="0" w:beforeAutospacing="0" w:after="0" w:afterAutospacing="0"/>
              <w:rPr>
                <w:sz w:val="20"/>
                <w:szCs w:val="20"/>
              </w:rPr>
            </w:pPr>
          </w:p>
        </w:tc>
        <w:tc>
          <w:tcPr>
            <w:tcW w:w="144" w:type="dxa"/>
            <w:tcMar>
              <w:top w:w="0" w:type="dxa"/>
              <w:left w:w="0" w:type="dxa"/>
              <w:bottom w:w="0" w:type="dxa"/>
              <w:right w:w="14" w:type="dxa"/>
            </w:tcMar>
            <w:vAlign w:val="bottom"/>
          </w:tcPr>
          <w:p w:rsidR="004851D7" w:rsidRDefault="004851D7">
            <w:pPr>
              <w:pStyle w:val="NormalWeb"/>
              <w:spacing w:before="0" w:beforeAutospacing="0" w:after="0" w:afterAutospacing="0"/>
              <w:jc w:val="right"/>
              <w:rPr>
                <w:sz w:val="20"/>
                <w:szCs w:val="20"/>
              </w:rPr>
            </w:pPr>
          </w:p>
        </w:tc>
        <w:tc>
          <w:tcPr>
            <w:tcW w:w="638" w:type="dxa"/>
            <w:gridSpan w:val="2"/>
            <w:tcMar>
              <w:top w:w="0" w:type="dxa"/>
              <w:left w:w="0" w:type="dxa"/>
              <w:bottom w:w="0" w:type="dxa"/>
              <w:right w:w="14" w:type="dxa"/>
            </w:tcMar>
            <w:vAlign w:val="bottom"/>
          </w:tcPr>
          <w:p w:rsidR="004851D7" w:rsidRDefault="004851D7" w:rsidP="00F37B16">
            <w:pPr>
              <w:pStyle w:val="NormalWeb"/>
              <w:spacing w:before="0" w:beforeAutospacing="0" w:after="0" w:afterAutospacing="0"/>
              <w:jc w:val="right"/>
              <w:rPr>
                <w:sz w:val="20"/>
                <w:szCs w:val="20"/>
              </w:rPr>
            </w:pPr>
            <w:r>
              <w:rPr>
                <w:sz w:val="20"/>
                <w:szCs w:val="20"/>
              </w:rPr>
              <w:t>$</w:t>
            </w:r>
            <w:r w:rsidR="00F37B16">
              <w:rPr>
                <w:sz w:val="20"/>
                <w:szCs w:val="20"/>
              </w:rPr>
              <w:t>207</w:t>
            </w:r>
          </w:p>
        </w:tc>
        <w:tc>
          <w:tcPr>
            <w:tcW w:w="144" w:type="dxa"/>
            <w:tcMar>
              <w:top w:w="0" w:type="dxa"/>
              <w:left w:w="0" w:type="dxa"/>
              <w:bottom w:w="0" w:type="dxa"/>
              <w:right w:w="14" w:type="dxa"/>
            </w:tcMar>
            <w:vAlign w:val="bottom"/>
          </w:tcPr>
          <w:p w:rsidR="004851D7" w:rsidRDefault="004851D7">
            <w:pPr>
              <w:pStyle w:val="NormalWeb"/>
              <w:spacing w:before="0" w:beforeAutospacing="0" w:after="0" w:afterAutospacing="0"/>
            </w:pPr>
            <w:r>
              <w:rPr>
                <w:sz w:val="2"/>
                <w:szCs w:val="2"/>
              </w:rPr>
              <w:t> </w:t>
            </w:r>
          </w:p>
        </w:tc>
        <w:tc>
          <w:tcPr>
            <w:tcW w:w="144" w:type="dxa"/>
            <w:tcMar>
              <w:top w:w="0" w:type="dxa"/>
              <w:left w:w="0" w:type="dxa"/>
              <w:bottom w:w="0" w:type="dxa"/>
              <w:right w:w="14" w:type="dxa"/>
            </w:tcMar>
            <w:vAlign w:val="bottom"/>
          </w:tcPr>
          <w:p w:rsidR="004851D7" w:rsidRDefault="004851D7">
            <w:pPr>
              <w:pStyle w:val="NormalWeb"/>
              <w:spacing w:before="0" w:beforeAutospacing="0" w:after="0" w:afterAutospacing="0"/>
            </w:pPr>
            <w:r>
              <w:rPr>
                <w:sz w:val="2"/>
                <w:szCs w:val="2"/>
              </w:rPr>
              <w:t> </w:t>
            </w:r>
          </w:p>
        </w:tc>
      </w:tr>
      <w:tr w:rsidR="00372B5D">
        <w:trPr>
          <w:cantSplit/>
          <w:jc w:val="center"/>
        </w:trPr>
        <w:tc>
          <w:tcPr>
            <w:tcW w:w="4258" w:type="dxa"/>
            <w:tcMar>
              <w:top w:w="0" w:type="dxa"/>
              <w:left w:w="0" w:type="dxa"/>
              <w:bottom w:w="0" w:type="dxa"/>
              <w:right w:w="14" w:type="dxa"/>
            </w:tcMar>
          </w:tcPr>
          <w:p w:rsidR="00372B5D" w:rsidRDefault="009B4CE9">
            <w:pPr>
              <w:pStyle w:val="NormalWeb"/>
              <w:spacing w:before="0" w:beforeAutospacing="0" w:after="0" w:afterAutospacing="0"/>
              <w:ind w:left="200" w:hanging="200"/>
              <w:rPr>
                <w:sz w:val="20"/>
                <w:szCs w:val="20"/>
              </w:rPr>
            </w:pPr>
            <w:r>
              <w:rPr>
                <w:sz w:val="20"/>
                <w:szCs w:val="20"/>
              </w:rPr>
              <w:t>2013</w:t>
            </w:r>
          </w:p>
        </w:tc>
        <w:tc>
          <w:tcPr>
            <w:tcW w:w="240" w:type="dxa"/>
            <w:tcMar>
              <w:top w:w="0" w:type="dxa"/>
              <w:left w:w="0" w:type="dxa"/>
              <w:bottom w:w="0" w:type="dxa"/>
              <w:right w:w="14" w:type="dxa"/>
            </w:tcMar>
            <w:vAlign w:val="bottom"/>
          </w:tcPr>
          <w:p w:rsidR="00372B5D" w:rsidRDefault="00372B5D">
            <w:pPr>
              <w:pStyle w:val="NormalWeb"/>
              <w:spacing w:before="0" w:beforeAutospacing="0" w:after="0" w:afterAutospacing="0"/>
              <w:rPr>
                <w:sz w:val="2"/>
                <w:szCs w:val="2"/>
              </w:rPr>
            </w:pPr>
          </w:p>
        </w:tc>
        <w:tc>
          <w:tcPr>
            <w:tcW w:w="144" w:type="dxa"/>
            <w:tcMar>
              <w:top w:w="0" w:type="dxa"/>
              <w:left w:w="0" w:type="dxa"/>
              <w:bottom w:w="0" w:type="dxa"/>
              <w:right w:w="14" w:type="dxa"/>
            </w:tcMar>
            <w:vAlign w:val="bottom"/>
          </w:tcPr>
          <w:p w:rsidR="00372B5D" w:rsidRDefault="00372B5D">
            <w:pPr>
              <w:pStyle w:val="NormalWeb"/>
              <w:spacing w:before="0" w:beforeAutospacing="0" w:after="0" w:afterAutospacing="0"/>
              <w:jc w:val="right"/>
              <w:rPr>
                <w:sz w:val="2"/>
                <w:szCs w:val="2"/>
              </w:rPr>
            </w:pPr>
          </w:p>
        </w:tc>
        <w:tc>
          <w:tcPr>
            <w:tcW w:w="638" w:type="dxa"/>
            <w:gridSpan w:val="2"/>
            <w:tcMar>
              <w:top w:w="0" w:type="dxa"/>
              <w:left w:w="0" w:type="dxa"/>
              <w:bottom w:w="0" w:type="dxa"/>
              <w:right w:w="14" w:type="dxa"/>
            </w:tcMar>
            <w:vAlign w:val="bottom"/>
          </w:tcPr>
          <w:p w:rsidR="00372B5D" w:rsidRDefault="00C841C2">
            <w:pPr>
              <w:pStyle w:val="NormalWeb"/>
              <w:spacing w:before="0" w:beforeAutospacing="0" w:after="0" w:afterAutospacing="0"/>
              <w:jc w:val="right"/>
              <w:rPr>
                <w:sz w:val="20"/>
                <w:szCs w:val="20"/>
              </w:rPr>
            </w:pPr>
            <w:r>
              <w:rPr>
                <w:sz w:val="20"/>
                <w:szCs w:val="20"/>
              </w:rPr>
              <w:t>-</w:t>
            </w:r>
          </w:p>
        </w:tc>
        <w:tc>
          <w:tcPr>
            <w:tcW w:w="144" w:type="dxa"/>
            <w:tcMar>
              <w:top w:w="0" w:type="dxa"/>
              <w:left w:w="0" w:type="dxa"/>
              <w:bottom w:w="0" w:type="dxa"/>
              <w:right w:w="14" w:type="dxa"/>
            </w:tcMar>
            <w:vAlign w:val="bottom"/>
          </w:tcPr>
          <w:p w:rsidR="00372B5D" w:rsidRDefault="00372B5D">
            <w:pPr>
              <w:pStyle w:val="NormalWeb"/>
              <w:spacing w:before="0" w:beforeAutospacing="0" w:after="0" w:afterAutospacing="0"/>
              <w:rPr>
                <w:sz w:val="20"/>
                <w:szCs w:val="20"/>
              </w:rPr>
            </w:pPr>
          </w:p>
        </w:tc>
        <w:tc>
          <w:tcPr>
            <w:tcW w:w="240" w:type="dxa"/>
            <w:tcMar>
              <w:top w:w="0" w:type="dxa"/>
              <w:left w:w="0" w:type="dxa"/>
              <w:bottom w:w="0" w:type="dxa"/>
              <w:right w:w="14" w:type="dxa"/>
            </w:tcMar>
            <w:vAlign w:val="bottom"/>
          </w:tcPr>
          <w:p w:rsidR="00372B5D" w:rsidRDefault="00372B5D">
            <w:pPr>
              <w:pStyle w:val="NormalWeb"/>
              <w:spacing w:before="0" w:beforeAutospacing="0" w:after="0" w:afterAutospacing="0"/>
              <w:rPr>
                <w:sz w:val="20"/>
                <w:szCs w:val="20"/>
              </w:rPr>
            </w:pPr>
          </w:p>
        </w:tc>
        <w:tc>
          <w:tcPr>
            <w:tcW w:w="144" w:type="dxa"/>
            <w:tcMar>
              <w:top w:w="0" w:type="dxa"/>
              <w:left w:w="0" w:type="dxa"/>
              <w:bottom w:w="0" w:type="dxa"/>
              <w:right w:w="14" w:type="dxa"/>
            </w:tcMar>
            <w:vAlign w:val="bottom"/>
          </w:tcPr>
          <w:p w:rsidR="00372B5D" w:rsidRDefault="00372B5D">
            <w:pPr>
              <w:pStyle w:val="NormalWeb"/>
              <w:spacing w:before="0" w:beforeAutospacing="0" w:after="0" w:afterAutospacing="0"/>
              <w:jc w:val="right"/>
              <w:rPr>
                <w:sz w:val="20"/>
                <w:szCs w:val="20"/>
              </w:rPr>
            </w:pPr>
          </w:p>
        </w:tc>
        <w:tc>
          <w:tcPr>
            <w:tcW w:w="701" w:type="dxa"/>
            <w:gridSpan w:val="2"/>
            <w:tcMar>
              <w:top w:w="0" w:type="dxa"/>
              <w:left w:w="0" w:type="dxa"/>
              <w:bottom w:w="0" w:type="dxa"/>
              <w:right w:w="14" w:type="dxa"/>
            </w:tcMar>
            <w:vAlign w:val="bottom"/>
          </w:tcPr>
          <w:p w:rsidR="00372B5D" w:rsidRDefault="009B4CE9">
            <w:pPr>
              <w:pStyle w:val="NormalWeb"/>
              <w:spacing w:before="0" w:beforeAutospacing="0" w:after="0" w:afterAutospacing="0"/>
              <w:jc w:val="right"/>
              <w:rPr>
                <w:sz w:val="20"/>
                <w:szCs w:val="20"/>
              </w:rPr>
            </w:pPr>
            <w:r>
              <w:rPr>
                <w:sz w:val="20"/>
                <w:szCs w:val="20"/>
              </w:rPr>
              <w:t>207</w:t>
            </w:r>
          </w:p>
        </w:tc>
        <w:tc>
          <w:tcPr>
            <w:tcW w:w="144" w:type="dxa"/>
            <w:tcMar>
              <w:top w:w="0" w:type="dxa"/>
              <w:left w:w="0" w:type="dxa"/>
              <w:bottom w:w="0" w:type="dxa"/>
              <w:right w:w="14" w:type="dxa"/>
            </w:tcMar>
            <w:vAlign w:val="bottom"/>
          </w:tcPr>
          <w:p w:rsidR="00372B5D" w:rsidRDefault="00372B5D">
            <w:pPr>
              <w:pStyle w:val="NormalWeb"/>
              <w:spacing w:before="0" w:beforeAutospacing="0" w:after="0" w:afterAutospacing="0"/>
              <w:rPr>
                <w:sz w:val="20"/>
                <w:szCs w:val="20"/>
              </w:rPr>
            </w:pPr>
          </w:p>
        </w:tc>
        <w:tc>
          <w:tcPr>
            <w:tcW w:w="240" w:type="dxa"/>
            <w:tcMar>
              <w:top w:w="0" w:type="dxa"/>
              <w:left w:w="0" w:type="dxa"/>
              <w:bottom w:w="0" w:type="dxa"/>
              <w:right w:w="14" w:type="dxa"/>
            </w:tcMar>
            <w:vAlign w:val="bottom"/>
          </w:tcPr>
          <w:p w:rsidR="00372B5D" w:rsidRDefault="00372B5D">
            <w:pPr>
              <w:pStyle w:val="NormalWeb"/>
              <w:spacing w:before="0" w:beforeAutospacing="0" w:after="0" w:afterAutospacing="0"/>
              <w:rPr>
                <w:sz w:val="20"/>
                <w:szCs w:val="20"/>
              </w:rPr>
            </w:pPr>
          </w:p>
        </w:tc>
        <w:tc>
          <w:tcPr>
            <w:tcW w:w="144" w:type="dxa"/>
            <w:tcMar>
              <w:top w:w="0" w:type="dxa"/>
              <w:left w:w="0" w:type="dxa"/>
              <w:bottom w:w="0" w:type="dxa"/>
              <w:right w:w="14" w:type="dxa"/>
            </w:tcMar>
            <w:vAlign w:val="bottom"/>
          </w:tcPr>
          <w:p w:rsidR="00372B5D" w:rsidRDefault="00372B5D">
            <w:pPr>
              <w:pStyle w:val="NormalWeb"/>
              <w:spacing w:before="0" w:beforeAutospacing="0" w:after="0" w:afterAutospacing="0"/>
              <w:jc w:val="right"/>
              <w:rPr>
                <w:sz w:val="20"/>
                <w:szCs w:val="20"/>
              </w:rPr>
            </w:pPr>
          </w:p>
        </w:tc>
        <w:tc>
          <w:tcPr>
            <w:tcW w:w="638" w:type="dxa"/>
            <w:gridSpan w:val="2"/>
            <w:tcMar>
              <w:top w:w="0" w:type="dxa"/>
              <w:left w:w="0" w:type="dxa"/>
              <w:bottom w:w="0" w:type="dxa"/>
              <w:right w:w="14" w:type="dxa"/>
            </w:tcMar>
            <w:vAlign w:val="bottom"/>
          </w:tcPr>
          <w:p w:rsidR="00372B5D" w:rsidRDefault="009B4CE9">
            <w:pPr>
              <w:pStyle w:val="NormalWeb"/>
              <w:spacing w:before="0" w:beforeAutospacing="0" w:after="0" w:afterAutospacing="0"/>
              <w:jc w:val="right"/>
              <w:rPr>
                <w:sz w:val="20"/>
                <w:szCs w:val="20"/>
              </w:rPr>
            </w:pPr>
            <w:r>
              <w:rPr>
                <w:sz w:val="20"/>
                <w:szCs w:val="20"/>
              </w:rPr>
              <w:t>207</w:t>
            </w:r>
          </w:p>
        </w:tc>
        <w:tc>
          <w:tcPr>
            <w:tcW w:w="144" w:type="dxa"/>
            <w:tcMar>
              <w:top w:w="0" w:type="dxa"/>
              <w:left w:w="0" w:type="dxa"/>
              <w:bottom w:w="0" w:type="dxa"/>
              <w:right w:w="14" w:type="dxa"/>
            </w:tcMar>
            <w:vAlign w:val="bottom"/>
          </w:tcPr>
          <w:p w:rsidR="00372B5D" w:rsidRDefault="00372B5D">
            <w:pPr>
              <w:pStyle w:val="NormalWeb"/>
              <w:spacing w:before="0" w:beforeAutospacing="0" w:after="0" w:afterAutospacing="0"/>
              <w:rPr>
                <w:sz w:val="2"/>
                <w:szCs w:val="2"/>
              </w:rPr>
            </w:pPr>
          </w:p>
        </w:tc>
        <w:tc>
          <w:tcPr>
            <w:tcW w:w="144" w:type="dxa"/>
            <w:tcMar>
              <w:top w:w="0" w:type="dxa"/>
              <w:left w:w="0" w:type="dxa"/>
              <w:bottom w:w="0" w:type="dxa"/>
              <w:right w:w="14" w:type="dxa"/>
            </w:tcMar>
            <w:vAlign w:val="bottom"/>
          </w:tcPr>
          <w:p w:rsidR="00372B5D" w:rsidRDefault="00372B5D">
            <w:pPr>
              <w:pStyle w:val="NormalWeb"/>
              <w:spacing w:before="0" w:beforeAutospacing="0" w:after="0" w:afterAutospacing="0"/>
              <w:rPr>
                <w:sz w:val="2"/>
                <w:szCs w:val="2"/>
              </w:rPr>
            </w:pPr>
          </w:p>
        </w:tc>
      </w:tr>
      <w:tr w:rsidR="009B4CE9">
        <w:trPr>
          <w:cantSplit/>
          <w:jc w:val="center"/>
        </w:trPr>
        <w:tc>
          <w:tcPr>
            <w:tcW w:w="4258" w:type="dxa"/>
            <w:tcMar>
              <w:top w:w="0" w:type="dxa"/>
              <w:left w:w="0" w:type="dxa"/>
              <w:bottom w:w="0" w:type="dxa"/>
              <w:right w:w="14" w:type="dxa"/>
            </w:tcMar>
          </w:tcPr>
          <w:p w:rsidR="009B4CE9" w:rsidRDefault="009B4CE9">
            <w:pPr>
              <w:pStyle w:val="NormalWeb"/>
              <w:spacing w:before="0" w:beforeAutospacing="0" w:after="0" w:afterAutospacing="0"/>
              <w:ind w:left="200" w:hanging="200"/>
              <w:rPr>
                <w:sz w:val="20"/>
                <w:szCs w:val="20"/>
              </w:rPr>
            </w:pPr>
            <w:r>
              <w:rPr>
                <w:sz w:val="20"/>
                <w:szCs w:val="20"/>
              </w:rPr>
              <w:t>2014</w:t>
            </w:r>
          </w:p>
        </w:tc>
        <w:tc>
          <w:tcPr>
            <w:tcW w:w="240" w:type="dxa"/>
            <w:tcMar>
              <w:top w:w="0" w:type="dxa"/>
              <w:left w:w="0" w:type="dxa"/>
              <w:bottom w:w="0" w:type="dxa"/>
              <w:right w:w="14" w:type="dxa"/>
            </w:tcMar>
            <w:vAlign w:val="bottom"/>
          </w:tcPr>
          <w:p w:rsidR="009B4CE9" w:rsidRDefault="009B4CE9">
            <w:pPr>
              <w:pStyle w:val="NormalWeb"/>
              <w:spacing w:before="0" w:beforeAutospacing="0" w:after="0" w:afterAutospacing="0"/>
              <w:rPr>
                <w:sz w:val="2"/>
                <w:szCs w:val="2"/>
              </w:rPr>
            </w:pPr>
          </w:p>
        </w:tc>
        <w:tc>
          <w:tcPr>
            <w:tcW w:w="144" w:type="dxa"/>
            <w:tcMar>
              <w:top w:w="0" w:type="dxa"/>
              <w:left w:w="0" w:type="dxa"/>
              <w:bottom w:w="0" w:type="dxa"/>
              <w:right w:w="14" w:type="dxa"/>
            </w:tcMar>
            <w:vAlign w:val="bottom"/>
          </w:tcPr>
          <w:p w:rsidR="009B4CE9" w:rsidRDefault="009B4CE9">
            <w:pPr>
              <w:pStyle w:val="NormalWeb"/>
              <w:spacing w:before="0" w:beforeAutospacing="0" w:after="0" w:afterAutospacing="0"/>
              <w:jc w:val="right"/>
              <w:rPr>
                <w:sz w:val="2"/>
                <w:szCs w:val="2"/>
              </w:rPr>
            </w:pPr>
          </w:p>
        </w:tc>
        <w:tc>
          <w:tcPr>
            <w:tcW w:w="638" w:type="dxa"/>
            <w:gridSpan w:val="2"/>
            <w:tcMar>
              <w:top w:w="0" w:type="dxa"/>
              <w:left w:w="0" w:type="dxa"/>
              <w:bottom w:w="0" w:type="dxa"/>
              <w:right w:w="14" w:type="dxa"/>
            </w:tcMar>
            <w:vAlign w:val="bottom"/>
          </w:tcPr>
          <w:p w:rsidR="009B4CE9" w:rsidDel="009B4CE9" w:rsidRDefault="00C841C2">
            <w:pPr>
              <w:pStyle w:val="NormalWeb"/>
              <w:spacing w:before="0" w:beforeAutospacing="0" w:after="0" w:afterAutospacing="0"/>
              <w:jc w:val="right"/>
              <w:rPr>
                <w:sz w:val="20"/>
                <w:szCs w:val="20"/>
              </w:rPr>
            </w:pPr>
            <w:r>
              <w:rPr>
                <w:sz w:val="20"/>
                <w:szCs w:val="20"/>
              </w:rPr>
              <w:t>-</w:t>
            </w:r>
          </w:p>
        </w:tc>
        <w:tc>
          <w:tcPr>
            <w:tcW w:w="144" w:type="dxa"/>
            <w:tcMar>
              <w:top w:w="0" w:type="dxa"/>
              <w:left w:w="0" w:type="dxa"/>
              <w:bottom w:w="0" w:type="dxa"/>
              <w:right w:w="14" w:type="dxa"/>
            </w:tcMar>
            <w:vAlign w:val="bottom"/>
          </w:tcPr>
          <w:p w:rsidR="009B4CE9" w:rsidRDefault="009B4CE9">
            <w:pPr>
              <w:pStyle w:val="NormalWeb"/>
              <w:spacing w:before="0" w:beforeAutospacing="0" w:after="0" w:afterAutospacing="0"/>
              <w:rPr>
                <w:sz w:val="20"/>
                <w:szCs w:val="20"/>
              </w:rPr>
            </w:pPr>
          </w:p>
        </w:tc>
        <w:tc>
          <w:tcPr>
            <w:tcW w:w="240" w:type="dxa"/>
            <w:tcMar>
              <w:top w:w="0" w:type="dxa"/>
              <w:left w:w="0" w:type="dxa"/>
              <w:bottom w:w="0" w:type="dxa"/>
              <w:right w:w="14" w:type="dxa"/>
            </w:tcMar>
            <w:vAlign w:val="bottom"/>
          </w:tcPr>
          <w:p w:rsidR="009B4CE9" w:rsidRDefault="009B4CE9">
            <w:pPr>
              <w:pStyle w:val="NormalWeb"/>
              <w:spacing w:before="0" w:beforeAutospacing="0" w:after="0" w:afterAutospacing="0"/>
              <w:rPr>
                <w:sz w:val="20"/>
                <w:szCs w:val="20"/>
              </w:rPr>
            </w:pPr>
          </w:p>
        </w:tc>
        <w:tc>
          <w:tcPr>
            <w:tcW w:w="144" w:type="dxa"/>
            <w:tcMar>
              <w:top w:w="0" w:type="dxa"/>
              <w:left w:w="0" w:type="dxa"/>
              <w:bottom w:w="0" w:type="dxa"/>
              <w:right w:w="14" w:type="dxa"/>
            </w:tcMar>
            <w:vAlign w:val="bottom"/>
          </w:tcPr>
          <w:p w:rsidR="009B4CE9" w:rsidRDefault="009B4CE9">
            <w:pPr>
              <w:pStyle w:val="NormalWeb"/>
              <w:spacing w:before="0" w:beforeAutospacing="0" w:after="0" w:afterAutospacing="0"/>
              <w:jc w:val="right"/>
              <w:rPr>
                <w:sz w:val="20"/>
                <w:szCs w:val="20"/>
              </w:rPr>
            </w:pPr>
          </w:p>
        </w:tc>
        <w:tc>
          <w:tcPr>
            <w:tcW w:w="701" w:type="dxa"/>
            <w:gridSpan w:val="2"/>
            <w:tcMar>
              <w:top w:w="0" w:type="dxa"/>
              <w:left w:w="0" w:type="dxa"/>
              <w:bottom w:w="0" w:type="dxa"/>
              <w:right w:w="14" w:type="dxa"/>
            </w:tcMar>
            <w:vAlign w:val="bottom"/>
          </w:tcPr>
          <w:p w:rsidR="009B4CE9" w:rsidDel="009B4CE9" w:rsidRDefault="009B4CE9">
            <w:pPr>
              <w:pStyle w:val="NormalWeb"/>
              <w:spacing w:before="0" w:beforeAutospacing="0" w:after="0" w:afterAutospacing="0"/>
              <w:jc w:val="right"/>
              <w:rPr>
                <w:sz w:val="20"/>
                <w:szCs w:val="20"/>
              </w:rPr>
            </w:pPr>
            <w:r>
              <w:rPr>
                <w:sz w:val="20"/>
                <w:szCs w:val="20"/>
              </w:rPr>
              <w:t>211</w:t>
            </w:r>
          </w:p>
        </w:tc>
        <w:tc>
          <w:tcPr>
            <w:tcW w:w="144" w:type="dxa"/>
            <w:tcMar>
              <w:top w:w="0" w:type="dxa"/>
              <w:left w:w="0" w:type="dxa"/>
              <w:bottom w:w="0" w:type="dxa"/>
              <w:right w:w="14" w:type="dxa"/>
            </w:tcMar>
            <w:vAlign w:val="bottom"/>
          </w:tcPr>
          <w:p w:rsidR="009B4CE9" w:rsidRDefault="009B4CE9">
            <w:pPr>
              <w:pStyle w:val="NormalWeb"/>
              <w:spacing w:before="0" w:beforeAutospacing="0" w:after="0" w:afterAutospacing="0"/>
              <w:rPr>
                <w:sz w:val="20"/>
                <w:szCs w:val="20"/>
              </w:rPr>
            </w:pPr>
          </w:p>
        </w:tc>
        <w:tc>
          <w:tcPr>
            <w:tcW w:w="240" w:type="dxa"/>
            <w:tcMar>
              <w:top w:w="0" w:type="dxa"/>
              <w:left w:w="0" w:type="dxa"/>
              <w:bottom w:w="0" w:type="dxa"/>
              <w:right w:w="14" w:type="dxa"/>
            </w:tcMar>
            <w:vAlign w:val="bottom"/>
          </w:tcPr>
          <w:p w:rsidR="009B4CE9" w:rsidRDefault="009B4CE9">
            <w:pPr>
              <w:pStyle w:val="NormalWeb"/>
              <w:spacing w:before="0" w:beforeAutospacing="0" w:after="0" w:afterAutospacing="0"/>
              <w:rPr>
                <w:sz w:val="20"/>
                <w:szCs w:val="20"/>
              </w:rPr>
            </w:pPr>
          </w:p>
        </w:tc>
        <w:tc>
          <w:tcPr>
            <w:tcW w:w="144" w:type="dxa"/>
            <w:tcMar>
              <w:top w:w="0" w:type="dxa"/>
              <w:left w:w="0" w:type="dxa"/>
              <w:bottom w:w="0" w:type="dxa"/>
              <w:right w:w="14" w:type="dxa"/>
            </w:tcMar>
            <w:vAlign w:val="bottom"/>
          </w:tcPr>
          <w:p w:rsidR="009B4CE9" w:rsidRDefault="009B4CE9">
            <w:pPr>
              <w:pStyle w:val="NormalWeb"/>
              <w:spacing w:before="0" w:beforeAutospacing="0" w:after="0" w:afterAutospacing="0"/>
              <w:jc w:val="right"/>
              <w:rPr>
                <w:sz w:val="20"/>
                <w:szCs w:val="20"/>
              </w:rPr>
            </w:pPr>
          </w:p>
        </w:tc>
        <w:tc>
          <w:tcPr>
            <w:tcW w:w="638" w:type="dxa"/>
            <w:gridSpan w:val="2"/>
            <w:tcMar>
              <w:top w:w="0" w:type="dxa"/>
              <w:left w:w="0" w:type="dxa"/>
              <w:bottom w:w="0" w:type="dxa"/>
              <w:right w:w="14" w:type="dxa"/>
            </w:tcMar>
            <w:vAlign w:val="bottom"/>
          </w:tcPr>
          <w:p w:rsidR="009B4CE9" w:rsidDel="009B4CE9" w:rsidRDefault="009B4CE9">
            <w:pPr>
              <w:pStyle w:val="NormalWeb"/>
              <w:spacing w:before="0" w:beforeAutospacing="0" w:after="0" w:afterAutospacing="0"/>
              <w:jc w:val="right"/>
              <w:rPr>
                <w:sz w:val="20"/>
                <w:szCs w:val="20"/>
              </w:rPr>
            </w:pPr>
            <w:r>
              <w:rPr>
                <w:sz w:val="20"/>
                <w:szCs w:val="20"/>
              </w:rPr>
              <w:t>211</w:t>
            </w:r>
          </w:p>
        </w:tc>
        <w:tc>
          <w:tcPr>
            <w:tcW w:w="144" w:type="dxa"/>
            <w:tcMar>
              <w:top w:w="0" w:type="dxa"/>
              <w:left w:w="0" w:type="dxa"/>
              <w:bottom w:w="0" w:type="dxa"/>
              <w:right w:w="14" w:type="dxa"/>
            </w:tcMar>
            <w:vAlign w:val="bottom"/>
          </w:tcPr>
          <w:p w:rsidR="009B4CE9" w:rsidRDefault="009B4CE9">
            <w:pPr>
              <w:pStyle w:val="NormalWeb"/>
              <w:spacing w:before="0" w:beforeAutospacing="0" w:after="0" w:afterAutospacing="0"/>
              <w:rPr>
                <w:sz w:val="2"/>
                <w:szCs w:val="2"/>
              </w:rPr>
            </w:pPr>
          </w:p>
        </w:tc>
        <w:tc>
          <w:tcPr>
            <w:tcW w:w="144" w:type="dxa"/>
            <w:tcMar>
              <w:top w:w="0" w:type="dxa"/>
              <w:left w:w="0" w:type="dxa"/>
              <w:bottom w:w="0" w:type="dxa"/>
              <w:right w:w="14" w:type="dxa"/>
            </w:tcMar>
            <w:vAlign w:val="bottom"/>
          </w:tcPr>
          <w:p w:rsidR="009B4CE9" w:rsidRDefault="009B4CE9">
            <w:pPr>
              <w:pStyle w:val="NormalWeb"/>
              <w:spacing w:before="0" w:beforeAutospacing="0" w:after="0" w:afterAutospacing="0"/>
              <w:rPr>
                <w:sz w:val="2"/>
                <w:szCs w:val="2"/>
              </w:rPr>
            </w:pPr>
          </w:p>
        </w:tc>
      </w:tr>
      <w:tr w:rsidR="009B4CE9">
        <w:trPr>
          <w:cantSplit/>
          <w:jc w:val="center"/>
        </w:trPr>
        <w:tc>
          <w:tcPr>
            <w:tcW w:w="4258" w:type="dxa"/>
            <w:tcMar>
              <w:top w:w="0" w:type="dxa"/>
              <w:left w:w="0" w:type="dxa"/>
              <w:bottom w:w="0" w:type="dxa"/>
              <w:right w:w="14" w:type="dxa"/>
            </w:tcMar>
          </w:tcPr>
          <w:p w:rsidR="009B4CE9" w:rsidRDefault="009B4CE9">
            <w:pPr>
              <w:pStyle w:val="NormalWeb"/>
              <w:spacing w:before="0" w:beforeAutospacing="0" w:after="0" w:afterAutospacing="0"/>
              <w:ind w:left="200" w:hanging="200"/>
              <w:rPr>
                <w:sz w:val="20"/>
                <w:szCs w:val="20"/>
              </w:rPr>
            </w:pPr>
            <w:r>
              <w:rPr>
                <w:sz w:val="20"/>
                <w:szCs w:val="20"/>
              </w:rPr>
              <w:t>2015</w:t>
            </w:r>
          </w:p>
        </w:tc>
        <w:tc>
          <w:tcPr>
            <w:tcW w:w="240" w:type="dxa"/>
            <w:tcMar>
              <w:top w:w="0" w:type="dxa"/>
              <w:left w:w="0" w:type="dxa"/>
              <w:bottom w:w="0" w:type="dxa"/>
              <w:right w:w="14" w:type="dxa"/>
            </w:tcMar>
            <w:vAlign w:val="bottom"/>
          </w:tcPr>
          <w:p w:rsidR="009B4CE9" w:rsidRDefault="009B4CE9">
            <w:pPr>
              <w:pStyle w:val="NormalWeb"/>
              <w:spacing w:before="0" w:beforeAutospacing="0" w:after="0" w:afterAutospacing="0"/>
              <w:rPr>
                <w:sz w:val="2"/>
                <w:szCs w:val="2"/>
              </w:rPr>
            </w:pPr>
          </w:p>
        </w:tc>
        <w:tc>
          <w:tcPr>
            <w:tcW w:w="144" w:type="dxa"/>
            <w:tcMar>
              <w:top w:w="0" w:type="dxa"/>
              <w:left w:w="0" w:type="dxa"/>
              <w:bottom w:w="0" w:type="dxa"/>
              <w:right w:w="14" w:type="dxa"/>
            </w:tcMar>
            <w:vAlign w:val="bottom"/>
          </w:tcPr>
          <w:p w:rsidR="009B4CE9" w:rsidRDefault="009B4CE9">
            <w:pPr>
              <w:pStyle w:val="NormalWeb"/>
              <w:spacing w:before="0" w:beforeAutospacing="0" w:after="0" w:afterAutospacing="0"/>
              <w:jc w:val="right"/>
              <w:rPr>
                <w:sz w:val="2"/>
                <w:szCs w:val="2"/>
              </w:rPr>
            </w:pPr>
          </w:p>
        </w:tc>
        <w:tc>
          <w:tcPr>
            <w:tcW w:w="638" w:type="dxa"/>
            <w:gridSpan w:val="2"/>
            <w:tcMar>
              <w:top w:w="0" w:type="dxa"/>
              <w:left w:w="0" w:type="dxa"/>
              <w:bottom w:w="0" w:type="dxa"/>
              <w:right w:w="14" w:type="dxa"/>
            </w:tcMar>
            <w:vAlign w:val="bottom"/>
          </w:tcPr>
          <w:p w:rsidR="009B4CE9" w:rsidDel="009B4CE9" w:rsidRDefault="00C841C2">
            <w:pPr>
              <w:pStyle w:val="NormalWeb"/>
              <w:spacing w:before="0" w:beforeAutospacing="0" w:after="0" w:afterAutospacing="0"/>
              <w:jc w:val="right"/>
              <w:rPr>
                <w:sz w:val="20"/>
                <w:szCs w:val="20"/>
              </w:rPr>
            </w:pPr>
            <w:r>
              <w:rPr>
                <w:sz w:val="20"/>
                <w:szCs w:val="20"/>
              </w:rPr>
              <w:t>-</w:t>
            </w:r>
          </w:p>
        </w:tc>
        <w:tc>
          <w:tcPr>
            <w:tcW w:w="144" w:type="dxa"/>
            <w:tcMar>
              <w:top w:w="0" w:type="dxa"/>
              <w:left w:w="0" w:type="dxa"/>
              <w:bottom w:w="0" w:type="dxa"/>
              <w:right w:w="14" w:type="dxa"/>
            </w:tcMar>
            <w:vAlign w:val="bottom"/>
          </w:tcPr>
          <w:p w:rsidR="009B4CE9" w:rsidRDefault="009B4CE9">
            <w:pPr>
              <w:pStyle w:val="NormalWeb"/>
              <w:spacing w:before="0" w:beforeAutospacing="0" w:after="0" w:afterAutospacing="0"/>
              <w:rPr>
                <w:sz w:val="20"/>
                <w:szCs w:val="20"/>
              </w:rPr>
            </w:pPr>
          </w:p>
        </w:tc>
        <w:tc>
          <w:tcPr>
            <w:tcW w:w="240" w:type="dxa"/>
            <w:tcMar>
              <w:top w:w="0" w:type="dxa"/>
              <w:left w:w="0" w:type="dxa"/>
              <w:bottom w:w="0" w:type="dxa"/>
              <w:right w:w="14" w:type="dxa"/>
            </w:tcMar>
            <w:vAlign w:val="bottom"/>
          </w:tcPr>
          <w:p w:rsidR="009B4CE9" w:rsidRDefault="009B4CE9">
            <w:pPr>
              <w:pStyle w:val="NormalWeb"/>
              <w:spacing w:before="0" w:beforeAutospacing="0" w:after="0" w:afterAutospacing="0"/>
              <w:rPr>
                <w:sz w:val="20"/>
                <w:szCs w:val="20"/>
              </w:rPr>
            </w:pPr>
          </w:p>
        </w:tc>
        <w:tc>
          <w:tcPr>
            <w:tcW w:w="144" w:type="dxa"/>
            <w:tcMar>
              <w:top w:w="0" w:type="dxa"/>
              <w:left w:w="0" w:type="dxa"/>
              <w:bottom w:w="0" w:type="dxa"/>
              <w:right w:w="14" w:type="dxa"/>
            </w:tcMar>
            <w:vAlign w:val="bottom"/>
          </w:tcPr>
          <w:p w:rsidR="009B4CE9" w:rsidRDefault="009B4CE9">
            <w:pPr>
              <w:pStyle w:val="NormalWeb"/>
              <w:spacing w:before="0" w:beforeAutospacing="0" w:after="0" w:afterAutospacing="0"/>
              <w:jc w:val="right"/>
              <w:rPr>
                <w:sz w:val="20"/>
                <w:szCs w:val="20"/>
              </w:rPr>
            </w:pPr>
          </w:p>
        </w:tc>
        <w:tc>
          <w:tcPr>
            <w:tcW w:w="701" w:type="dxa"/>
            <w:gridSpan w:val="2"/>
            <w:tcMar>
              <w:top w:w="0" w:type="dxa"/>
              <w:left w:w="0" w:type="dxa"/>
              <w:bottom w:w="0" w:type="dxa"/>
              <w:right w:w="14" w:type="dxa"/>
            </w:tcMar>
            <w:vAlign w:val="bottom"/>
          </w:tcPr>
          <w:p w:rsidR="009B4CE9" w:rsidDel="009B4CE9" w:rsidRDefault="009B4CE9">
            <w:pPr>
              <w:pStyle w:val="NormalWeb"/>
              <w:spacing w:before="0" w:beforeAutospacing="0" w:after="0" w:afterAutospacing="0"/>
              <w:jc w:val="right"/>
              <w:rPr>
                <w:sz w:val="20"/>
                <w:szCs w:val="20"/>
              </w:rPr>
            </w:pPr>
            <w:r>
              <w:rPr>
                <w:sz w:val="20"/>
                <w:szCs w:val="20"/>
              </w:rPr>
              <w:t>215</w:t>
            </w:r>
          </w:p>
        </w:tc>
        <w:tc>
          <w:tcPr>
            <w:tcW w:w="144" w:type="dxa"/>
            <w:tcMar>
              <w:top w:w="0" w:type="dxa"/>
              <w:left w:w="0" w:type="dxa"/>
              <w:bottom w:w="0" w:type="dxa"/>
              <w:right w:w="14" w:type="dxa"/>
            </w:tcMar>
            <w:vAlign w:val="bottom"/>
          </w:tcPr>
          <w:p w:rsidR="009B4CE9" w:rsidRDefault="009B4CE9">
            <w:pPr>
              <w:pStyle w:val="NormalWeb"/>
              <w:spacing w:before="0" w:beforeAutospacing="0" w:after="0" w:afterAutospacing="0"/>
              <w:rPr>
                <w:sz w:val="20"/>
                <w:szCs w:val="20"/>
              </w:rPr>
            </w:pPr>
          </w:p>
        </w:tc>
        <w:tc>
          <w:tcPr>
            <w:tcW w:w="240" w:type="dxa"/>
            <w:tcMar>
              <w:top w:w="0" w:type="dxa"/>
              <w:left w:w="0" w:type="dxa"/>
              <w:bottom w:w="0" w:type="dxa"/>
              <w:right w:w="14" w:type="dxa"/>
            </w:tcMar>
            <w:vAlign w:val="bottom"/>
          </w:tcPr>
          <w:p w:rsidR="009B4CE9" w:rsidRDefault="009B4CE9">
            <w:pPr>
              <w:pStyle w:val="NormalWeb"/>
              <w:spacing w:before="0" w:beforeAutospacing="0" w:after="0" w:afterAutospacing="0"/>
              <w:rPr>
                <w:sz w:val="20"/>
                <w:szCs w:val="20"/>
              </w:rPr>
            </w:pPr>
          </w:p>
        </w:tc>
        <w:tc>
          <w:tcPr>
            <w:tcW w:w="144" w:type="dxa"/>
            <w:tcMar>
              <w:top w:w="0" w:type="dxa"/>
              <w:left w:w="0" w:type="dxa"/>
              <w:bottom w:w="0" w:type="dxa"/>
              <w:right w:w="14" w:type="dxa"/>
            </w:tcMar>
            <w:vAlign w:val="bottom"/>
          </w:tcPr>
          <w:p w:rsidR="009B4CE9" w:rsidRDefault="009B4CE9">
            <w:pPr>
              <w:pStyle w:val="NormalWeb"/>
              <w:spacing w:before="0" w:beforeAutospacing="0" w:after="0" w:afterAutospacing="0"/>
              <w:jc w:val="right"/>
              <w:rPr>
                <w:sz w:val="20"/>
                <w:szCs w:val="20"/>
              </w:rPr>
            </w:pPr>
          </w:p>
        </w:tc>
        <w:tc>
          <w:tcPr>
            <w:tcW w:w="638" w:type="dxa"/>
            <w:gridSpan w:val="2"/>
            <w:tcMar>
              <w:top w:w="0" w:type="dxa"/>
              <w:left w:w="0" w:type="dxa"/>
              <w:bottom w:w="0" w:type="dxa"/>
              <w:right w:w="14" w:type="dxa"/>
            </w:tcMar>
            <w:vAlign w:val="bottom"/>
          </w:tcPr>
          <w:p w:rsidR="009B4CE9" w:rsidDel="009B4CE9" w:rsidRDefault="009B4CE9">
            <w:pPr>
              <w:pStyle w:val="NormalWeb"/>
              <w:spacing w:before="0" w:beforeAutospacing="0" w:after="0" w:afterAutospacing="0"/>
              <w:jc w:val="right"/>
              <w:rPr>
                <w:sz w:val="20"/>
                <w:szCs w:val="20"/>
              </w:rPr>
            </w:pPr>
            <w:r>
              <w:rPr>
                <w:sz w:val="20"/>
                <w:szCs w:val="20"/>
              </w:rPr>
              <w:t>215</w:t>
            </w:r>
          </w:p>
        </w:tc>
        <w:tc>
          <w:tcPr>
            <w:tcW w:w="144" w:type="dxa"/>
            <w:tcMar>
              <w:top w:w="0" w:type="dxa"/>
              <w:left w:w="0" w:type="dxa"/>
              <w:bottom w:w="0" w:type="dxa"/>
              <w:right w:w="14" w:type="dxa"/>
            </w:tcMar>
            <w:vAlign w:val="bottom"/>
          </w:tcPr>
          <w:p w:rsidR="009B4CE9" w:rsidRDefault="009B4CE9">
            <w:pPr>
              <w:pStyle w:val="NormalWeb"/>
              <w:spacing w:before="0" w:beforeAutospacing="0" w:after="0" w:afterAutospacing="0"/>
              <w:rPr>
                <w:sz w:val="2"/>
                <w:szCs w:val="2"/>
              </w:rPr>
            </w:pPr>
          </w:p>
        </w:tc>
        <w:tc>
          <w:tcPr>
            <w:tcW w:w="144" w:type="dxa"/>
            <w:tcMar>
              <w:top w:w="0" w:type="dxa"/>
              <w:left w:w="0" w:type="dxa"/>
              <w:bottom w:w="0" w:type="dxa"/>
              <w:right w:w="14" w:type="dxa"/>
            </w:tcMar>
            <w:vAlign w:val="bottom"/>
          </w:tcPr>
          <w:p w:rsidR="009B4CE9" w:rsidRDefault="009B4CE9">
            <w:pPr>
              <w:pStyle w:val="NormalWeb"/>
              <w:spacing w:before="0" w:beforeAutospacing="0" w:after="0" w:afterAutospacing="0"/>
              <w:rPr>
                <w:sz w:val="2"/>
                <w:szCs w:val="2"/>
              </w:rPr>
            </w:pPr>
          </w:p>
        </w:tc>
      </w:tr>
      <w:tr w:rsidR="004851D7">
        <w:trPr>
          <w:cantSplit/>
          <w:jc w:val="center"/>
        </w:trPr>
        <w:tc>
          <w:tcPr>
            <w:tcW w:w="4258" w:type="dxa"/>
            <w:tcMar>
              <w:top w:w="0" w:type="dxa"/>
              <w:left w:w="0" w:type="dxa"/>
              <w:bottom w:w="0" w:type="dxa"/>
              <w:right w:w="14" w:type="dxa"/>
            </w:tcMar>
          </w:tcPr>
          <w:p w:rsidR="004851D7" w:rsidRDefault="009B4CE9" w:rsidP="009B4CE9">
            <w:pPr>
              <w:pStyle w:val="NormalWeb"/>
              <w:spacing w:before="0" w:beforeAutospacing="0" w:after="0" w:afterAutospacing="0"/>
              <w:ind w:left="200" w:hanging="200"/>
            </w:pPr>
            <w:r>
              <w:rPr>
                <w:sz w:val="20"/>
                <w:szCs w:val="20"/>
              </w:rPr>
              <w:t>2016</w:t>
            </w:r>
          </w:p>
        </w:tc>
        <w:tc>
          <w:tcPr>
            <w:tcW w:w="240" w:type="dxa"/>
            <w:tcMar>
              <w:top w:w="0" w:type="dxa"/>
              <w:left w:w="0" w:type="dxa"/>
              <w:bottom w:w="0" w:type="dxa"/>
              <w:right w:w="14" w:type="dxa"/>
            </w:tcMar>
            <w:vAlign w:val="bottom"/>
          </w:tcPr>
          <w:p w:rsidR="004851D7" w:rsidRDefault="004851D7">
            <w:pPr>
              <w:pStyle w:val="NormalWeb"/>
              <w:spacing w:before="0" w:beforeAutospacing="0" w:after="0" w:afterAutospacing="0"/>
            </w:pPr>
            <w:r>
              <w:rPr>
                <w:sz w:val="2"/>
                <w:szCs w:val="2"/>
              </w:rPr>
              <w:t> </w:t>
            </w:r>
          </w:p>
        </w:tc>
        <w:tc>
          <w:tcPr>
            <w:tcW w:w="144" w:type="dxa"/>
            <w:tcMar>
              <w:top w:w="0" w:type="dxa"/>
              <w:left w:w="0" w:type="dxa"/>
              <w:bottom w:w="0" w:type="dxa"/>
              <w:right w:w="14" w:type="dxa"/>
            </w:tcMar>
            <w:vAlign w:val="bottom"/>
          </w:tcPr>
          <w:p w:rsidR="004851D7" w:rsidRDefault="004851D7">
            <w:pPr>
              <w:pStyle w:val="NormalWeb"/>
              <w:spacing w:before="0" w:beforeAutospacing="0" w:after="0" w:afterAutospacing="0"/>
              <w:jc w:val="right"/>
            </w:pPr>
            <w:r>
              <w:rPr>
                <w:sz w:val="2"/>
                <w:szCs w:val="2"/>
              </w:rPr>
              <w:t> </w:t>
            </w:r>
          </w:p>
        </w:tc>
        <w:tc>
          <w:tcPr>
            <w:tcW w:w="638" w:type="dxa"/>
            <w:gridSpan w:val="2"/>
            <w:tcMar>
              <w:top w:w="0" w:type="dxa"/>
              <w:left w:w="0" w:type="dxa"/>
              <w:bottom w:w="0" w:type="dxa"/>
              <w:right w:w="14" w:type="dxa"/>
            </w:tcMar>
            <w:vAlign w:val="bottom"/>
          </w:tcPr>
          <w:p w:rsidR="004851D7" w:rsidRDefault="00C841C2">
            <w:pPr>
              <w:pStyle w:val="NormalWeb"/>
              <w:spacing w:before="0" w:beforeAutospacing="0" w:after="0" w:afterAutospacing="0"/>
              <w:jc w:val="right"/>
              <w:rPr>
                <w:sz w:val="20"/>
                <w:szCs w:val="20"/>
              </w:rPr>
            </w:pPr>
            <w:r>
              <w:rPr>
                <w:sz w:val="20"/>
                <w:szCs w:val="20"/>
              </w:rPr>
              <w:t>-</w:t>
            </w:r>
          </w:p>
        </w:tc>
        <w:tc>
          <w:tcPr>
            <w:tcW w:w="144" w:type="dxa"/>
            <w:tcMar>
              <w:top w:w="0" w:type="dxa"/>
              <w:left w:w="0" w:type="dxa"/>
              <w:bottom w:w="0" w:type="dxa"/>
              <w:right w:w="14" w:type="dxa"/>
            </w:tcMar>
            <w:vAlign w:val="bottom"/>
          </w:tcPr>
          <w:p w:rsidR="004851D7" w:rsidRDefault="004851D7">
            <w:pPr>
              <w:pStyle w:val="NormalWeb"/>
              <w:spacing w:before="0" w:beforeAutospacing="0" w:after="0" w:afterAutospacing="0"/>
              <w:rPr>
                <w:sz w:val="20"/>
                <w:szCs w:val="20"/>
              </w:rPr>
            </w:pPr>
          </w:p>
        </w:tc>
        <w:tc>
          <w:tcPr>
            <w:tcW w:w="240" w:type="dxa"/>
            <w:tcMar>
              <w:top w:w="0" w:type="dxa"/>
              <w:left w:w="0" w:type="dxa"/>
              <w:bottom w:w="0" w:type="dxa"/>
              <w:right w:w="14" w:type="dxa"/>
            </w:tcMar>
            <w:vAlign w:val="bottom"/>
          </w:tcPr>
          <w:p w:rsidR="004851D7" w:rsidRDefault="004851D7">
            <w:pPr>
              <w:pStyle w:val="NormalWeb"/>
              <w:spacing w:before="0" w:beforeAutospacing="0" w:after="0" w:afterAutospacing="0"/>
              <w:rPr>
                <w:sz w:val="20"/>
                <w:szCs w:val="20"/>
              </w:rPr>
            </w:pPr>
          </w:p>
        </w:tc>
        <w:tc>
          <w:tcPr>
            <w:tcW w:w="144" w:type="dxa"/>
            <w:tcMar>
              <w:top w:w="0" w:type="dxa"/>
              <w:left w:w="0" w:type="dxa"/>
              <w:bottom w:w="0" w:type="dxa"/>
              <w:right w:w="14" w:type="dxa"/>
            </w:tcMar>
            <w:vAlign w:val="bottom"/>
          </w:tcPr>
          <w:p w:rsidR="004851D7" w:rsidRDefault="004851D7">
            <w:pPr>
              <w:pStyle w:val="NormalWeb"/>
              <w:spacing w:before="0" w:beforeAutospacing="0" w:after="0" w:afterAutospacing="0"/>
              <w:jc w:val="right"/>
              <w:rPr>
                <w:sz w:val="20"/>
                <w:szCs w:val="20"/>
              </w:rPr>
            </w:pPr>
          </w:p>
        </w:tc>
        <w:tc>
          <w:tcPr>
            <w:tcW w:w="701" w:type="dxa"/>
            <w:gridSpan w:val="2"/>
            <w:tcMar>
              <w:top w:w="0" w:type="dxa"/>
              <w:left w:w="0" w:type="dxa"/>
              <w:bottom w:w="0" w:type="dxa"/>
              <w:right w:w="14" w:type="dxa"/>
            </w:tcMar>
            <w:vAlign w:val="bottom"/>
          </w:tcPr>
          <w:p w:rsidR="004851D7" w:rsidRDefault="009B4CE9" w:rsidP="009B4CE9">
            <w:pPr>
              <w:pStyle w:val="NormalWeb"/>
              <w:spacing w:before="0" w:beforeAutospacing="0" w:after="0" w:afterAutospacing="0"/>
              <w:jc w:val="right"/>
              <w:rPr>
                <w:sz w:val="20"/>
                <w:szCs w:val="20"/>
              </w:rPr>
            </w:pPr>
            <w:r>
              <w:rPr>
                <w:sz w:val="20"/>
                <w:szCs w:val="20"/>
              </w:rPr>
              <w:t>108</w:t>
            </w:r>
          </w:p>
        </w:tc>
        <w:tc>
          <w:tcPr>
            <w:tcW w:w="144" w:type="dxa"/>
            <w:tcMar>
              <w:top w:w="0" w:type="dxa"/>
              <w:left w:w="0" w:type="dxa"/>
              <w:bottom w:w="0" w:type="dxa"/>
              <w:right w:w="14" w:type="dxa"/>
            </w:tcMar>
            <w:vAlign w:val="bottom"/>
          </w:tcPr>
          <w:p w:rsidR="004851D7" w:rsidRDefault="004851D7">
            <w:pPr>
              <w:pStyle w:val="NormalWeb"/>
              <w:spacing w:before="0" w:beforeAutospacing="0" w:after="0" w:afterAutospacing="0"/>
              <w:rPr>
                <w:sz w:val="20"/>
                <w:szCs w:val="20"/>
              </w:rPr>
            </w:pPr>
          </w:p>
        </w:tc>
        <w:tc>
          <w:tcPr>
            <w:tcW w:w="240" w:type="dxa"/>
            <w:tcMar>
              <w:top w:w="0" w:type="dxa"/>
              <w:left w:w="0" w:type="dxa"/>
              <w:bottom w:w="0" w:type="dxa"/>
              <w:right w:w="14" w:type="dxa"/>
            </w:tcMar>
            <w:vAlign w:val="bottom"/>
          </w:tcPr>
          <w:p w:rsidR="004851D7" w:rsidRDefault="004851D7">
            <w:pPr>
              <w:pStyle w:val="NormalWeb"/>
              <w:spacing w:before="0" w:beforeAutospacing="0" w:after="0" w:afterAutospacing="0"/>
              <w:rPr>
                <w:sz w:val="20"/>
                <w:szCs w:val="20"/>
              </w:rPr>
            </w:pPr>
          </w:p>
        </w:tc>
        <w:tc>
          <w:tcPr>
            <w:tcW w:w="144" w:type="dxa"/>
            <w:tcMar>
              <w:top w:w="0" w:type="dxa"/>
              <w:left w:w="0" w:type="dxa"/>
              <w:bottom w:w="0" w:type="dxa"/>
              <w:right w:w="14" w:type="dxa"/>
            </w:tcMar>
            <w:vAlign w:val="bottom"/>
          </w:tcPr>
          <w:p w:rsidR="004851D7" w:rsidRDefault="004851D7">
            <w:pPr>
              <w:pStyle w:val="NormalWeb"/>
              <w:spacing w:before="0" w:beforeAutospacing="0" w:after="0" w:afterAutospacing="0"/>
              <w:jc w:val="right"/>
              <w:rPr>
                <w:sz w:val="20"/>
                <w:szCs w:val="20"/>
              </w:rPr>
            </w:pPr>
          </w:p>
        </w:tc>
        <w:tc>
          <w:tcPr>
            <w:tcW w:w="638" w:type="dxa"/>
            <w:gridSpan w:val="2"/>
            <w:tcMar>
              <w:top w:w="0" w:type="dxa"/>
              <w:left w:w="0" w:type="dxa"/>
              <w:bottom w:w="0" w:type="dxa"/>
              <w:right w:w="14" w:type="dxa"/>
            </w:tcMar>
            <w:vAlign w:val="bottom"/>
          </w:tcPr>
          <w:p w:rsidR="004851D7" w:rsidRDefault="009B4CE9">
            <w:pPr>
              <w:pStyle w:val="NormalWeb"/>
              <w:spacing w:before="0" w:beforeAutospacing="0" w:after="0" w:afterAutospacing="0"/>
              <w:jc w:val="right"/>
              <w:rPr>
                <w:sz w:val="20"/>
                <w:szCs w:val="20"/>
              </w:rPr>
            </w:pPr>
            <w:r>
              <w:rPr>
                <w:sz w:val="20"/>
                <w:szCs w:val="20"/>
              </w:rPr>
              <w:t>108</w:t>
            </w:r>
          </w:p>
        </w:tc>
        <w:tc>
          <w:tcPr>
            <w:tcW w:w="144" w:type="dxa"/>
            <w:tcMar>
              <w:top w:w="0" w:type="dxa"/>
              <w:left w:w="0" w:type="dxa"/>
              <w:bottom w:w="0" w:type="dxa"/>
              <w:right w:w="14" w:type="dxa"/>
            </w:tcMar>
            <w:vAlign w:val="bottom"/>
          </w:tcPr>
          <w:p w:rsidR="004851D7" w:rsidRDefault="004851D7">
            <w:pPr>
              <w:pStyle w:val="NormalWeb"/>
              <w:spacing w:before="0" w:beforeAutospacing="0" w:after="0" w:afterAutospacing="0"/>
            </w:pPr>
            <w:r>
              <w:rPr>
                <w:sz w:val="2"/>
                <w:szCs w:val="2"/>
              </w:rPr>
              <w:t> </w:t>
            </w:r>
          </w:p>
        </w:tc>
        <w:tc>
          <w:tcPr>
            <w:tcW w:w="144" w:type="dxa"/>
            <w:tcMar>
              <w:top w:w="0" w:type="dxa"/>
              <w:left w:w="0" w:type="dxa"/>
              <w:bottom w:w="0" w:type="dxa"/>
              <w:right w:w="14" w:type="dxa"/>
            </w:tcMar>
            <w:vAlign w:val="bottom"/>
          </w:tcPr>
          <w:p w:rsidR="004851D7" w:rsidRDefault="004851D7">
            <w:pPr>
              <w:pStyle w:val="NormalWeb"/>
              <w:spacing w:before="0" w:beforeAutospacing="0" w:after="0" w:afterAutospacing="0"/>
            </w:pPr>
            <w:r>
              <w:rPr>
                <w:sz w:val="2"/>
                <w:szCs w:val="2"/>
              </w:rPr>
              <w:t> </w:t>
            </w:r>
          </w:p>
        </w:tc>
      </w:tr>
      <w:tr w:rsidR="004851D7">
        <w:trPr>
          <w:cantSplit/>
          <w:jc w:val="center"/>
        </w:trPr>
        <w:tc>
          <w:tcPr>
            <w:tcW w:w="4258" w:type="dxa"/>
            <w:tcMar>
              <w:top w:w="0" w:type="dxa"/>
              <w:left w:w="0" w:type="dxa"/>
              <w:bottom w:w="0" w:type="dxa"/>
              <w:right w:w="14" w:type="dxa"/>
            </w:tcMar>
          </w:tcPr>
          <w:p w:rsidR="004851D7" w:rsidRDefault="004851D7">
            <w:pPr>
              <w:pStyle w:val="NormalWeb"/>
              <w:spacing w:before="0" w:beforeAutospacing="0" w:after="0" w:afterAutospacing="0"/>
              <w:ind w:left="200" w:hanging="200"/>
            </w:pPr>
            <w:r>
              <w:rPr>
                <w:sz w:val="20"/>
                <w:szCs w:val="20"/>
              </w:rPr>
              <w:t>Thereafter</w:t>
            </w:r>
          </w:p>
        </w:tc>
        <w:tc>
          <w:tcPr>
            <w:tcW w:w="240" w:type="dxa"/>
            <w:tcMar>
              <w:top w:w="0" w:type="dxa"/>
              <w:left w:w="0" w:type="dxa"/>
              <w:bottom w:w="0" w:type="dxa"/>
              <w:right w:w="14" w:type="dxa"/>
            </w:tcMar>
            <w:vAlign w:val="bottom"/>
          </w:tcPr>
          <w:p w:rsidR="004851D7" w:rsidRDefault="004851D7">
            <w:pPr>
              <w:pStyle w:val="NormalWeb"/>
              <w:spacing w:before="0" w:beforeAutospacing="0" w:after="0" w:afterAutospacing="0"/>
            </w:pPr>
            <w:r>
              <w:rPr>
                <w:sz w:val="2"/>
                <w:szCs w:val="2"/>
              </w:rPr>
              <w:t> </w:t>
            </w:r>
          </w:p>
        </w:tc>
        <w:tc>
          <w:tcPr>
            <w:tcW w:w="144" w:type="dxa"/>
            <w:tcMar>
              <w:top w:w="0" w:type="dxa"/>
              <w:left w:w="0" w:type="dxa"/>
              <w:bottom w:w="0" w:type="dxa"/>
              <w:right w:w="14" w:type="dxa"/>
            </w:tcMar>
            <w:vAlign w:val="bottom"/>
          </w:tcPr>
          <w:p w:rsidR="004851D7" w:rsidRDefault="004851D7">
            <w:pPr>
              <w:pStyle w:val="NormalWeb"/>
              <w:spacing w:before="0" w:beforeAutospacing="0" w:after="0" w:afterAutospacing="0"/>
              <w:jc w:val="right"/>
            </w:pPr>
            <w:r>
              <w:rPr>
                <w:sz w:val="2"/>
                <w:szCs w:val="2"/>
              </w:rPr>
              <w:t> </w:t>
            </w:r>
          </w:p>
        </w:tc>
        <w:tc>
          <w:tcPr>
            <w:tcW w:w="638" w:type="dxa"/>
            <w:gridSpan w:val="2"/>
            <w:tcBorders>
              <w:top w:val="nil"/>
              <w:left w:val="nil"/>
              <w:bottom w:val="single" w:sz="8" w:space="0" w:color="auto"/>
              <w:right w:val="nil"/>
            </w:tcBorders>
            <w:tcMar>
              <w:top w:w="0" w:type="dxa"/>
              <w:left w:w="0" w:type="dxa"/>
              <w:bottom w:w="0" w:type="dxa"/>
              <w:right w:w="14" w:type="dxa"/>
            </w:tcMar>
            <w:vAlign w:val="bottom"/>
          </w:tcPr>
          <w:p w:rsidR="004851D7" w:rsidRDefault="00C841C2">
            <w:pPr>
              <w:pStyle w:val="NormalWeb"/>
              <w:spacing w:before="0" w:beforeAutospacing="0" w:after="0" w:afterAutospacing="0"/>
              <w:jc w:val="right"/>
              <w:rPr>
                <w:sz w:val="20"/>
                <w:szCs w:val="20"/>
              </w:rPr>
            </w:pPr>
            <w:r>
              <w:rPr>
                <w:sz w:val="20"/>
                <w:szCs w:val="20"/>
              </w:rPr>
              <w:t>-</w:t>
            </w:r>
          </w:p>
        </w:tc>
        <w:tc>
          <w:tcPr>
            <w:tcW w:w="144" w:type="dxa"/>
            <w:tcMar>
              <w:top w:w="0" w:type="dxa"/>
              <w:left w:w="0" w:type="dxa"/>
              <w:bottom w:w="0" w:type="dxa"/>
              <w:right w:w="14" w:type="dxa"/>
            </w:tcMar>
            <w:vAlign w:val="bottom"/>
          </w:tcPr>
          <w:p w:rsidR="004851D7" w:rsidRDefault="004851D7">
            <w:pPr>
              <w:pStyle w:val="NormalWeb"/>
              <w:spacing w:before="0" w:beforeAutospacing="0" w:after="0" w:afterAutospacing="0"/>
              <w:rPr>
                <w:sz w:val="20"/>
                <w:szCs w:val="20"/>
              </w:rPr>
            </w:pPr>
          </w:p>
        </w:tc>
        <w:tc>
          <w:tcPr>
            <w:tcW w:w="240" w:type="dxa"/>
            <w:tcMar>
              <w:top w:w="0" w:type="dxa"/>
              <w:left w:w="0" w:type="dxa"/>
              <w:bottom w:w="0" w:type="dxa"/>
              <w:right w:w="14" w:type="dxa"/>
            </w:tcMar>
            <w:vAlign w:val="bottom"/>
          </w:tcPr>
          <w:p w:rsidR="004851D7" w:rsidRDefault="004851D7">
            <w:pPr>
              <w:pStyle w:val="NormalWeb"/>
              <w:spacing w:before="0" w:beforeAutospacing="0" w:after="0" w:afterAutospacing="0"/>
              <w:rPr>
                <w:sz w:val="20"/>
                <w:szCs w:val="20"/>
              </w:rPr>
            </w:pPr>
          </w:p>
        </w:tc>
        <w:tc>
          <w:tcPr>
            <w:tcW w:w="144" w:type="dxa"/>
            <w:tcMar>
              <w:top w:w="0" w:type="dxa"/>
              <w:left w:w="0" w:type="dxa"/>
              <w:bottom w:w="0" w:type="dxa"/>
              <w:right w:w="14" w:type="dxa"/>
            </w:tcMar>
            <w:vAlign w:val="bottom"/>
          </w:tcPr>
          <w:p w:rsidR="004851D7" w:rsidRDefault="004851D7">
            <w:pPr>
              <w:pStyle w:val="NormalWeb"/>
              <w:spacing w:before="0" w:beforeAutospacing="0" w:after="0" w:afterAutospacing="0"/>
              <w:jc w:val="right"/>
              <w:rPr>
                <w:sz w:val="20"/>
                <w:szCs w:val="20"/>
              </w:rPr>
            </w:pPr>
          </w:p>
        </w:tc>
        <w:tc>
          <w:tcPr>
            <w:tcW w:w="701" w:type="dxa"/>
            <w:gridSpan w:val="2"/>
            <w:tcBorders>
              <w:top w:val="nil"/>
              <w:left w:val="nil"/>
              <w:bottom w:val="single" w:sz="8" w:space="0" w:color="auto"/>
              <w:right w:val="nil"/>
            </w:tcBorders>
            <w:tcMar>
              <w:top w:w="0" w:type="dxa"/>
              <w:left w:w="0" w:type="dxa"/>
              <w:bottom w:w="0" w:type="dxa"/>
              <w:right w:w="14" w:type="dxa"/>
            </w:tcMar>
            <w:vAlign w:val="bottom"/>
          </w:tcPr>
          <w:p w:rsidR="004851D7" w:rsidRDefault="00C841C2">
            <w:pPr>
              <w:pStyle w:val="NormalWeb"/>
              <w:spacing w:before="0" w:beforeAutospacing="0" w:after="0" w:afterAutospacing="0"/>
              <w:jc w:val="right"/>
              <w:rPr>
                <w:sz w:val="20"/>
                <w:szCs w:val="20"/>
              </w:rPr>
            </w:pPr>
            <w:r>
              <w:rPr>
                <w:sz w:val="20"/>
                <w:szCs w:val="20"/>
              </w:rPr>
              <w:t>-</w:t>
            </w:r>
          </w:p>
        </w:tc>
        <w:tc>
          <w:tcPr>
            <w:tcW w:w="144" w:type="dxa"/>
            <w:tcMar>
              <w:top w:w="0" w:type="dxa"/>
              <w:left w:w="0" w:type="dxa"/>
              <w:bottom w:w="8" w:type="dxa"/>
              <w:right w:w="14" w:type="dxa"/>
            </w:tcMar>
            <w:vAlign w:val="bottom"/>
          </w:tcPr>
          <w:p w:rsidR="004851D7" w:rsidRDefault="004851D7">
            <w:pPr>
              <w:pStyle w:val="NormalWeb"/>
              <w:spacing w:before="0" w:beforeAutospacing="0" w:after="0" w:afterAutospacing="0"/>
              <w:rPr>
                <w:sz w:val="20"/>
                <w:szCs w:val="20"/>
              </w:rPr>
            </w:pPr>
          </w:p>
        </w:tc>
        <w:tc>
          <w:tcPr>
            <w:tcW w:w="240" w:type="dxa"/>
            <w:tcMar>
              <w:top w:w="0" w:type="dxa"/>
              <w:left w:w="0" w:type="dxa"/>
              <w:bottom w:w="0" w:type="dxa"/>
              <w:right w:w="14" w:type="dxa"/>
            </w:tcMar>
            <w:vAlign w:val="bottom"/>
          </w:tcPr>
          <w:p w:rsidR="004851D7" w:rsidRDefault="004851D7">
            <w:pPr>
              <w:pStyle w:val="NormalWeb"/>
              <w:spacing w:before="0" w:beforeAutospacing="0" w:after="0" w:afterAutospacing="0"/>
              <w:rPr>
                <w:sz w:val="20"/>
                <w:szCs w:val="20"/>
              </w:rPr>
            </w:pPr>
          </w:p>
        </w:tc>
        <w:tc>
          <w:tcPr>
            <w:tcW w:w="144" w:type="dxa"/>
            <w:tcMar>
              <w:top w:w="0" w:type="dxa"/>
              <w:left w:w="0" w:type="dxa"/>
              <w:bottom w:w="0" w:type="dxa"/>
              <w:right w:w="14" w:type="dxa"/>
            </w:tcMar>
            <w:vAlign w:val="bottom"/>
          </w:tcPr>
          <w:p w:rsidR="004851D7" w:rsidRDefault="004851D7">
            <w:pPr>
              <w:pStyle w:val="NormalWeb"/>
              <w:spacing w:before="0" w:beforeAutospacing="0" w:after="0" w:afterAutospacing="0"/>
              <w:jc w:val="right"/>
              <w:rPr>
                <w:sz w:val="20"/>
                <w:szCs w:val="20"/>
              </w:rPr>
            </w:pPr>
          </w:p>
        </w:tc>
        <w:tc>
          <w:tcPr>
            <w:tcW w:w="638" w:type="dxa"/>
            <w:gridSpan w:val="2"/>
            <w:tcBorders>
              <w:top w:val="nil"/>
              <w:left w:val="nil"/>
              <w:bottom w:val="single" w:sz="8" w:space="0" w:color="auto"/>
              <w:right w:val="nil"/>
            </w:tcBorders>
            <w:tcMar>
              <w:top w:w="0" w:type="dxa"/>
              <w:left w:w="0" w:type="dxa"/>
              <w:bottom w:w="0" w:type="dxa"/>
              <w:right w:w="14" w:type="dxa"/>
            </w:tcMar>
            <w:vAlign w:val="bottom"/>
          </w:tcPr>
          <w:p w:rsidR="004851D7" w:rsidRDefault="00C841C2">
            <w:pPr>
              <w:pStyle w:val="NormalWeb"/>
              <w:spacing w:before="0" w:beforeAutospacing="0" w:after="0" w:afterAutospacing="0"/>
              <w:jc w:val="right"/>
              <w:rPr>
                <w:sz w:val="20"/>
                <w:szCs w:val="20"/>
              </w:rPr>
            </w:pPr>
            <w:r>
              <w:rPr>
                <w:sz w:val="20"/>
                <w:szCs w:val="20"/>
              </w:rPr>
              <w:t>-</w:t>
            </w:r>
          </w:p>
        </w:tc>
        <w:tc>
          <w:tcPr>
            <w:tcW w:w="144" w:type="dxa"/>
            <w:tcMar>
              <w:top w:w="0" w:type="dxa"/>
              <w:left w:w="0" w:type="dxa"/>
              <w:bottom w:w="0" w:type="dxa"/>
              <w:right w:w="14" w:type="dxa"/>
            </w:tcMar>
            <w:vAlign w:val="bottom"/>
          </w:tcPr>
          <w:p w:rsidR="004851D7" w:rsidRDefault="004851D7">
            <w:pPr>
              <w:pStyle w:val="NormalWeb"/>
              <w:spacing w:before="0" w:beforeAutospacing="0" w:after="0" w:afterAutospacing="0"/>
            </w:pPr>
            <w:r>
              <w:rPr>
                <w:sz w:val="2"/>
                <w:szCs w:val="2"/>
              </w:rPr>
              <w:t> </w:t>
            </w:r>
          </w:p>
        </w:tc>
        <w:tc>
          <w:tcPr>
            <w:tcW w:w="144" w:type="dxa"/>
            <w:tcMar>
              <w:top w:w="0" w:type="dxa"/>
              <w:left w:w="0" w:type="dxa"/>
              <w:bottom w:w="0" w:type="dxa"/>
              <w:right w:w="14" w:type="dxa"/>
            </w:tcMar>
            <w:vAlign w:val="bottom"/>
          </w:tcPr>
          <w:p w:rsidR="004851D7" w:rsidRDefault="004851D7">
            <w:pPr>
              <w:pStyle w:val="NormalWeb"/>
              <w:spacing w:before="0" w:beforeAutospacing="0" w:after="0" w:afterAutospacing="0"/>
            </w:pPr>
            <w:r>
              <w:rPr>
                <w:sz w:val="2"/>
                <w:szCs w:val="2"/>
              </w:rPr>
              <w:t> </w:t>
            </w:r>
          </w:p>
        </w:tc>
      </w:tr>
      <w:tr w:rsidR="004851D7">
        <w:trPr>
          <w:cantSplit/>
          <w:jc w:val="center"/>
        </w:trPr>
        <w:tc>
          <w:tcPr>
            <w:tcW w:w="4258" w:type="dxa"/>
            <w:tcMar>
              <w:top w:w="0" w:type="dxa"/>
              <w:left w:w="0" w:type="dxa"/>
              <w:bottom w:w="0" w:type="dxa"/>
              <w:right w:w="14" w:type="dxa"/>
            </w:tcMar>
          </w:tcPr>
          <w:p w:rsidR="004851D7" w:rsidRDefault="004851D7">
            <w:pPr>
              <w:pStyle w:val="NormalWeb"/>
              <w:spacing w:before="0" w:beforeAutospacing="0" w:after="0" w:afterAutospacing="0"/>
              <w:ind w:left="200" w:hanging="200"/>
            </w:pPr>
            <w:r>
              <w:rPr>
                <w:sz w:val="2"/>
                <w:szCs w:val="2"/>
              </w:rPr>
              <w:t> </w:t>
            </w:r>
          </w:p>
        </w:tc>
        <w:tc>
          <w:tcPr>
            <w:tcW w:w="240" w:type="dxa"/>
            <w:tcMar>
              <w:top w:w="0" w:type="dxa"/>
              <w:left w:w="0" w:type="dxa"/>
              <w:bottom w:w="0" w:type="dxa"/>
              <w:right w:w="14" w:type="dxa"/>
            </w:tcMar>
            <w:vAlign w:val="bottom"/>
          </w:tcPr>
          <w:p w:rsidR="004851D7" w:rsidRDefault="004851D7">
            <w:pPr>
              <w:pStyle w:val="NormalWeb"/>
              <w:spacing w:before="0" w:beforeAutospacing="0" w:after="0" w:afterAutospacing="0"/>
            </w:pPr>
            <w:r>
              <w:rPr>
                <w:sz w:val="2"/>
                <w:szCs w:val="2"/>
              </w:rPr>
              <w:t> </w:t>
            </w:r>
          </w:p>
        </w:tc>
        <w:tc>
          <w:tcPr>
            <w:tcW w:w="144" w:type="dxa"/>
            <w:tcMar>
              <w:top w:w="0" w:type="dxa"/>
              <w:left w:w="0" w:type="dxa"/>
              <w:bottom w:w="0" w:type="dxa"/>
              <w:right w:w="14" w:type="dxa"/>
            </w:tcMar>
            <w:vAlign w:val="bottom"/>
          </w:tcPr>
          <w:p w:rsidR="004851D7" w:rsidRDefault="004851D7">
            <w:pPr>
              <w:pStyle w:val="NormalWeb"/>
              <w:spacing w:before="0" w:beforeAutospacing="0" w:after="0" w:afterAutospacing="0"/>
              <w:jc w:val="right"/>
            </w:pPr>
            <w:r>
              <w:rPr>
                <w:sz w:val="2"/>
                <w:szCs w:val="2"/>
              </w:rPr>
              <w:t> </w:t>
            </w:r>
          </w:p>
        </w:tc>
        <w:tc>
          <w:tcPr>
            <w:tcW w:w="144" w:type="dxa"/>
            <w:tcBorders>
              <w:top w:val="nil"/>
              <w:left w:val="nil"/>
              <w:bottom w:val="double" w:sz="6" w:space="0" w:color="auto"/>
              <w:right w:val="nil"/>
            </w:tcBorders>
            <w:tcMar>
              <w:top w:w="0" w:type="dxa"/>
              <w:left w:w="0" w:type="dxa"/>
              <w:bottom w:w="0" w:type="dxa"/>
              <w:right w:w="14" w:type="dxa"/>
            </w:tcMar>
            <w:vAlign w:val="bottom"/>
          </w:tcPr>
          <w:p w:rsidR="004851D7" w:rsidRDefault="004851D7">
            <w:pPr>
              <w:pStyle w:val="NormalWeb"/>
              <w:spacing w:before="0" w:beforeAutospacing="0" w:after="0" w:afterAutospacing="0"/>
            </w:pPr>
          </w:p>
        </w:tc>
        <w:tc>
          <w:tcPr>
            <w:tcW w:w="494" w:type="dxa"/>
            <w:tcBorders>
              <w:top w:val="single" w:sz="8" w:space="0" w:color="auto"/>
              <w:left w:val="nil"/>
              <w:bottom w:val="double" w:sz="6" w:space="0" w:color="auto"/>
              <w:right w:val="nil"/>
            </w:tcBorders>
            <w:tcMar>
              <w:top w:w="0" w:type="dxa"/>
              <w:left w:w="0" w:type="dxa"/>
              <w:bottom w:w="0" w:type="dxa"/>
              <w:right w:w="14" w:type="dxa"/>
            </w:tcMar>
            <w:vAlign w:val="bottom"/>
          </w:tcPr>
          <w:p w:rsidR="004851D7" w:rsidRDefault="004851D7" w:rsidP="00F37B16">
            <w:pPr>
              <w:pStyle w:val="NormalWeb"/>
              <w:spacing w:before="0" w:beforeAutospacing="0" w:after="0" w:afterAutospacing="0"/>
              <w:jc w:val="right"/>
              <w:rPr>
                <w:sz w:val="20"/>
                <w:szCs w:val="20"/>
              </w:rPr>
            </w:pPr>
            <w:r>
              <w:rPr>
                <w:sz w:val="20"/>
                <w:szCs w:val="20"/>
              </w:rPr>
              <w:t>$</w:t>
            </w:r>
            <w:r w:rsidR="00F37B16">
              <w:rPr>
                <w:sz w:val="20"/>
                <w:szCs w:val="20"/>
              </w:rPr>
              <w:t>4</w:t>
            </w:r>
          </w:p>
        </w:tc>
        <w:tc>
          <w:tcPr>
            <w:tcW w:w="144" w:type="dxa"/>
            <w:tcMar>
              <w:top w:w="0" w:type="dxa"/>
              <w:left w:w="0" w:type="dxa"/>
              <w:bottom w:w="0" w:type="dxa"/>
              <w:right w:w="14" w:type="dxa"/>
            </w:tcMar>
            <w:vAlign w:val="bottom"/>
          </w:tcPr>
          <w:p w:rsidR="004851D7" w:rsidRDefault="004851D7">
            <w:pPr>
              <w:pStyle w:val="NormalWeb"/>
              <w:spacing w:before="0" w:beforeAutospacing="0" w:after="0" w:afterAutospacing="0"/>
              <w:jc w:val="right"/>
              <w:rPr>
                <w:sz w:val="20"/>
                <w:szCs w:val="20"/>
              </w:rPr>
            </w:pPr>
          </w:p>
        </w:tc>
        <w:tc>
          <w:tcPr>
            <w:tcW w:w="240" w:type="dxa"/>
            <w:tcMar>
              <w:top w:w="0" w:type="dxa"/>
              <w:left w:w="0" w:type="dxa"/>
              <w:bottom w:w="0" w:type="dxa"/>
              <w:right w:w="14" w:type="dxa"/>
            </w:tcMar>
            <w:vAlign w:val="bottom"/>
          </w:tcPr>
          <w:p w:rsidR="004851D7" w:rsidRDefault="004851D7">
            <w:pPr>
              <w:pStyle w:val="NormalWeb"/>
              <w:spacing w:before="0" w:beforeAutospacing="0" w:after="0" w:afterAutospacing="0"/>
              <w:rPr>
                <w:sz w:val="20"/>
                <w:szCs w:val="20"/>
              </w:rPr>
            </w:pPr>
          </w:p>
        </w:tc>
        <w:tc>
          <w:tcPr>
            <w:tcW w:w="144" w:type="dxa"/>
            <w:tcMar>
              <w:top w:w="0" w:type="dxa"/>
              <w:left w:w="0" w:type="dxa"/>
              <w:bottom w:w="0" w:type="dxa"/>
              <w:right w:w="14" w:type="dxa"/>
            </w:tcMar>
            <w:vAlign w:val="bottom"/>
          </w:tcPr>
          <w:p w:rsidR="004851D7" w:rsidRDefault="004851D7">
            <w:pPr>
              <w:pStyle w:val="NormalWeb"/>
              <w:spacing w:before="0" w:beforeAutospacing="0" w:after="0" w:afterAutospacing="0"/>
              <w:jc w:val="right"/>
              <w:rPr>
                <w:sz w:val="20"/>
                <w:szCs w:val="20"/>
              </w:rPr>
            </w:pPr>
          </w:p>
        </w:tc>
        <w:tc>
          <w:tcPr>
            <w:tcW w:w="144" w:type="dxa"/>
            <w:tcBorders>
              <w:top w:val="nil"/>
              <w:left w:val="nil"/>
              <w:bottom w:val="double" w:sz="6" w:space="0" w:color="auto"/>
              <w:right w:val="nil"/>
            </w:tcBorders>
            <w:tcMar>
              <w:top w:w="0" w:type="dxa"/>
              <w:left w:w="0" w:type="dxa"/>
              <w:bottom w:w="0" w:type="dxa"/>
              <w:right w:w="14" w:type="dxa"/>
            </w:tcMar>
            <w:vAlign w:val="bottom"/>
          </w:tcPr>
          <w:p w:rsidR="004851D7" w:rsidRDefault="004851D7">
            <w:pPr>
              <w:pStyle w:val="NormalWeb"/>
              <w:spacing w:before="0" w:beforeAutospacing="0" w:after="0" w:afterAutospacing="0"/>
              <w:rPr>
                <w:sz w:val="20"/>
                <w:szCs w:val="20"/>
              </w:rPr>
            </w:pPr>
          </w:p>
        </w:tc>
        <w:tc>
          <w:tcPr>
            <w:tcW w:w="557" w:type="dxa"/>
            <w:tcBorders>
              <w:top w:val="single" w:sz="8" w:space="0" w:color="auto"/>
              <w:left w:val="nil"/>
              <w:bottom w:val="double" w:sz="6" w:space="0" w:color="auto"/>
              <w:right w:val="nil"/>
            </w:tcBorders>
            <w:tcMar>
              <w:top w:w="0" w:type="dxa"/>
              <w:left w:w="0" w:type="dxa"/>
              <w:bottom w:w="0" w:type="dxa"/>
              <w:right w:w="14" w:type="dxa"/>
            </w:tcMar>
            <w:vAlign w:val="bottom"/>
          </w:tcPr>
          <w:p w:rsidR="004851D7" w:rsidRDefault="004851D7" w:rsidP="009B4CE9">
            <w:pPr>
              <w:pStyle w:val="NormalWeb"/>
              <w:spacing w:before="0" w:beforeAutospacing="0" w:after="0" w:afterAutospacing="0"/>
              <w:jc w:val="right"/>
              <w:rPr>
                <w:sz w:val="20"/>
                <w:szCs w:val="20"/>
              </w:rPr>
            </w:pPr>
            <w:r>
              <w:rPr>
                <w:sz w:val="20"/>
                <w:szCs w:val="20"/>
              </w:rPr>
              <w:t>$</w:t>
            </w:r>
            <w:r w:rsidR="009B4CE9">
              <w:rPr>
                <w:sz w:val="20"/>
                <w:szCs w:val="20"/>
              </w:rPr>
              <w:t>944</w:t>
            </w:r>
          </w:p>
        </w:tc>
        <w:tc>
          <w:tcPr>
            <w:tcW w:w="144" w:type="dxa"/>
            <w:tcMar>
              <w:top w:w="0" w:type="dxa"/>
              <w:left w:w="0" w:type="dxa"/>
              <w:bottom w:w="45" w:type="dxa"/>
              <w:right w:w="14" w:type="dxa"/>
            </w:tcMar>
            <w:vAlign w:val="bottom"/>
          </w:tcPr>
          <w:p w:rsidR="004851D7" w:rsidRDefault="004851D7">
            <w:pPr>
              <w:pStyle w:val="NormalWeb"/>
              <w:spacing w:before="0" w:beforeAutospacing="0" w:after="0" w:afterAutospacing="0"/>
              <w:rPr>
                <w:sz w:val="20"/>
                <w:szCs w:val="20"/>
              </w:rPr>
            </w:pPr>
          </w:p>
        </w:tc>
        <w:tc>
          <w:tcPr>
            <w:tcW w:w="240" w:type="dxa"/>
            <w:tcMar>
              <w:top w:w="0" w:type="dxa"/>
              <w:left w:w="0" w:type="dxa"/>
              <w:bottom w:w="0" w:type="dxa"/>
              <w:right w:w="14" w:type="dxa"/>
            </w:tcMar>
            <w:vAlign w:val="bottom"/>
          </w:tcPr>
          <w:p w:rsidR="004851D7" w:rsidRDefault="004851D7">
            <w:pPr>
              <w:pStyle w:val="NormalWeb"/>
              <w:spacing w:before="0" w:beforeAutospacing="0" w:after="0" w:afterAutospacing="0"/>
              <w:rPr>
                <w:sz w:val="20"/>
                <w:szCs w:val="20"/>
              </w:rPr>
            </w:pPr>
          </w:p>
        </w:tc>
        <w:tc>
          <w:tcPr>
            <w:tcW w:w="144" w:type="dxa"/>
            <w:tcMar>
              <w:top w:w="0" w:type="dxa"/>
              <w:left w:w="0" w:type="dxa"/>
              <w:bottom w:w="0" w:type="dxa"/>
              <w:right w:w="14" w:type="dxa"/>
            </w:tcMar>
            <w:vAlign w:val="bottom"/>
          </w:tcPr>
          <w:p w:rsidR="004851D7" w:rsidRDefault="004851D7">
            <w:pPr>
              <w:pStyle w:val="NormalWeb"/>
              <w:spacing w:before="0" w:beforeAutospacing="0" w:after="0" w:afterAutospacing="0"/>
              <w:jc w:val="right"/>
              <w:rPr>
                <w:sz w:val="20"/>
                <w:szCs w:val="20"/>
              </w:rPr>
            </w:pPr>
          </w:p>
        </w:tc>
        <w:tc>
          <w:tcPr>
            <w:tcW w:w="144" w:type="dxa"/>
            <w:tcBorders>
              <w:top w:val="nil"/>
              <w:left w:val="nil"/>
              <w:bottom w:val="double" w:sz="6" w:space="0" w:color="auto"/>
              <w:right w:val="nil"/>
            </w:tcBorders>
            <w:tcMar>
              <w:top w:w="0" w:type="dxa"/>
              <w:left w:w="0" w:type="dxa"/>
              <w:bottom w:w="0" w:type="dxa"/>
              <w:right w:w="14" w:type="dxa"/>
            </w:tcMar>
            <w:vAlign w:val="bottom"/>
          </w:tcPr>
          <w:p w:rsidR="004851D7" w:rsidRDefault="004851D7">
            <w:pPr>
              <w:pStyle w:val="NormalWeb"/>
              <w:spacing w:before="0" w:beforeAutospacing="0" w:after="0" w:afterAutospacing="0"/>
              <w:rPr>
                <w:sz w:val="20"/>
                <w:szCs w:val="20"/>
              </w:rPr>
            </w:pPr>
          </w:p>
        </w:tc>
        <w:tc>
          <w:tcPr>
            <w:tcW w:w="494" w:type="dxa"/>
            <w:tcBorders>
              <w:top w:val="single" w:sz="8" w:space="0" w:color="auto"/>
              <w:left w:val="nil"/>
              <w:bottom w:val="double" w:sz="6" w:space="0" w:color="auto"/>
              <w:right w:val="nil"/>
            </w:tcBorders>
            <w:tcMar>
              <w:top w:w="0" w:type="dxa"/>
              <w:left w:w="0" w:type="dxa"/>
              <w:bottom w:w="0" w:type="dxa"/>
              <w:right w:w="14" w:type="dxa"/>
            </w:tcMar>
            <w:vAlign w:val="bottom"/>
          </w:tcPr>
          <w:p w:rsidR="004851D7" w:rsidRDefault="004851D7" w:rsidP="00F37B16">
            <w:pPr>
              <w:pStyle w:val="NormalWeb"/>
              <w:spacing w:before="0" w:beforeAutospacing="0" w:after="0" w:afterAutospacing="0"/>
              <w:jc w:val="right"/>
              <w:rPr>
                <w:sz w:val="20"/>
                <w:szCs w:val="20"/>
              </w:rPr>
            </w:pPr>
            <w:r>
              <w:rPr>
                <w:sz w:val="20"/>
                <w:szCs w:val="20"/>
              </w:rPr>
              <w:t>$</w:t>
            </w:r>
            <w:r w:rsidR="00F37B16">
              <w:rPr>
                <w:sz w:val="20"/>
                <w:szCs w:val="20"/>
              </w:rPr>
              <w:t>948</w:t>
            </w:r>
          </w:p>
        </w:tc>
        <w:tc>
          <w:tcPr>
            <w:tcW w:w="144" w:type="dxa"/>
            <w:tcMar>
              <w:top w:w="0" w:type="dxa"/>
              <w:left w:w="0" w:type="dxa"/>
              <w:bottom w:w="0" w:type="dxa"/>
              <w:right w:w="14" w:type="dxa"/>
            </w:tcMar>
            <w:vAlign w:val="bottom"/>
          </w:tcPr>
          <w:p w:rsidR="004851D7" w:rsidRDefault="004851D7">
            <w:pPr>
              <w:pStyle w:val="NormalWeb"/>
              <w:spacing w:before="0" w:beforeAutospacing="0" w:after="0" w:afterAutospacing="0"/>
              <w:jc w:val="right"/>
            </w:pPr>
            <w:r>
              <w:rPr>
                <w:sz w:val="2"/>
                <w:szCs w:val="2"/>
              </w:rPr>
              <w:t> </w:t>
            </w:r>
          </w:p>
        </w:tc>
        <w:tc>
          <w:tcPr>
            <w:tcW w:w="144" w:type="dxa"/>
            <w:tcMar>
              <w:top w:w="0" w:type="dxa"/>
              <w:left w:w="0" w:type="dxa"/>
              <w:bottom w:w="0" w:type="dxa"/>
              <w:right w:w="14" w:type="dxa"/>
            </w:tcMar>
            <w:vAlign w:val="bottom"/>
          </w:tcPr>
          <w:p w:rsidR="004851D7" w:rsidRDefault="004851D7">
            <w:pPr>
              <w:pStyle w:val="NormalWeb"/>
              <w:spacing w:before="0" w:beforeAutospacing="0" w:after="0" w:afterAutospacing="0"/>
            </w:pPr>
            <w:r>
              <w:rPr>
                <w:sz w:val="2"/>
                <w:szCs w:val="2"/>
              </w:rPr>
              <w:t> </w:t>
            </w:r>
          </w:p>
        </w:tc>
      </w:tr>
    </w:tbl>
    <w:p w:rsidR="004851D7" w:rsidRDefault="004851D7">
      <w:pPr>
        <w:pStyle w:val="NormalWeb"/>
        <w:spacing w:before="0" w:beforeAutospacing="0" w:after="240" w:afterAutospacing="0" w:line="20" w:lineRule="atLeast"/>
      </w:pPr>
      <w:r>
        <w:rPr>
          <w:sz w:val="15"/>
          <w:szCs w:val="15"/>
        </w:rPr>
        <w:t> </w:t>
      </w:r>
    </w:p>
    <w:p w:rsidR="004851D7" w:rsidRDefault="006E4AC9">
      <w:pPr>
        <w:pStyle w:val="NormalWeb"/>
        <w:spacing w:before="0" w:beforeAutospacing="0" w:after="120" w:afterAutospacing="0"/>
        <w:ind w:firstLine="720"/>
        <w:rPr>
          <w:sz w:val="20"/>
          <w:szCs w:val="20"/>
        </w:rPr>
      </w:pPr>
      <w:r>
        <w:rPr>
          <w:sz w:val="20"/>
          <w:szCs w:val="20"/>
        </w:rPr>
        <w:t>Our current capital lease obligation for office equipm</w:t>
      </w:r>
      <w:r w:rsidR="008D0FEB">
        <w:rPr>
          <w:sz w:val="20"/>
          <w:szCs w:val="20"/>
        </w:rPr>
        <w:t xml:space="preserve">ent terminates in April 2012. </w:t>
      </w:r>
      <w:r w:rsidR="009C341B">
        <w:rPr>
          <w:sz w:val="20"/>
          <w:szCs w:val="20"/>
        </w:rPr>
        <w:t>W</w:t>
      </w:r>
      <w:r w:rsidR="008D0FEB">
        <w:rPr>
          <w:sz w:val="20"/>
          <w:szCs w:val="20"/>
        </w:rPr>
        <w:t>e</w:t>
      </w:r>
      <w:r>
        <w:rPr>
          <w:sz w:val="20"/>
          <w:szCs w:val="20"/>
        </w:rPr>
        <w:t xml:space="preserve"> anticipate replacing the equipment</w:t>
      </w:r>
      <w:r w:rsidR="009C341B">
        <w:rPr>
          <w:sz w:val="20"/>
          <w:szCs w:val="20"/>
        </w:rPr>
        <w:t xml:space="preserve"> and expect future lease payments to be comparable to the current lease. </w:t>
      </w:r>
      <w:r w:rsidR="004851D7">
        <w:rPr>
          <w:sz w:val="20"/>
          <w:szCs w:val="20"/>
        </w:rPr>
        <w:t xml:space="preserve"> However, we have not yet executed a binding agreement regarding such amounts.</w:t>
      </w:r>
    </w:p>
    <w:p w:rsidR="003B4A3C" w:rsidRDefault="003B4A3C">
      <w:pPr>
        <w:pStyle w:val="NormalWeb"/>
        <w:spacing w:before="0" w:beforeAutospacing="0" w:after="120" w:afterAutospacing="0"/>
        <w:ind w:firstLine="720"/>
        <w:rPr>
          <w:sz w:val="20"/>
          <w:szCs w:val="20"/>
        </w:rPr>
      </w:pPr>
      <w:r w:rsidRPr="005A44D6">
        <w:rPr>
          <w:sz w:val="20"/>
          <w:szCs w:val="20"/>
        </w:rPr>
        <w:t xml:space="preserve">Our operating lease </w:t>
      </w:r>
      <w:r w:rsidRPr="00F671C5">
        <w:rPr>
          <w:sz w:val="20"/>
          <w:szCs w:val="20"/>
        </w:rPr>
        <w:t>obligations relate</w:t>
      </w:r>
      <w:r w:rsidRPr="005A44D6">
        <w:rPr>
          <w:sz w:val="20"/>
          <w:szCs w:val="20"/>
        </w:rPr>
        <w:t xml:space="preserve"> to our facility lease </w:t>
      </w:r>
      <w:r w:rsidRPr="00F671C5">
        <w:rPr>
          <w:sz w:val="20"/>
          <w:szCs w:val="20"/>
        </w:rPr>
        <w:t>with a term from April 1, 2011 through June 30, 2016.</w:t>
      </w:r>
      <w:r>
        <w:rPr>
          <w:sz w:val="20"/>
          <w:szCs w:val="20"/>
        </w:rPr>
        <w:t xml:space="preserve"> </w:t>
      </w:r>
    </w:p>
    <w:p w:rsidR="004851D7" w:rsidRDefault="004851D7">
      <w:pPr>
        <w:pStyle w:val="NormalWeb"/>
        <w:spacing w:before="0" w:beforeAutospacing="0" w:after="120" w:afterAutospacing="0"/>
        <w:ind w:firstLine="720"/>
        <w:rPr>
          <w:sz w:val="20"/>
          <w:szCs w:val="20"/>
        </w:rPr>
      </w:pPr>
      <w:r>
        <w:rPr>
          <w:sz w:val="20"/>
          <w:szCs w:val="20"/>
        </w:rPr>
        <w:t xml:space="preserve">From time to time we enter into purchase commitments with our suppliers under customary purchase order terms. Any significant losses implicit in these contracts would be recognized in accordance with generally accepted accounting principles. At December 31, </w:t>
      </w:r>
      <w:r w:rsidR="009B4CE9">
        <w:rPr>
          <w:sz w:val="20"/>
          <w:szCs w:val="20"/>
        </w:rPr>
        <w:t xml:space="preserve">2011 </w:t>
      </w:r>
      <w:r>
        <w:rPr>
          <w:sz w:val="20"/>
          <w:szCs w:val="20"/>
        </w:rPr>
        <w:t>no such losses existed.</w:t>
      </w:r>
    </w:p>
    <w:p w:rsidR="004851D7" w:rsidRDefault="004851D7">
      <w:pPr>
        <w:pStyle w:val="NormalWeb"/>
        <w:spacing w:before="0" w:beforeAutospacing="0" w:after="120" w:afterAutospacing="0"/>
        <w:ind w:firstLine="400"/>
      </w:pPr>
    </w:p>
    <w:p w:rsidR="004851D7" w:rsidRDefault="004851D7">
      <w:pPr>
        <w:spacing w:after="240"/>
        <w:rPr>
          <w:b/>
          <w:bCs/>
          <w:color w:val="000000"/>
          <w:sz w:val="20"/>
        </w:rPr>
      </w:pPr>
      <w:r>
        <w:rPr>
          <w:b/>
          <w:bCs/>
          <w:color w:val="000000"/>
          <w:sz w:val="20"/>
        </w:rPr>
        <w:t>Off-Balance Sheet Arrangements</w:t>
      </w:r>
    </w:p>
    <w:p w:rsidR="004851D7" w:rsidRDefault="004851D7">
      <w:pPr>
        <w:spacing w:after="240"/>
        <w:ind w:firstLine="720"/>
        <w:rPr>
          <w:bCs/>
          <w:color w:val="000000"/>
          <w:sz w:val="20"/>
        </w:rPr>
      </w:pPr>
      <w:proofErr w:type="gramStart"/>
      <w:r>
        <w:rPr>
          <w:bCs/>
          <w:color w:val="000000"/>
          <w:sz w:val="20"/>
        </w:rPr>
        <w:t>None.</w:t>
      </w:r>
      <w:proofErr w:type="gramEnd"/>
    </w:p>
    <w:p w:rsidR="004851D7" w:rsidRDefault="004851D7">
      <w:pPr>
        <w:spacing w:after="240"/>
        <w:rPr>
          <w:color w:val="000000"/>
          <w:sz w:val="20"/>
        </w:rPr>
      </w:pPr>
      <w:proofErr w:type="gramStart"/>
      <w:r>
        <w:rPr>
          <w:b/>
          <w:bCs/>
          <w:color w:val="000000"/>
          <w:sz w:val="20"/>
        </w:rPr>
        <w:t>New accounting pronouncements.</w:t>
      </w:r>
      <w:proofErr w:type="gramEnd"/>
      <w:r>
        <w:rPr>
          <w:b/>
          <w:bCs/>
          <w:color w:val="000000"/>
          <w:sz w:val="20"/>
        </w:rPr>
        <w:t xml:space="preserve">  </w:t>
      </w:r>
      <w:r>
        <w:rPr>
          <w:color w:val="000000"/>
          <w:sz w:val="20"/>
        </w:rPr>
        <w:t>Refer to Note 3 in our financial statements.</w:t>
      </w:r>
    </w:p>
    <w:p w:rsidR="00C23444" w:rsidRDefault="00C23444" w:rsidP="00D51EA1">
      <w:pPr>
        <w:pStyle w:val="Heading2"/>
      </w:pPr>
      <w:bookmarkStart w:id="17" w:name="_Toc319405345"/>
      <w:proofErr w:type="gramStart"/>
      <w:r w:rsidRPr="00C23444">
        <w:t>ITEM 7A.</w:t>
      </w:r>
      <w:proofErr w:type="gramEnd"/>
      <w:r w:rsidRPr="00C23444">
        <w:tab/>
        <w:t>QUANTITATIVE AND QUALITATIVE DISCLOSURES ABOUT MARKET RISK</w:t>
      </w:r>
      <w:bookmarkEnd w:id="17"/>
    </w:p>
    <w:p w:rsidR="00D51EA1" w:rsidRPr="00D51EA1" w:rsidRDefault="00D51EA1" w:rsidP="00D51EA1"/>
    <w:p w:rsidR="00C23444" w:rsidRDefault="00C23444">
      <w:pPr>
        <w:spacing w:after="240"/>
        <w:rPr>
          <w:color w:val="000000"/>
          <w:sz w:val="20"/>
        </w:rPr>
      </w:pPr>
      <w:r>
        <w:rPr>
          <w:color w:val="000000"/>
          <w:sz w:val="20"/>
        </w:rPr>
        <w:tab/>
        <w:t>As a smaller reporting company, we are not required to provide the information required in this Item.</w:t>
      </w:r>
    </w:p>
    <w:p w:rsidR="004851D7" w:rsidRDefault="004851D7" w:rsidP="00D51EA1">
      <w:pPr>
        <w:pStyle w:val="Heading2"/>
      </w:pPr>
      <w:r>
        <w:br w:type="page"/>
      </w:r>
      <w:bookmarkStart w:id="18" w:name="_Toc319405346"/>
      <w:proofErr w:type="gramStart"/>
      <w:r>
        <w:t>ITEM 8.</w:t>
      </w:r>
      <w:proofErr w:type="gramEnd"/>
      <w:r>
        <w:tab/>
        <w:t>FINANCIAL STATEMENTS AND SUPPLEMENTARY DATA</w:t>
      </w:r>
      <w:bookmarkEnd w:id="18"/>
    </w:p>
    <w:p w:rsidR="00D51EA1" w:rsidRPr="00D51EA1" w:rsidRDefault="00D51EA1" w:rsidP="00D51EA1"/>
    <w:p w:rsidR="004851D7" w:rsidRDefault="004851D7">
      <w:pPr>
        <w:jc w:val="center"/>
        <w:rPr>
          <w:b/>
          <w:bCs/>
          <w:sz w:val="20"/>
        </w:rPr>
      </w:pPr>
      <w:r>
        <w:rPr>
          <w:b/>
          <w:bCs/>
          <w:sz w:val="20"/>
        </w:rPr>
        <w:t>Report of Independent Registered Public Accounting Firm</w:t>
      </w:r>
    </w:p>
    <w:p w:rsidR="004851D7" w:rsidRDefault="004851D7">
      <w:pPr>
        <w:rPr>
          <w:sz w:val="20"/>
        </w:rPr>
      </w:pPr>
    </w:p>
    <w:p w:rsidR="004851D7" w:rsidRDefault="004851D7">
      <w:pPr>
        <w:rPr>
          <w:sz w:val="20"/>
        </w:rPr>
      </w:pPr>
    </w:p>
    <w:p w:rsidR="00856584" w:rsidRPr="00856584" w:rsidRDefault="00856584" w:rsidP="00856584">
      <w:pPr>
        <w:rPr>
          <w:sz w:val="20"/>
          <w:szCs w:val="20"/>
        </w:rPr>
      </w:pPr>
      <w:r w:rsidRPr="00856584">
        <w:rPr>
          <w:sz w:val="20"/>
          <w:szCs w:val="20"/>
        </w:rPr>
        <w:t>The Board of Directors and Shareholders</w:t>
      </w:r>
    </w:p>
    <w:p w:rsidR="00856584" w:rsidRPr="00856584" w:rsidRDefault="00856584" w:rsidP="00856584">
      <w:pPr>
        <w:rPr>
          <w:sz w:val="20"/>
          <w:szCs w:val="20"/>
        </w:rPr>
      </w:pPr>
      <w:proofErr w:type="spellStart"/>
      <w:r w:rsidRPr="00856584">
        <w:rPr>
          <w:sz w:val="20"/>
          <w:szCs w:val="20"/>
        </w:rPr>
        <w:t>MakeMusic</w:t>
      </w:r>
      <w:proofErr w:type="spellEnd"/>
      <w:r w:rsidRPr="00856584">
        <w:rPr>
          <w:sz w:val="20"/>
          <w:szCs w:val="20"/>
        </w:rPr>
        <w:t>, Inc.</w:t>
      </w:r>
    </w:p>
    <w:p w:rsidR="00856584" w:rsidRPr="00856584" w:rsidRDefault="00856584" w:rsidP="00856584">
      <w:pPr>
        <w:rPr>
          <w:sz w:val="20"/>
          <w:szCs w:val="20"/>
        </w:rPr>
      </w:pPr>
    </w:p>
    <w:p w:rsidR="00856584" w:rsidRPr="00856584" w:rsidRDefault="00856584" w:rsidP="00856584">
      <w:pPr>
        <w:autoSpaceDE w:val="0"/>
        <w:autoSpaceDN w:val="0"/>
        <w:spacing w:line="240" w:lineRule="atLeast"/>
        <w:ind w:firstLine="720"/>
        <w:rPr>
          <w:color w:val="000000"/>
          <w:sz w:val="20"/>
          <w:szCs w:val="20"/>
        </w:rPr>
      </w:pPr>
      <w:r w:rsidRPr="00856584">
        <w:rPr>
          <w:color w:val="000000"/>
          <w:sz w:val="20"/>
          <w:szCs w:val="20"/>
        </w:rPr>
        <w:t xml:space="preserve">We have audited the accompanying balance sheets of </w:t>
      </w:r>
      <w:proofErr w:type="spellStart"/>
      <w:r w:rsidRPr="00856584">
        <w:rPr>
          <w:color w:val="000000"/>
          <w:sz w:val="20"/>
          <w:szCs w:val="20"/>
        </w:rPr>
        <w:t>MakeMusic</w:t>
      </w:r>
      <w:proofErr w:type="spellEnd"/>
      <w:r w:rsidRPr="00856584">
        <w:rPr>
          <w:color w:val="000000"/>
          <w:sz w:val="20"/>
          <w:szCs w:val="20"/>
        </w:rPr>
        <w:t xml:space="preserve">, Inc. as of December 31, </w:t>
      </w:r>
      <w:r w:rsidR="006964F2" w:rsidRPr="00856584">
        <w:rPr>
          <w:color w:val="000000"/>
          <w:sz w:val="20"/>
          <w:szCs w:val="20"/>
        </w:rPr>
        <w:t>20</w:t>
      </w:r>
      <w:r w:rsidR="006964F2">
        <w:rPr>
          <w:color w:val="000000"/>
          <w:sz w:val="20"/>
          <w:szCs w:val="20"/>
        </w:rPr>
        <w:t>11</w:t>
      </w:r>
      <w:r w:rsidR="006964F2" w:rsidRPr="00856584">
        <w:rPr>
          <w:color w:val="000000"/>
          <w:sz w:val="20"/>
          <w:szCs w:val="20"/>
        </w:rPr>
        <w:t xml:space="preserve"> </w:t>
      </w:r>
      <w:r w:rsidRPr="00856584">
        <w:rPr>
          <w:color w:val="000000"/>
          <w:sz w:val="20"/>
          <w:szCs w:val="20"/>
        </w:rPr>
        <w:t xml:space="preserve">and </w:t>
      </w:r>
      <w:r w:rsidR="006964F2" w:rsidRPr="00856584">
        <w:rPr>
          <w:color w:val="000000"/>
          <w:sz w:val="20"/>
          <w:szCs w:val="20"/>
        </w:rPr>
        <w:t>20</w:t>
      </w:r>
      <w:r w:rsidR="006964F2">
        <w:rPr>
          <w:color w:val="000000"/>
          <w:sz w:val="20"/>
          <w:szCs w:val="20"/>
        </w:rPr>
        <w:t>10</w:t>
      </w:r>
      <w:r w:rsidRPr="00856584">
        <w:rPr>
          <w:color w:val="000000"/>
          <w:sz w:val="20"/>
          <w:szCs w:val="20"/>
        </w:rPr>
        <w:t>, and the related statements of income, stockholders’ equity and cash flows for the years then ended. These financial statements are the responsibility of the Company’s management. Our responsibility is to express an opinion on these financial statements based on our audits.</w:t>
      </w:r>
    </w:p>
    <w:p w:rsidR="00856584" w:rsidRPr="00856584" w:rsidRDefault="00856584" w:rsidP="00856584">
      <w:pPr>
        <w:autoSpaceDE w:val="0"/>
        <w:autoSpaceDN w:val="0"/>
        <w:spacing w:line="240" w:lineRule="atLeast"/>
        <w:rPr>
          <w:color w:val="000000"/>
          <w:sz w:val="20"/>
          <w:szCs w:val="20"/>
        </w:rPr>
      </w:pPr>
    </w:p>
    <w:p w:rsidR="00856584" w:rsidRPr="00856584" w:rsidRDefault="00856584" w:rsidP="00856584">
      <w:pPr>
        <w:autoSpaceDE w:val="0"/>
        <w:autoSpaceDN w:val="0"/>
        <w:spacing w:line="240" w:lineRule="atLeast"/>
        <w:ind w:firstLine="720"/>
        <w:rPr>
          <w:color w:val="000000"/>
          <w:sz w:val="20"/>
          <w:szCs w:val="20"/>
        </w:rPr>
      </w:pPr>
      <w:r w:rsidRPr="00856584">
        <w:rPr>
          <w:color w:val="000000"/>
          <w:sz w:val="20"/>
          <w:szCs w:val="20"/>
        </w:rPr>
        <w:t>We conducted our audits in accordance with the standards of the Public Company Accounting Oversight Board (United States).</w:t>
      </w:r>
      <w:r w:rsidR="00FD0755">
        <w:rPr>
          <w:color w:val="000000"/>
          <w:sz w:val="20"/>
          <w:szCs w:val="20"/>
        </w:rPr>
        <w:t xml:space="preserve"> </w:t>
      </w:r>
      <w:r w:rsidRPr="00856584">
        <w:rPr>
          <w:color w:val="000000"/>
          <w:sz w:val="20"/>
          <w:szCs w:val="20"/>
        </w:rPr>
        <w:t>Those standards require that we plan and perform the audit to obtain reasonable assurance about whether the financial statements are free of material misstatement.  The Company is not required to have, nor were we engaged to perform an audit of its internal control over financial reporting.  Our audit included consideration of internal control over financial reporting as a basis for designing audit procedures that are appropriate in the circumstances, but not for the purpose of expressing an opinion on the effectiveness of the Company’s internal control over financial reporting.  Accordingly, we express no such opinion.  An audit also includes examining, on a test basis, evidence supporting the amounts and disclosures in the financial statements, assessing the accounting principles used and significant estimates made by management, as well as evaluating the overall financial statement presentation.  We believe that our audits provide a reasonable basis for our opinion.</w:t>
      </w:r>
    </w:p>
    <w:p w:rsidR="00856584" w:rsidRPr="00856584" w:rsidRDefault="00856584" w:rsidP="00856584">
      <w:pPr>
        <w:autoSpaceDE w:val="0"/>
        <w:autoSpaceDN w:val="0"/>
        <w:spacing w:line="240" w:lineRule="atLeast"/>
        <w:rPr>
          <w:color w:val="000000"/>
          <w:sz w:val="20"/>
          <w:szCs w:val="20"/>
        </w:rPr>
      </w:pPr>
    </w:p>
    <w:p w:rsidR="00856584" w:rsidRPr="00856584" w:rsidRDefault="00856584" w:rsidP="00856584">
      <w:pPr>
        <w:ind w:firstLine="720"/>
        <w:rPr>
          <w:sz w:val="20"/>
          <w:szCs w:val="20"/>
        </w:rPr>
      </w:pPr>
      <w:r w:rsidRPr="00856584">
        <w:rPr>
          <w:color w:val="000000"/>
          <w:sz w:val="20"/>
          <w:szCs w:val="20"/>
        </w:rPr>
        <w:t xml:space="preserve">In our opinion, the financial statements referred to above present fairly, in all material respects, the financial position of </w:t>
      </w:r>
      <w:proofErr w:type="spellStart"/>
      <w:r w:rsidRPr="00856584">
        <w:rPr>
          <w:color w:val="000000"/>
          <w:sz w:val="20"/>
          <w:szCs w:val="20"/>
        </w:rPr>
        <w:t>MakeMusic</w:t>
      </w:r>
      <w:proofErr w:type="spellEnd"/>
      <w:r w:rsidRPr="00856584">
        <w:rPr>
          <w:color w:val="000000"/>
          <w:sz w:val="20"/>
          <w:szCs w:val="20"/>
        </w:rPr>
        <w:t xml:space="preserve">, Inc. as of December 31, </w:t>
      </w:r>
      <w:r w:rsidR="006964F2" w:rsidRPr="00856584">
        <w:rPr>
          <w:color w:val="000000"/>
          <w:sz w:val="20"/>
          <w:szCs w:val="20"/>
        </w:rPr>
        <w:t>20</w:t>
      </w:r>
      <w:r w:rsidR="006964F2">
        <w:rPr>
          <w:color w:val="000000"/>
          <w:sz w:val="20"/>
          <w:szCs w:val="20"/>
        </w:rPr>
        <w:t>11</w:t>
      </w:r>
      <w:r w:rsidR="006964F2" w:rsidRPr="00856584">
        <w:rPr>
          <w:color w:val="000000"/>
          <w:sz w:val="20"/>
          <w:szCs w:val="20"/>
        </w:rPr>
        <w:t xml:space="preserve"> </w:t>
      </w:r>
      <w:r w:rsidRPr="00856584">
        <w:rPr>
          <w:color w:val="000000"/>
          <w:sz w:val="20"/>
          <w:szCs w:val="20"/>
        </w:rPr>
        <w:t xml:space="preserve">and </w:t>
      </w:r>
      <w:r w:rsidR="006964F2" w:rsidRPr="00856584">
        <w:rPr>
          <w:color w:val="000000"/>
          <w:sz w:val="20"/>
          <w:szCs w:val="20"/>
        </w:rPr>
        <w:t>20</w:t>
      </w:r>
      <w:r w:rsidR="006964F2">
        <w:rPr>
          <w:color w:val="000000"/>
          <w:sz w:val="20"/>
          <w:szCs w:val="20"/>
        </w:rPr>
        <w:t>10</w:t>
      </w:r>
      <w:r w:rsidRPr="00856584">
        <w:rPr>
          <w:color w:val="000000"/>
          <w:sz w:val="20"/>
          <w:szCs w:val="20"/>
        </w:rPr>
        <w:t>, and the results of its operations and its cash flows for the years then ended, in conformity with accounting principles generally accepted in the United States of America.</w:t>
      </w:r>
    </w:p>
    <w:p w:rsidR="004851D7" w:rsidRDefault="004851D7">
      <w:pPr>
        <w:ind w:firstLine="720"/>
        <w:rPr>
          <w:i/>
          <w:sz w:val="20"/>
        </w:rPr>
      </w:pPr>
    </w:p>
    <w:p w:rsidR="004851D7" w:rsidRDefault="004851D7">
      <w:pPr>
        <w:rPr>
          <w:sz w:val="20"/>
        </w:rPr>
      </w:pPr>
    </w:p>
    <w:p w:rsidR="004851D7" w:rsidRDefault="004851D7">
      <w:pPr>
        <w:rPr>
          <w:sz w:val="20"/>
        </w:rPr>
      </w:pPr>
    </w:p>
    <w:p w:rsidR="004851D7" w:rsidRDefault="004851D7" w:rsidP="00B87A64">
      <w:pPr>
        <w:rPr>
          <w:sz w:val="20"/>
        </w:rPr>
      </w:pPr>
      <w:r>
        <w:rPr>
          <w:sz w:val="20"/>
        </w:rPr>
        <w:t xml:space="preserve">/s/ </w:t>
      </w:r>
      <w:proofErr w:type="spellStart"/>
      <w:r>
        <w:rPr>
          <w:sz w:val="20"/>
        </w:rPr>
        <w:t>McGladrey</w:t>
      </w:r>
      <w:proofErr w:type="spellEnd"/>
      <w:r>
        <w:rPr>
          <w:sz w:val="20"/>
        </w:rPr>
        <w:t xml:space="preserve"> &amp; Pullen, LLP</w:t>
      </w:r>
    </w:p>
    <w:p w:rsidR="004851D7" w:rsidRDefault="004851D7">
      <w:pPr>
        <w:rPr>
          <w:sz w:val="20"/>
        </w:rPr>
      </w:pPr>
    </w:p>
    <w:p w:rsidR="004851D7" w:rsidRPr="00B87A64" w:rsidRDefault="004851D7">
      <w:pPr>
        <w:rPr>
          <w:bCs/>
          <w:sz w:val="20"/>
        </w:rPr>
      </w:pPr>
      <w:r w:rsidRPr="00B87A64">
        <w:rPr>
          <w:bCs/>
          <w:sz w:val="20"/>
        </w:rPr>
        <w:t>Minneapolis, Minnesota</w:t>
      </w:r>
    </w:p>
    <w:p w:rsidR="004851D7" w:rsidRDefault="00976DA0">
      <w:pPr>
        <w:rPr>
          <w:sz w:val="20"/>
        </w:rPr>
      </w:pPr>
      <w:r>
        <w:rPr>
          <w:sz w:val="20"/>
        </w:rPr>
        <w:t>March 13, 2012</w:t>
      </w:r>
    </w:p>
    <w:p w:rsidR="004851D7" w:rsidRDefault="004851D7">
      <w:pPr>
        <w:jc w:val="center"/>
        <w:rPr>
          <w:b/>
          <w:color w:val="000000"/>
          <w:sz w:val="22"/>
          <w:szCs w:val="22"/>
        </w:rPr>
      </w:pPr>
      <w:r>
        <w:rPr>
          <w:color w:val="000000"/>
          <w:sz w:val="20"/>
        </w:rPr>
        <w:br w:type="page"/>
      </w:r>
      <w:proofErr w:type="spellStart"/>
      <w:r>
        <w:rPr>
          <w:b/>
          <w:color w:val="000000"/>
          <w:sz w:val="22"/>
          <w:szCs w:val="22"/>
        </w:rPr>
        <w:t>MakeMusic</w:t>
      </w:r>
      <w:proofErr w:type="spellEnd"/>
      <w:r>
        <w:rPr>
          <w:b/>
          <w:color w:val="000000"/>
          <w:sz w:val="22"/>
          <w:szCs w:val="22"/>
        </w:rPr>
        <w:t>, Inc.</w:t>
      </w:r>
    </w:p>
    <w:p w:rsidR="004851D7" w:rsidRDefault="004851D7">
      <w:pPr>
        <w:jc w:val="center"/>
        <w:rPr>
          <w:b/>
          <w:color w:val="000000"/>
          <w:sz w:val="22"/>
          <w:szCs w:val="22"/>
        </w:rPr>
      </w:pPr>
      <w:r>
        <w:rPr>
          <w:b/>
          <w:color w:val="000000"/>
          <w:sz w:val="22"/>
          <w:szCs w:val="22"/>
        </w:rPr>
        <w:t>Balance Sheets</w:t>
      </w:r>
    </w:p>
    <w:p w:rsidR="004851D7" w:rsidRDefault="004851D7">
      <w:pPr>
        <w:jc w:val="center"/>
        <w:rPr>
          <w:i/>
          <w:iCs/>
          <w:color w:val="000000"/>
          <w:sz w:val="20"/>
        </w:rPr>
      </w:pPr>
      <w:r>
        <w:rPr>
          <w:i/>
          <w:iCs/>
          <w:color w:val="000000"/>
          <w:sz w:val="20"/>
        </w:rPr>
        <w:t>(In thousands of U.S. dollars, except share and per share data)</w:t>
      </w:r>
    </w:p>
    <w:p w:rsidR="004851D7" w:rsidRDefault="004851D7">
      <w:pPr>
        <w:jc w:val="center"/>
        <w:rPr>
          <w:i/>
          <w:iCs/>
          <w:color w:val="000000"/>
          <w:sz w:val="20"/>
        </w:rPr>
      </w:pPr>
    </w:p>
    <w:tbl>
      <w:tblPr>
        <w:tblpPr w:leftFromText="180" w:rightFromText="180" w:vertAnchor="text" w:horzAnchor="margin" w:tblpY="-38"/>
        <w:tblW w:w="5000" w:type="pct"/>
        <w:tblLook w:val="00A0" w:firstRow="1" w:lastRow="0" w:firstColumn="1" w:lastColumn="0" w:noHBand="0" w:noVBand="0"/>
      </w:tblPr>
      <w:tblGrid>
        <w:gridCol w:w="6150"/>
        <w:gridCol w:w="1605"/>
        <w:gridCol w:w="295"/>
        <w:gridCol w:w="1584"/>
      </w:tblGrid>
      <w:tr w:rsidR="00E76F80" w:rsidTr="00E76F80">
        <w:trPr>
          <w:trHeight w:val="263"/>
        </w:trPr>
        <w:tc>
          <w:tcPr>
            <w:tcW w:w="3192" w:type="pct"/>
            <w:tcBorders>
              <w:top w:val="nil"/>
              <w:left w:val="nil"/>
              <w:bottom w:val="nil"/>
              <w:right w:val="nil"/>
            </w:tcBorders>
            <w:noWrap/>
            <w:vAlign w:val="bottom"/>
          </w:tcPr>
          <w:p w:rsidR="00E76F80" w:rsidRDefault="00E76F80" w:rsidP="00E76F80">
            <w:pPr>
              <w:rPr>
                <w:b/>
                <w:bCs/>
                <w:color w:val="000000"/>
                <w:sz w:val="20"/>
                <w:szCs w:val="20"/>
              </w:rPr>
            </w:pPr>
          </w:p>
        </w:tc>
        <w:tc>
          <w:tcPr>
            <w:tcW w:w="1808" w:type="pct"/>
            <w:gridSpan w:val="3"/>
            <w:tcBorders>
              <w:top w:val="nil"/>
              <w:left w:val="nil"/>
              <w:bottom w:val="nil"/>
              <w:right w:val="nil"/>
            </w:tcBorders>
          </w:tcPr>
          <w:p w:rsidR="00E76F80" w:rsidRDefault="00E76F80" w:rsidP="00E76F80">
            <w:pPr>
              <w:jc w:val="center"/>
              <w:rPr>
                <w:b/>
                <w:bCs/>
                <w:color w:val="000000"/>
                <w:sz w:val="20"/>
                <w:szCs w:val="20"/>
              </w:rPr>
            </w:pPr>
            <w:r>
              <w:rPr>
                <w:b/>
                <w:bCs/>
                <w:color w:val="000000"/>
                <w:sz w:val="20"/>
                <w:szCs w:val="20"/>
              </w:rPr>
              <w:t>December 31,</w:t>
            </w:r>
          </w:p>
        </w:tc>
      </w:tr>
      <w:tr w:rsidR="00E76F80" w:rsidTr="00E76F80">
        <w:trPr>
          <w:trHeight w:val="270"/>
        </w:trPr>
        <w:tc>
          <w:tcPr>
            <w:tcW w:w="3192" w:type="pct"/>
            <w:tcBorders>
              <w:top w:val="nil"/>
              <w:left w:val="nil"/>
              <w:bottom w:val="nil"/>
              <w:right w:val="nil"/>
            </w:tcBorders>
            <w:noWrap/>
            <w:vAlign w:val="bottom"/>
          </w:tcPr>
          <w:p w:rsidR="00E76F80" w:rsidRDefault="00E76F80" w:rsidP="00E76F80">
            <w:pPr>
              <w:rPr>
                <w:b/>
                <w:bCs/>
                <w:color w:val="000000"/>
                <w:sz w:val="20"/>
                <w:szCs w:val="20"/>
              </w:rPr>
            </w:pPr>
            <w:r>
              <w:rPr>
                <w:b/>
                <w:bCs/>
                <w:color w:val="000000"/>
                <w:sz w:val="20"/>
                <w:szCs w:val="20"/>
              </w:rPr>
              <w:t>Assets</w:t>
            </w:r>
          </w:p>
        </w:tc>
        <w:tc>
          <w:tcPr>
            <w:tcW w:w="833" w:type="pct"/>
            <w:tcBorders>
              <w:top w:val="nil"/>
              <w:left w:val="nil"/>
              <w:bottom w:val="single" w:sz="8" w:space="0" w:color="auto"/>
              <w:right w:val="nil"/>
            </w:tcBorders>
          </w:tcPr>
          <w:p w:rsidR="00E76F80" w:rsidRDefault="00E76F80" w:rsidP="00E76F80">
            <w:pPr>
              <w:jc w:val="center"/>
              <w:rPr>
                <w:b/>
                <w:bCs/>
                <w:color w:val="000000"/>
                <w:sz w:val="20"/>
                <w:szCs w:val="20"/>
              </w:rPr>
            </w:pPr>
            <w:r>
              <w:rPr>
                <w:b/>
                <w:bCs/>
                <w:color w:val="000000"/>
                <w:sz w:val="20"/>
                <w:szCs w:val="20"/>
              </w:rPr>
              <w:t>2011</w:t>
            </w:r>
          </w:p>
        </w:tc>
        <w:tc>
          <w:tcPr>
            <w:tcW w:w="153" w:type="pct"/>
            <w:tcBorders>
              <w:top w:val="nil"/>
              <w:left w:val="nil"/>
              <w:bottom w:val="nil"/>
              <w:right w:val="nil"/>
            </w:tcBorders>
            <w:noWrap/>
          </w:tcPr>
          <w:p w:rsidR="00E76F80" w:rsidRDefault="00E76F80" w:rsidP="00E76F80">
            <w:pPr>
              <w:jc w:val="center"/>
              <w:rPr>
                <w:b/>
                <w:bCs/>
                <w:color w:val="000000"/>
                <w:sz w:val="20"/>
                <w:szCs w:val="20"/>
              </w:rPr>
            </w:pPr>
          </w:p>
        </w:tc>
        <w:tc>
          <w:tcPr>
            <w:tcW w:w="822" w:type="pct"/>
            <w:tcBorders>
              <w:top w:val="nil"/>
              <w:left w:val="nil"/>
              <w:bottom w:val="single" w:sz="8" w:space="0" w:color="auto"/>
              <w:right w:val="nil"/>
            </w:tcBorders>
          </w:tcPr>
          <w:p w:rsidR="00E76F80" w:rsidRDefault="00E76F80" w:rsidP="00E76F80">
            <w:pPr>
              <w:jc w:val="center"/>
              <w:rPr>
                <w:b/>
                <w:bCs/>
                <w:color w:val="000000"/>
                <w:sz w:val="20"/>
                <w:szCs w:val="20"/>
              </w:rPr>
            </w:pPr>
            <w:r>
              <w:rPr>
                <w:b/>
                <w:bCs/>
                <w:color w:val="000000"/>
                <w:sz w:val="20"/>
                <w:szCs w:val="20"/>
              </w:rPr>
              <w:t>2010</w:t>
            </w:r>
          </w:p>
        </w:tc>
      </w:tr>
      <w:tr w:rsidR="00E76F80" w:rsidTr="00E76F80">
        <w:trPr>
          <w:trHeight w:val="255"/>
        </w:trPr>
        <w:tc>
          <w:tcPr>
            <w:tcW w:w="3192" w:type="pct"/>
            <w:tcBorders>
              <w:top w:val="nil"/>
              <w:left w:val="nil"/>
              <w:bottom w:val="nil"/>
              <w:right w:val="nil"/>
            </w:tcBorders>
            <w:vAlign w:val="bottom"/>
          </w:tcPr>
          <w:p w:rsidR="00E76F80" w:rsidRDefault="00E76F80" w:rsidP="00E76F80">
            <w:pPr>
              <w:rPr>
                <w:color w:val="000000"/>
                <w:sz w:val="20"/>
                <w:szCs w:val="20"/>
              </w:rPr>
            </w:pPr>
            <w:r>
              <w:rPr>
                <w:color w:val="000000"/>
                <w:sz w:val="20"/>
                <w:szCs w:val="20"/>
              </w:rPr>
              <w:t>Current assets:</w:t>
            </w:r>
          </w:p>
        </w:tc>
        <w:tc>
          <w:tcPr>
            <w:tcW w:w="833" w:type="pct"/>
            <w:tcBorders>
              <w:top w:val="nil"/>
              <w:left w:val="nil"/>
              <w:bottom w:val="nil"/>
              <w:right w:val="nil"/>
            </w:tcBorders>
          </w:tcPr>
          <w:p w:rsidR="00E76F80" w:rsidRDefault="00E76F80" w:rsidP="00E76F80">
            <w:pPr>
              <w:jc w:val="both"/>
              <w:rPr>
                <w:b/>
                <w:bCs/>
                <w:color w:val="000000"/>
                <w:sz w:val="20"/>
                <w:szCs w:val="20"/>
              </w:rPr>
            </w:pPr>
          </w:p>
        </w:tc>
        <w:tc>
          <w:tcPr>
            <w:tcW w:w="153" w:type="pct"/>
            <w:tcBorders>
              <w:top w:val="nil"/>
              <w:left w:val="nil"/>
              <w:bottom w:val="nil"/>
              <w:right w:val="nil"/>
            </w:tcBorders>
          </w:tcPr>
          <w:p w:rsidR="00E76F80" w:rsidRDefault="00E76F80" w:rsidP="00E76F80">
            <w:pPr>
              <w:rPr>
                <w:color w:val="000000"/>
                <w:sz w:val="20"/>
                <w:szCs w:val="20"/>
              </w:rPr>
            </w:pPr>
          </w:p>
        </w:tc>
        <w:tc>
          <w:tcPr>
            <w:tcW w:w="822" w:type="pct"/>
            <w:tcBorders>
              <w:top w:val="nil"/>
              <w:left w:val="nil"/>
              <w:bottom w:val="nil"/>
              <w:right w:val="nil"/>
            </w:tcBorders>
          </w:tcPr>
          <w:p w:rsidR="00E76F80" w:rsidRDefault="00E76F80" w:rsidP="00E76F80">
            <w:pPr>
              <w:jc w:val="both"/>
              <w:rPr>
                <w:color w:val="000000"/>
                <w:sz w:val="20"/>
                <w:szCs w:val="20"/>
              </w:rPr>
            </w:pPr>
          </w:p>
        </w:tc>
      </w:tr>
      <w:tr w:rsidR="00E76F80" w:rsidTr="00E76F80">
        <w:trPr>
          <w:trHeight w:val="255"/>
        </w:trPr>
        <w:tc>
          <w:tcPr>
            <w:tcW w:w="3192" w:type="pct"/>
            <w:tcBorders>
              <w:top w:val="nil"/>
              <w:left w:val="nil"/>
              <w:bottom w:val="nil"/>
              <w:right w:val="nil"/>
            </w:tcBorders>
            <w:vAlign w:val="bottom"/>
          </w:tcPr>
          <w:p w:rsidR="00E76F80" w:rsidRDefault="00E76F80" w:rsidP="00E76F80">
            <w:pPr>
              <w:ind w:firstLineChars="300" w:firstLine="600"/>
              <w:rPr>
                <w:color w:val="000000"/>
                <w:sz w:val="20"/>
                <w:szCs w:val="20"/>
              </w:rPr>
            </w:pPr>
            <w:r>
              <w:rPr>
                <w:color w:val="000000"/>
                <w:sz w:val="20"/>
                <w:szCs w:val="20"/>
              </w:rPr>
              <w:t>Cash and cash equivalents</w:t>
            </w:r>
          </w:p>
        </w:tc>
        <w:tc>
          <w:tcPr>
            <w:tcW w:w="833" w:type="pct"/>
            <w:tcBorders>
              <w:top w:val="nil"/>
              <w:left w:val="nil"/>
              <w:bottom w:val="nil"/>
              <w:right w:val="nil"/>
            </w:tcBorders>
          </w:tcPr>
          <w:p w:rsidR="00E76F80" w:rsidRDefault="00E76F80" w:rsidP="00E76F80">
            <w:pPr>
              <w:jc w:val="right"/>
              <w:rPr>
                <w:b/>
                <w:bCs/>
                <w:color w:val="000000"/>
                <w:sz w:val="20"/>
                <w:szCs w:val="20"/>
              </w:rPr>
            </w:pPr>
            <w:r>
              <w:rPr>
                <w:b/>
                <w:bCs/>
                <w:color w:val="000000"/>
                <w:sz w:val="20"/>
                <w:szCs w:val="20"/>
              </w:rPr>
              <w:t xml:space="preserve">$9,296 </w:t>
            </w:r>
          </w:p>
        </w:tc>
        <w:tc>
          <w:tcPr>
            <w:tcW w:w="153" w:type="pct"/>
            <w:tcBorders>
              <w:top w:val="nil"/>
              <w:left w:val="nil"/>
              <w:bottom w:val="nil"/>
              <w:right w:val="nil"/>
            </w:tcBorders>
          </w:tcPr>
          <w:p w:rsidR="00E76F80" w:rsidRDefault="00E76F80" w:rsidP="00E76F80">
            <w:pPr>
              <w:rPr>
                <w:color w:val="000000"/>
                <w:sz w:val="20"/>
                <w:szCs w:val="20"/>
              </w:rPr>
            </w:pPr>
          </w:p>
        </w:tc>
        <w:tc>
          <w:tcPr>
            <w:tcW w:w="822" w:type="pct"/>
            <w:tcBorders>
              <w:top w:val="nil"/>
              <w:left w:val="nil"/>
              <w:bottom w:val="nil"/>
              <w:right w:val="nil"/>
            </w:tcBorders>
          </w:tcPr>
          <w:p w:rsidR="00E76F80" w:rsidRDefault="00E76F80" w:rsidP="00E76F80">
            <w:pPr>
              <w:jc w:val="right"/>
              <w:rPr>
                <w:color w:val="000000"/>
                <w:sz w:val="20"/>
                <w:szCs w:val="20"/>
              </w:rPr>
            </w:pPr>
            <w:r>
              <w:rPr>
                <w:color w:val="000000"/>
                <w:sz w:val="20"/>
                <w:szCs w:val="20"/>
              </w:rPr>
              <w:t xml:space="preserve">$11,532 </w:t>
            </w:r>
          </w:p>
        </w:tc>
      </w:tr>
      <w:tr w:rsidR="00E76F80" w:rsidTr="00E76F80">
        <w:trPr>
          <w:trHeight w:val="255"/>
        </w:trPr>
        <w:tc>
          <w:tcPr>
            <w:tcW w:w="3192" w:type="pct"/>
            <w:tcBorders>
              <w:top w:val="nil"/>
              <w:left w:val="nil"/>
              <w:bottom w:val="nil"/>
              <w:right w:val="nil"/>
            </w:tcBorders>
            <w:noWrap/>
            <w:vAlign w:val="bottom"/>
          </w:tcPr>
          <w:p w:rsidR="00E76F80" w:rsidRDefault="00E76F80" w:rsidP="00E76F80">
            <w:pPr>
              <w:ind w:firstLineChars="300" w:firstLine="600"/>
              <w:rPr>
                <w:color w:val="000000"/>
                <w:sz w:val="20"/>
                <w:szCs w:val="20"/>
              </w:rPr>
            </w:pPr>
            <w:r>
              <w:rPr>
                <w:color w:val="000000"/>
                <w:sz w:val="20"/>
                <w:szCs w:val="20"/>
              </w:rPr>
              <w:t>Accounts receivable (net of allowance of $9 and $20 in</w:t>
            </w:r>
          </w:p>
        </w:tc>
        <w:tc>
          <w:tcPr>
            <w:tcW w:w="833" w:type="pct"/>
            <w:tcBorders>
              <w:top w:val="nil"/>
              <w:left w:val="nil"/>
              <w:bottom w:val="nil"/>
              <w:right w:val="nil"/>
            </w:tcBorders>
          </w:tcPr>
          <w:p w:rsidR="00E76F80" w:rsidRDefault="00E76F80" w:rsidP="00E76F80">
            <w:pPr>
              <w:rPr>
                <w:b/>
                <w:bCs/>
                <w:color w:val="000000"/>
                <w:sz w:val="20"/>
                <w:szCs w:val="20"/>
              </w:rPr>
            </w:pPr>
          </w:p>
        </w:tc>
        <w:tc>
          <w:tcPr>
            <w:tcW w:w="153" w:type="pct"/>
            <w:tcBorders>
              <w:top w:val="nil"/>
              <w:left w:val="nil"/>
              <w:bottom w:val="nil"/>
              <w:right w:val="nil"/>
            </w:tcBorders>
          </w:tcPr>
          <w:p w:rsidR="00E76F80" w:rsidRDefault="00E76F80" w:rsidP="00E76F80">
            <w:pPr>
              <w:rPr>
                <w:color w:val="000000"/>
                <w:sz w:val="20"/>
                <w:szCs w:val="20"/>
              </w:rPr>
            </w:pPr>
          </w:p>
        </w:tc>
        <w:tc>
          <w:tcPr>
            <w:tcW w:w="822" w:type="pct"/>
            <w:tcBorders>
              <w:top w:val="nil"/>
              <w:left w:val="nil"/>
              <w:bottom w:val="nil"/>
              <w:right w:val="nil"/>
            </w:tcBorders>
          </w:tcPr>
          <w:p w:rsidR="00E76F80" w:rsidRDefault="00E76F80" w:rsidP="00E76F80">
            <w:pPr>
              <w:rPr>
                <w:color w:val="000000"/>
                <w:sz w:val="20"/>
                <w:szCs w:val="20"/>
              </w:rPr>
            </w:pPr>
          </w:p>
        </w:tc>
      </w:tr>
      <w:tr w:rsidR="00E76F80" w:rsidTr="00E76F80">
        <w:trPr>
          <w:trHeight w:val="255"/>
        </w:trPr>
        <w:tc>
          <w:tcPr>
            <w:tcW w:w="3192" w:type="pct"/>
            <w:tcBorders>
              <w:top w:val="nil"/>
              <w:left w:val="nil"/>
              <w:bottom w:val="nil"/>
              <w:right w:val="nil"/>
            </w:tcBorders>
            <w:vAlign w:val="bottom"/>
          </w:tcPr>
          <w:p w:rsidR="00E76F80" w:rsidRDefault="00E76F80" w:rsidP="00E76F80">
            <w:pPr>
              <w:ind w:firstLineChars="300" w:firstLine="600"/>
              <w:rPr>
                <w:color w:val="000000"/>
                <w:sz w:val="20"/>
                <w:szCs w:val="20"/>
              </w:rPr>
            </w:pPr>
            <w:r>
              <w:rPr>
                <w:color w:val="000000"/>
                <w:sz w:val="20"/>
                <w:szCs w:val="20"/>
              </w:rPr>
              <w:t>2011 and 2010, respectively)</w:t>
            </w:r>
          </w:p>
        </w:tc>
        <w:tc>
          <w:tcPr>
            <w:tcW w:w="833" w:type="pct"/>
            <w:tcBorders>
              <w:top w:val="nil"/>
              <w:left w:val="nil"/>
              <w:bottom w:val="nil"/>
              <w:right w:val="nil"/>
            </w:tcBorders>
            <w:vAlign w:val="bottom"/>
          </w:tcPr>
          <w:p w:rsidR="00E76F80" w:rsidRDefault="00E76F80" w:rsidP="00E76F80">
            <w:pPr>
              <w:jc w:val="right"/>
              <w:rPr>
                <w:b/>
                <w:bCs/>
                <w:color w:val="000000"/>
                <w:sz w:val="20"/>
                <w:szCs w:val="20"/>
              </w:rPr>
            </w:pPr>
            <w:r>
              <w:rPr>
                <w:b/>
                <w:bCs/>
                <w:color w:val="000000"/>
                <w:sz w:val="20"/>
                <w:szCs w:val="20"/>
              </w:rPr>
              <w:t xml:space="preserve">1,539 </w:t>
            </w:r>
          </w:p>
        </w:tc>
        <w:tc>
          <w:tcPr>
            <w:tcW w:w="153" w:type="pct"/>
            <w:tcBorders>
              <w:top w:val="nil"/>
              <w:left w:val="nil"/>
              <w:bottom w:val="nil"/>
              <w:right w:val="nil"/>
            </w:tcBorders>
            <w:vAlign w:val="bottom"/>
          </w:tcPr>
          <w:p w:rsidR="00E76F80" w:rsidRDefault="00E76F80" w:rsidP="00E76F80">
            <w:pPr>
              <w:rPr>
                <w:color w:val="000000"/>
                <w:sz w:val="20"/>
                <w:szCs w:val="20"/>
              </w:rPr>
            </w:pPr>
          </w:p>
        </w:tc>
        <w:tc>
          <w:tcPr>
            <w:tcW w:w="822" w:type="pct"/>
            <w:tcBorders>
              <w:top w:val="nil"/>
              <w:left w:val="nil"/>
              <w:bottom w:val="nil"/>
              <w:right w:val="nil"/>
            </w:tcBorders>
            <w:vAlign w:val="bottom"/>
          </w:tcPr>
          <w:p w:rsidR="00E76F80" w:rsidRDefault="00E76F80" w:rsidP="00E76F80">
            <w:pPr>
              <w:jc w:val="right"/>
              <w:rPr>
                <w:color w:val="000000"/>
                <w:sz w:val="20"/>
                <w:szCs w:val="20"/>
              </w:rPr>
            </w:pPr>
            <w:r>
              <w:rPr>
                <w:color w:val="000000"/>
                <w:sz w:val="20"/>
                <w:szCs w:val="20"/>
              </w:rPr>
              <w:t xml:space="preserve">1,238 </w:t>
            </w:r>
          </w:p>
        </w:tc>
      </w:tr>
      <w:tr w:rsidR="00E76F80" w:rsidTr="00E76F80">
        <w:trPr>
          <w:trHeight w:val="255"/>
        </w:trPr>
        <w:tc>
          <w:tcPr>
            <w:tcW w:w="3192" w:type="pct"/>
            <w:tcBorders>
              <w:top w:val="nil"/>
              <w:left w:val="nil"/>
              <w:bottom w:val="nil"/>
              <w:right w:val="nil"/>
            </w:tcBorders>
            <w:vAlign w:val="bottom"/>
          </w:tcPr>
          <w:p w:rsidR="00E76F80" w:rsidRDefault="00E76F80" w:rsidP="00E76F80">
            <w:pPr>
              <w:ind w:firstLineChars="300" w:firstLine="600"/>
              <w:rPr>
                <w:color w:val="000000"/>
                <w:sz w:val="20"/>
                <w:szCs w:val="20"/>
              </w:rPr>
            </w:pPr>
            <w:r>
              <w:rPr>
                <w:color w:val="000000"/>
                <w:sz w:val="20"/>
                <w:szCs w:val="20"/>
              </w:rPr>
              <w:t>Inventories</w:t>
            </w:r>
          </w:p>
        </w:tc>
        <w:tc>
          <w:tcPr>
            <w:tcW w:w="833" w:type="pct"/>
            <w:tcBorders>
              <w:top w:val="nil"/>
              <w:left w:val="nil"/>
              <w:bottom w:val="nil"/>
              <w:right w:val="nil"/>
            </w:tcBorders>
          </w:tcPr>
          <w:p w:rsidR="00E76F80" w:rsidRDefault="00E76F80" w:rsidP="00E76F80">
            <w:pPr>
              <w:jc w:val="right"/>
              <w:rPr>
                <w:b/>
                <w:bCs/>
                <w:color w:val="000000"/>
                <w:sz w:val="20"/>
                <w:szCs w:val="20"/>
              </w:rPr>
            </w:pPr>
            <w:r>
              <w:rPr>
                <w:b/>
                <w:bCs/>
                <w:color w:val="000000"/>
                <w:sz w:val="20"/>
                <w:szCs w:val="20"/>
              </w:rPr>
              <w:t xml:space="preserve">291 </w:t>
            </w:r>
          </w:p>
        </w:tc>
        <w:tc>
          <w:tcPr>
            <w:tcW w:w="153" w:type="pct"/>
            <w:tcBorders>
              <w:top w:val="nil"/>
              <w:left w:val="nil"/>
              <w:bottom w:val="nil"/>
              <w:right w:val="nil"/>
            </w:tcBorders>
          </w:tcPr>
          <w:p w:rsidR="00E76F80" w:rsidRDefault="00E76F80" w:rsidP="00E76F80">
            <w:pPr>
              <w:rPr>
                <w:color w:val="000000"/>
                <w:sz w:val="20"/>
                <w:szCs w:val="20"/>
              </w:rPr>
            </w:pPr>
          </w:p>
        </w:tc>
        <w:tc>
          <w:tcPr>
            <w:tcW w:w="822" w:type="pct"/>
            <w:tcBorders>
              <w:top w:val="nil"/>
              <w:left w:val="nil"/>
              <w:bottom w:val="nil"/>
              <w:right w:val="nil"/>
            </w:tcBorders>
          </w:tcPr>
          <w:p w:rsidR="00E76F80" w:rsidRDefault="00E76F80" w:rsidP="00E76F80">
            <w:pPr>
              <w:jc w:val="right"/>
              <w:rPr>
                <w:color w:val="000000"/>
                <w:sz w:val="20"/>
                <w:szCs w:val="20"/>
              </w:rPr>
            </w:pPr>
            <w:r>
              <w:rPr>
                <w:color w:val="000000"/>
                <w:sz w:val="20"/>
                <w:szCs w:val="20"/>
              </w:rPr>
              <w:t xml:space="preserve">201 </w:t>
            </w:r>
          </w:p>
        </w:tc>
      </w:tr>
      <w:tr w:rsidR="00E76F80" w:rsidTr="00E76F80">
        <w:trPr>
          <w:trHeight w:val="255"/>
        </w:trPr>
        <w:tc>
          <w:tcPr>
            <w:tcW w:w="3192" w:type="pct"/>
            <w:tcBorders>
              <w:top w:val="nil"/>
              <w:left w:val="nil"/>
              <w:bottom w:val="nil"/>
              <w:right w:val="nil"/>
            </w:tcBorders>
            <w:vAlign w:val="bottom"/>
          </w:tcPr>
          <w:p w:rsidR="00E76F80" w:rsidRDefault="00E76F80" w:rsidP="00E76F80">
            <w:pPr>
              <w:ind w:firstLineChars="300" w:firstLine="600"/>
              <w:rPr>
                <w:color w:val="000000"/>
                <w:sz w:val="20"/>
                <w:szCs w:val="20"/>
              </w:rPr>
            </w:pPr>
            <w:r>
              <w:rPr>
                <w:color w:val="000000"/>
                <w:sz w:val="20"/>
                <w:szCs w:val="20"/>
              </w:rPr>
              <w:t>Deferred income taxes, net</w:t>
            </w:r>
          </w:p>
        </w:tc>
        <w:tc>
          <w:tcPr>
            <w:tcW w:w="833" w:type="pct"/>
            <w:tcBorders>
              <w:top w:val="nil"/>
              <w:left w:val="nil"/>
              <w:bottom w:val="nil"/>
              <w:right w:val="nil"/>
            </w:tcBorders>
          </w:tcPr>
          <w:p w:rsidR="00E76F80" w:rsidRDefault="00E76F80" w:rsidP="00E76F80">
            <w:pPr>
              <w:jc w:val="right"/>
              <w:rPr>
                <w:b/>
                <w:bCs/>
                <w:color w:val="000000"/>
                <w:sz w:val="20"/>
                <w:szCs w:val="20"/>
              </w:rPr>
            </w:pPr>
            <w:r>
              <w:rPr>
                <w:b/>
                <w:bCs/>
                <w:color w:val="000000"/>
                <w:sz w:val="20"/>
                <w:szCs w:val="20"/>
              </w:rPr>
              <w:t xml:space="preserve">2,338 </w:t>
            </w:r>
          </w:p>
        </w:tc>
        <w:tc>
          <w:tcPr>
            <w:tcW w:w="153" w:type="pct"/>
            <w:tcBorders>
              <w:top w:val="nil"/>
              <w:left w:val="nil"/>
              <w:bottom w:val="nil"/>
              <w:right w:val="nil"/>
            </w:tcBorders>
          </w:tcPr>
          <w:p w:rsidR="00E76F80" w:rsidRDefault="00E76F80" w:rsidP="00E76F80">
            <w:pPr>
              <w:rPr>
                <w:color w:val="000000"/>
                <w:sz w:val="20"/>
                <w:szCs w:val="20"/>
              </w:rPr>
            </w:pPr>
          </w:p>
        </w:tc>
        <w:tc>
          <w:tcPr>
            <w:tcW w:w="822" w:type="pct"/>
            <w:tcBorders>
              <w:top w:val="nil"/>
              <w:left w:val="nil"/>
              <w:bottom w:val="nil"/>
              <w:right w:val="nil"/>
            </w:tcBorders>
          </w:tcPr>
          <w:p w:rsidR="00E76F80" w:rsidRDefault="00E76F80" w:rsidP="00E76F80">
            <w:pPr>
              <w:jc w:val="right"/>
              <w:rPr>
                <w:color w:val="000000"/>
                <w:sz w:val="20"/>
                <w:szCs w:val="20"/>
              </w:rPr>
            </w:pPr>
            <w:r>
              <w:rPr>
                <w:color w:val="000000"/>
                <w:sz w:val="20"/>
                <w:szCs w:val="20"/>
              </w:rPr>
              <w:t xml:space="preserve">2,786 </w:t>
            </w:r>
          </w:p>
        </w:tc>
      </w:tr>
      <w:tr w:rsidR="00E76F80" w:rsidTr="00E76F80">
        <w:trPr>
          <w:trHeight w:val="270"/>
        </w:trPr>
        <w:tc>
          <w:tcPr>
            <w:tcW w:w="3192" w:type="pct"/>
            <w:tcBorders>
              <w:top w:val="nil"/>
              <w:left w:val="nil"/>
              <w:bottom w:val="nil"/>
              <w:right w:val="nil"/>
            </w:tcBorders>
            <w:vAlign w:val="bottom"/>
          </w:tcPr>
          <w:p w:rsidR="00E76F80" w:rsidRDefault="00E76F80" w:rsidP="00E76F80">
            <w:pPr>
              <w:ind w:firstLineChars="300" w:firstLine="600"/>
              <w:rPr>
                <w:color w:val="000000"/>
                <w:sz w:val="20"/>
                <w:szCs w:val="20"/>
              </w:rPr>
            </w:pPr>
            <w:r>
              <w:rPr>
                <w:color w:val="000000"/>
                <w:sz w:val="20"/>
                <w:szCs w:val="20"/>
              </w:rPr>
              <w:t>Prepaid expenses and other current assets</w:t>
            </w:r>
          </w:p>
        </w:tc>
        <w:tc>
          <w:tcPr>
            <w:tcW w:w="833" w:type="pct"/>
            <w:tcBorders>
              <w:top w:val="nil"/>
              <w:left w:val="nil"/>
              <w:bottom w:val="single" w:sz="8" w:space="0" w:color="auto"/>
              <w:right w:val="nil"/>
            </w:tcBorders>
          </w:tcPr>
          <w:p w:rsidR="00E76F80" w:rsidRDefault="00E76F80" w:rsidP="00E76F80">
            <w:pPr>
              <w:jc w:val="right"/>
              <w:rPr>
                <w:b/>
                <w:bCs/>
                <w:color w:val="000000"/>
                <w:sz w:val="20"/>
                <w:szCs w:val="20"/>
                <w:highlight w:val="yellow"/>
              </w:rPr>
            </w:pPr>
            <w:r>
              <w:rPr>
                <w:b/>
                <w:bCs/>
                <w:color w:val="000000"/>
                <w:sz w:val="20"/>
                <w:szCs w:val="20"/>
              </w:rPr>
              <w:t xml:space="preserve">362 </w:t>
            </w:r>
          </w:p>
        </w:tc>
        <w:tc>
          <w:tcPr>
            <w:tcW w:w="153" w:type="pct"/>
            <w:tcBorders>
              <w:top w:val="nil"/>
              <w:left w:val="nil"/>
              <w:bottom w:val="nil"/>
              <w:right w:val="nil"/>
            </w:tcBorders>
          </w:tcPr>
          <w:p w:rsidR="00E76F80" w:rsidRDefault="00E76F80" w:rsidP="00E76F80">
            <w:pPr>
              <w:rPr>
                <w:color w:val="000000"/>
                <w:sz w:val="20"/>
                <w:szCs w:val="20"/>
                <w:highlight w:val="yellow"/>
              </w:rPr>
            </w:pPr>
          </w:p>
        </w:tc>
        <w:tc>
          <w:tcPr>
            <w:tcW w:w="822" w:type="pct"/>
            <w:tcBorders>
              <w:top w:val="nil"/>
              <w:left w:val="nil"/>
              <w:bottom w:val="single" w:sz="8" w:space="0" w:color="auto"/>
              <w:right w:val="nil"/>
            </w:tcBorders>
          </w:tcPr>
          <w:p w:rsidR="00E76F80" w:rsidRDefault="00E76F80" w:rsidP="00E76F80">
            <w:pPr>
              <w:jc w:val="right"/>
              <w:rPr>
                <w:color w:val="000000"/>
                <w:sz w:val="20"/>
                <w:szCs w:val="20"/>
              </w:rPr>
            </w:pPr>
            <w:r>
              <w:rPr>
                <w:color w:val="000000"/>
                <w:sz w:val="20"/>
                <w:szCs w:val="20"/>
              </w:rPr>
              <w:t xml:space="preserve">252 </w:t>
            </w:r>
          </w:p>
        </w:tc>
      </w:tr>
      <w:tr w:rsidR="00E76F80" w:rsidTr="00E76F80">
        <w:trPr>
          <w:trHeight w:val="255"/>
        </w:trPr>
        <w:tc>
          <w:tcPr>
            <w:tcW w:w="3192" w:type="pct"/>
            <w:tcBorders>
              <w:top w:val="nil"/>
              <w:left w:val="nil"/>
              <w:bottom w:val="nil"/>
              <w:right w:val="nil"/>
            </w:tcBorders>
            <w:vAlign w:val="bottom"/>
          </w:tcPr>
          <w:p w:rsidR="00E76F80" w:rsidRDefault="00E76F80" w:rsidP="00E76F80">
            <w:pPr>
              <w:rPr>
                <w:color w:val="000000"/>
                <w:sz w:val="20"/>
                <w:szCs w:val="20"/>
              </w:rPr>
            </w:pPr>
            <w:r>
              <w:rPr>
                <w:color w:val="000000"/>
                <w:sz w:val="20"/>
                <w:szCs w:val="20"/>
              </w:rPr>
              <w:t>Total current assets</w:t>
            </w:r>
          </w:p>
        </w:tc>
        <w:tc>
          <w:tcPr>
            <w:tcW w:w="833" w:type="pct"/>
            <w:tcBorders>
              <w:top w:val="nil"/>
              <w:left w:val="nil"/>
              <w:bottom w:val="nil"/>
              <w:right w:val="nil"/>
            </w:tcBorders>
          </w:tcPr>
          <w:p w:rsidR="00E76F80" w:rsidRDefault="00E76F80" w:rsidP="00E76F80">
            <w:pPr>
              <w:jc w:val="right"/>
              <w:rPr>
                <w:b/>
                <w:bCs/>
                <w:color w:val="000000"/>
                <w:sz w:val="20"/>
                <w:szCs w:val="20"/>
              </w:rPr>
            </w:pPr>
            <w:r>
              <w:rPr>
                <w:b/>
                <w:bCs/>
                <w:color w:val="000000"/>
                <w:sz w:val="20"/>
                <w:szCs w:val="20"/>
              </w:rPr>
              <w:t xml:space="preserve">13,826 </w:t>
            </w:r>
          </w:p>
        </w:tc>
        <w:tc>
          <w:tcPr>
            <w:tcW w:w="153" w:type="pct"/>
            <w:tcBorders>
              <w:top w:val="nil"/>
              <w:left w:val="nil"/>
              <w:bottom w:val="nil"/>
              <w:right w:val="nil"/>
            </w:tcBorders>
          </w:tcPr>
          <w:p w:rsidR="00E76F80" w:rsidRDefault="00E76F80" w:rsidP="00E76F80">
            <w:pPr>
              <w:rPr>
                <w:color w:val="000000"/>
                <w:sz w:val="20"/>
                <w:szCs w:val="20"/>
              </w:rPr>
            </w:pPr>
          </w:p>
        </w:tc>
        <w:tc>
          <w:tcPr>
            <w:tcW w:w="822" w:type="pct"/>
            <w:tcBorders>
              <w:top w:val="nil"/>
              <w:left w:val="nil"/>
              <w:bottom w:val="nil"/>
              <w:right w:val="nil"/>
            </w:tcBorders>
          </w:tcPr>
          <w:p w:rsidR="00E76F80" w:rsidRDefault="00E76F80" w:rsidP="00E76F80">
            <w:pPr>
              <w:jc w:val="right"/>
              <w:rPr>
                <w:color w:val="000000"/>
                <w:sz w:val="20"/>
                <w:szCs w:val="20"/>
              </w:rPr>
            </w:pPr>
            <w:r>
              <w:rPr>
                <w:color w:val="000000"/>
                <w:sz w:val="20"/>
                <w:szCs w:val="20"/>
              </w:rPr>
              <w:t xml:space="preserve">16,009 </w:t>
            </w:r>
          </w:p>
        </w:tc>
      </w:tr>
      <w:tr w:rsidR="00E76F80" w:rsidTr="00E76F80">
        <w:trPr>
          <w:trHeight w:val="98"/>
        </w:trPr>
        <w:tc>
          <w:tcPr>
            <w:tcW w:w="3192" w:type="pct"/>
            <w:tcBorders>
              <w:top w:val="nil"/>
              <w:left w:val="nil"/>
              <w:bottom w:val="nil"/>
              <w:right w:val="nil"/>
            </w:tcBorders>
            <w:vAlign w:val="bottom"/>
          </w:tcPr>
          <w:p w:rsidR="00E76F80" w:rsidRDefault="00E76F80" w:rsidP="00E76F80">
            <w:pPr>
              <w:rPr>
                <w:color w:val="000000"/>
                <w:sz w:val="20"/>
                <w:szCs w:val="20"/>
              </w:rPr>
            </w:pPr>
          </w:p>
        </w:tc>
        <w:tc>
          <w:tcPr>
            <w:tcW w:w="833" w:type="pct"/>
            <w:tcBorders>
              <w:top w:val="nil"/>
              <w:left w:val="nil"/>
              <w:bottom w:val="nil"/>
              <w:right w:val="nil"/>
            </w:tcBorders>
          </w:tcPr>
          <w:p w:rsidR="00E76F80" w:rsidRDefault="00E76F80" w:rsidP="00E76F80">
            <w:pPr>
              <w:rPr>
                <w:b/>
                <w:bCs/>
                <w:color w:val="000000"/>
                <w:sz w:val="20"/>
                <w:szCs w:val="20"/>
              </w:rPr>
            </w:pPr>
          </w:p>
        </w:tc>
        <w:tc>
          <w:tcPr>
            <w:tcW w:w="153" w:type="pct"/>
            <w:tcBorders>
              <w:top w:val="nil"/>
              <w:left w:val="nil"/>
              <w:bottom w:val="nil"/>
              <w:right w:val="nil"/>
            </w:tcBorders>
          </w:tcPr>
          <w:p w:rsidR="00E76F80" w:rsidRDefault="00E76F80" w:rsidP="00E76F80">
            <w:pPr>
              <w:rPr>
                <w:color w:val="000000"/>
                <w:sz w:val="20"/>
                <w:szCs w:val="20"/>
              </w:rPr>
            </w:pPr>
          </w:p>
        </w:tc>
        <w:tc>
          <w:tcPr>
            <w:tcW w:w="822" w:type="pct"/>
            <w:tcBorders>
              <w:top w:val="nil"/>
              <w:left w:val="nil"/>
              <w:bottom w:val="nil"/>
              <w:right w:val="nil"/>
            </w:tcBorders>
          </w:tcPr>
          <w:p w:rsidR="00E76F80" w:rsidRDefault="00E76F80" w:rsidP="00E76F80">
            <w:pPr>
              <w:rPr>
                <w:color w:val="000000"/>
                <w:sz w:val="20"/>
                <w:szCs w:val="20"/>
              </w:rPr>
            </w:pPr>
          </w:p>
        </w:tc>
      </w:tr>
      <w:tr w:rsidR="00E76F80" w:rsidTr="00E76F80">
        <w:trPr>
          <w:trHeight w:val="255"/>
        </w:trPr>
        <w:tc>
          <w:tcPr>
            <w:tcW w:w="3192" w:type="pct"/>
            <w:tcBorders>
              <w:top w:val="nil"/>
              <w:left w:val="nil"/>
              <w:bottom w:val="nil"/>
              <w:right w:val="nil"/>
            </w:tcBorders>
            <w:vAlign w:val="bottom"/>
          </w:tcPr>
          <w:p w:rsidR="00E76F80" w:rsidRDefault="00E76F80" w:rsidP="00E76F80">
            <w:pPr>
              <w:rPr>
                <w:color w:val="000000"/>
                <w:sz w:val="20"/>
                <w:szCs w:val="20"/>
              </w:rPr>
            </w:pPr>
            <w:r>
              <w:rPr>
                <w:color w:val="000000"/>
                <w:sz w:val="20"/>
                <w:szCs w:val="20"/>
              </w:rPr>
              <w:t>Property and equipment, net</w:t>
            </w:r>
          </w:p>
        </w:tc>
        <w:tc>
          <w:tcPr>
            <w:tcW w:w="833" w:type="pct"/>
            <w:tcBorders>
              <w:top w:val="nil"/>
              <w:left w:val="nil"/>
              <w:bottom w:val="nil"/>
              <w:right w:val="nil"/>
            </w:tcBorders>
          </w:tcPr>
          <w:p w:rsidR="00E76F80" w:rsidRDefault="00E76F80" w:rsidP="00E76F80">
            <w:pPr>
              <w:jc w:val="right"/>
              <w:rPr>
                <w:b/>
                <w:bCs/>
                <w:color w:val="000000"/>
                <w:sz w:val="20"/>
                <w:szCs w:val="20"/>
              </w:rPr>
            </w:pPr>
            <w:r>
              <w:rPr>
                <w:b/>
                <w:bCs/>
                <w:color w:val="000000"/>
                <w:sz w:val="20"/>
                <w:szCs w:val="20"/>
              </w:rPr>
              <w:t xml:space="preserve">441 </w:t>
            </w:r>
          </w:p>
        </w:tc>
        <w:tc>
          <w:tcPr>
            <w:tcW w:w="153" w:type="pct"/>
            <w:tcBorders>
              <w:top w:val="nil"/>
              <w:left w:val="nil"/>
              <w:bottom w:val="nil"/>
              <w:right w:val="nil"/>
            </w:tcBorders>
          </w:tcPr>
          <w:p w:rsidR="00E76F80" w:rsidRDefault="00E76F80" w:rsidP="00E76F80">
            <w:pPr>
              <w:rPr>
                <w:color w:val="000000"/>
                <w:sz w:val="20"/>
                <w:szCs w:val="20"/>
              </w:rPr>
            </w:pPr>
          </w:p>
        </w:tc>
        <w:tc>
          <w:tcPr>
            <w:tcW w:w="822" w:type="pct"/>
            <w:tcBorders>
              <w:top w:val="nil"/>
              <w:left w:val="nil"/>
              <w:bottom w:val="nil"/>
              <w:right w:val="nil"/>
            </w:tcBorders>
          </w:tcPr>
          <w:p w:rsidR="00E76F80" w:rsidRDefault="00E76F80" w:rsidP="00E76F80">
            <w:pPr>
              <w:jc w:val="right"/>
              <w:rPr>
                <w:color w:val="000000"/>
                <w:sz w:val="20"/>
                <w:szCs w:val="20"/>
              </w:rPr>
            </w:pPr>
            <w:r>
              <w:rPr>
                <w:color w:val="000000"/>
                <w:sz w:val="20"/>
                <w:szCs w:val="20"/>
              </w:rPr>
              <w:t xml:space="preserve">342 </w:t>
            </w:r>
          </w:p>
        </w:tc>
      </w:tr>
      <w:tr w:rsidR="00E76F80" w:rsidTr="00E76F80">
        <w:trPr>
          <w:trHeight w:val="255"/>
        </w:trPr>
        <w:tc>
          <w:tcPr>
            <w:tcW w:w="3192" w:type="pct"/>
            <w:tcBorders>
              <w:top w:val="nil"/>
              <w:left w:val="nil"/>
              <w:bottom w:val="nil"/>
              <w:right w:val="nil"/>
            </w:tcBorders>
            <w:vAlign w:val="bottom"/>
          </w:tcPr>
          <w:p w:rsidR="00E76F80" w:rsidRDefault="00E76F80" w:rsidP="00E76F80">
            <w:pPr>
              <w:rPr>
                <w:color w:val="000000"/>
                <w:sz w:val="20"/>
                <w:szCs w:val="20"/>
              </w:rPr>
            </w:pPr>
            <w:r>
              <w:rPr>
                <w:color w:val="000000"/>
                <w:sz w:val="20"/>
                <w:szCs w:val="20"/>
              </w:rPr>
              <w:t>Capitalized software products, net</w:t>
            </w:r>
          </w:p>
        </w:tc>
        <w:tc>
          <w:tcPr>
            <w:tcW w:w="833" w:type="pct"/>
            <w:tcBorders>
              <w:top w:val="nil"/>
              <w:left w:val="nil"/>
              <w:bottom w:val="nil"/>
              <w:right w:val="nil"/>
            </w:tcBorders>
          </w:tcPr>
          <w:p w:rsidR="00E76F80" w:rsidRDefault="00E76F80" w:rsidP="00E76F80">
            <w:pPr>
              <w:jc w:val="right"/>
              <w:rPr>
                <w:b/>
                <w:bCs/>
                <w:color w:val="000000"/>
                <w:sz w:val="20"/>
                <w:szCs w:val="20"/>
              </w:rPr>
            </w:pPr>
            <w:r>
              <w:rPr>
                <w:b/>
                <w:bCs/>
                <w:color w:val="000000"/>
                <w:sz w:val="20"/>
                <w:szCs w:val="20"/>
              </w:rPr>
              <w:t xml:space="preserve">3,113 </w:t>
            </w:r>
          </w:p>
        </w:tc>
        <w:tc>
          <w:tcPr>
            <w:tcW w:w="153" w:type="pct"/>
            <w:tcBorders>
              <w:top w:val="nil"/>
              <w:left w:val="nil"/>
              <w:bottom w:val="nil"/>
              <w:right w:val="nil"/>
            </w:tcBorders>
          </w:tcPr>
          <w:p w:rsidR="00E76F80" w:rsidRDefault="00E76F80" w:rsidP="00E76F80">
            <w:pPr>
              <w:rPr>
                <w:color w:val="000000"/>
                <w:sz w:val="20"/>
                <w:szCs w:val="20"/>
              </w:rPr>
            </w:pPr>
          </w:p>
        </w:tc>
        <w:tc>
          <w:tcPr>
            <w:tcW w:w="822" w:type="pct"/>
            <w:tcBorders>
              <w:top w:val="nil"/>
              <w:left w:val="nil"/>
              <w:bottom w:val="nil"/>
              <w:right w:val="nil"/>
            </w:tcBorders>
          </w:tcPr>
          <w:p w:rsidR="00E76F80" w:rsidRDefault="00E76F80" w:rsidP="00E76F80">
            <w:pPr>
              <w:jc w:val="right"/>
              <w:rPr>
                <w:color w:val="000000"/>
                <w:sz w:val="20"/>
                <w:szCs w:val="20"/>
              </w:rPr>
            </w:pPr>
            <w:r>
              <w:rPr>
                <w:color w:val="000000"/>
                <w:sz w:val="20"/>
                <w:szCs w:val="20"/>
              </w:rPr>
              <w:t xml:space="preserve">2,424 </w:t>
            </w:r>
          </w:p>
        </w:tc>
      </w:tr>
      <w:tr w:rsidR="00E76F80" w:rsidTr="00E76F80">
        <w:trPr>
          <w:trHeight w:val="255"/>
        </w:trPr>
        <w:tc>
          <w:tcPr>
            <w:tcW w:w="3192" w:type="pct"/>
            <w:tcBorders>
              <w:top w:val="nil"/>
              <w:left w:val="nil"/>
              <w:bottom w:val="nil"/>
              <w:right w:val="nil"/>
            </w:tcBorders>
            <w:vAlign w:val="bottom"/>
          </w:tcPr>
          <w:p w:rsidR="00E76F80" w:rsidRDefault="00E76F80" w:rsidP="00E76F80">
            <w:pPr>
              <w:rPr>
                <w:color w:val="000000"/>
                <w:sz w:val="20"/>
                <w:szCs w:val="20"/>
              </w:rPr>
            </w:pPr>
            <w:r>
              <w:rPr>
                <w:color w:val="000000"/>
                <w:sz w:val="20"/>
                <w:szCs w:val="20"/>
              </w:rPr>
              <w:t>Finite life intangible assets</w:t>
            </w:r>
          </w:p>
        </w:tc>
        <w:tc>
          <w:tcPr>
            <w:tcW w:w="833" w:type="pct"/>
            <w:tcBorders>
              <w:top w:val="nil"/>
              <w:left w:val="nil"/>
              <w:bottom w:val="nil"/>
              <w:right w:val="nil"/>
            </w:tcBorders>
          </w:tcPr>
          <w:p w:rsidR="00E76F80" w:rsidRDefault="00E76F80" w:rsidP="00E76F80">
            <w:pPr>
              <w:jc w:val="right"/>
              <w:rPr>
                <w:b/>
                <w:bCs/>
                <w:color w:val="000000"/>
                <w:sz w:val="20"/>
                <w:szCs w:val="20"/>
              </w:rPr>
            </w:pPr>
            <w:r>
              <w:rPr>
                <w:b/>
                <w:bCs/>
                <w:color w:val="000000"/>
                <w:sz w:val="20"/>
                <w:szCs w:val="20"/>
              </w:rPr>
              <w:t xml:space="preserve">1,020 </w:t>
            </w:r>
          </w:p>
        </w:tc>
        <w:tc>
          <w:tcPr>
            <w:tcW w:w="153" w:type="pct"/>
            <w:tcBorders>
              <w:top w:val="nil"/>
              <w:left w:val="nil"/>
              <w:bottom w:val="nil"/>
              <w:right w:val="nil"/>
            </w:tcBorders>
          </w:tcPr>
          <w:p w:rsidR="00E76F80" w:rsidRDefault="00E76F80" w:rsidP="00E76F80">
            <w:pPr>
              <w:rPr>
                <w:color w:val="000000"/>
                <w:sz w:val="20"/>
                <w:szCs w:val="20"/>
              </w:rPr>
            </w:pPr>
          </w:p>
        </w:tc>
        <w:tc>
          <w:tcPr>
            <w:tcW w:w="822" w:type="pct"/>
            <w:tcBorders>
              <w:top w:val="nil"/>
              <w:left w:val="nil"/>
              <w:bottom w:val="nil"/>
              <w:right w:val="nil"/>
            </w:tcBorders>
          </w:tcPr>
          <w:p w:rsidR="00E76F80" w:rsidRDefault="00E76F80" w:rsidP="00E76F80">
            <w:pPr>
              <w:jc w:val="right"/>
              <w:rPr>
                <w:bCs/>
                <w:color w:val="000000"/>
                <w:sz w:val="20"/>
                <w:szCs w:val="20"/>
              </w:rPr>
            </w:pPr>
            <w:r>
              <w:rPr>
                <w:color w:val="000000"/>
                <w:sz w:val="20"/>
                <w:szCs w:val="20"/>
              </w:rPr>
              <w:t xml:space="preserve">- </w:t>
            </w:r>
          </w:p>
        </w:tc>
      </w:tr>
      <w:tr w:rsidR="00E76F80" w:rsidTr="00E76F80">
        <w:trPr>
          <w:trHeight w:val="255"/>
        </w:trPr>
        <w:tc>
          <w:tcPr>
            <w:tcW w:w="3192" w:type="pct"/>
            <w:tcBorders>
              <w:top w:val="nil"/>
              <w:left w:val="nil"/>
              <w:bottom w:val="nil"/>
              <w:right w:val="nil"/>
            </w:tcBorders>
            <w:vAlign w:val="bottom"/>
          </w:tcPr>
          <w:p w:rsidR="00E76F80" w:rsidRDefault="00E76F80" w:rsidP="00E76F80">
            <w:pPr>
              <w:rPr>
                <w:color w:val="000000"/>
                <w:sz w:val="20"/>
                <w:szCs w:val="20"/>
              </w:rPr>
            </w:pPr>
            <w:r>
              <w:rPr>
                <w:color w:val="000000"/>
                <w:sz w:val="20"/>
                <w:szCs w:val="20"/>
              </w:rPr>
              <w:t>Goodwill</w:t>
            </w:r>
          </w:p>
        </w:tc>
        <w:tc>
          <w:tcPr>
            <w:tcW w:w="833" w:type="pct"/>
            <w:tcBorders>
              <w:top w:val="nil"/>
              <w:left w:val="nil"/>
              <w:bottom w:val="nil"/>
              <w:right w:val="nil"/>
            </w:tcBorders>
          </w:tcPr>
          <w:p w:rsidR="00E76F80" w:rsidRDefault="00E76F80" w:rsidP="00E76F80">
            <w:pPr>
              <w:jc w:val="right"/>
              <w:rPr>
                <w:b/>
                <w:bCs/>
                <w:color w:val="000000"/>
                <w:sz w:val="20"/>
                <w:szCs w:val="20"/>
              </w:rPr>
            </w:pPr>
            <w:r>
              <w:rPr>
                <w:b/>
                <w:bCs/>
                <w:color w:val="000000"/>
                <w:sz w:val="20"/>
                <w:szCs w:val="20"/>
              </w:rPr>
              <w:t xml:space="preserve">4,483 </w:t>
            </w:r>
          </w:p>
        </w:tc>
        <w:tc>
          <w:tcPr>
            <w:tcW w:w="153" w:type="pct"/>
            <w:tcBorders>
              <w:top w:val="nil"/>
              <w:left w:val="nil"/>
              <w:bottom w:val="nil"/>
              <w:right w:val="nil"/>
            </w:tcBorders>
          </w:tcPr>
          <w:p w:rsidR="00E76F80" w:rsidRDefault="00E76F80" w:rsidP="00E76F80">
            <w:pPr>
              <w:rPr>
                <w:color w:val="000000"/>
                <w:sz w:val="20"/>
                <w:szCs w:val="20"/>
              </w:rPr>
            </w:pPr>
          </w:p>
        </w:tc>
        <w:tc>
          <w:tcPr>
            <w:tcW w:w="822" w:type="pct"/>
            <w:tcBorders>
              <w:top w:val="nil"/>
              <w:left w:val="nil"/>
              <w:bottom w:val="nil"/>
              <w:right w:val="nil"/>
            </w:tcBorders>
          </w:tcPr>
          <w:p w:rsidR="00E76F80" w:rsidRDefault="00E76F80" w:rsidP="00E76F80">
            <w:pPr>
              <w:jc w:val="right"/>
              <w:rPr>
                <w:color w:val="000000"/>
                <w:sz w:val="20"/>
                <w:szCs w:val="20"/>
              </w:rPr>
            </w:pPr>
            <w:r>
              <w:rPr>
                <w:color w:val="000000"/>
                <w:sz w:val="20"/>
                <w:szCs w:val="20"/>
              </w:rPr>
              <w:t xml:space="preserve">3,630 </w:t>
            </w:r>
          </w:p>
        </w:tc>
      </w:tr>
      <w:tr w:rsidR="00E76F80" w:rsidTr="00E76F80">
        <w:trPr>
          <w:trHeight w:val="255"/>
        </w:trPr>
        <w:tc>
          <w:tcPr>
            <w:tcW w:w="3192" w:type="pct"/>
            <w:tcBorders>
              <w:top w:val="nil"/>
              <w:left w:val="nil"/>
              <w:bottom w:val="nil"/>
              <w:right w:val="nil"/>
            </w:tcBorders>
            <w:vAlign w:val="bottom"/>
          </w:tcPr>
          <w:p w:rsidR="00E76F80" w:rsidRDefault="00E76F80" w:rsidP="00E76F80">
            <w:pPr>
              <w:rPr>
                <w:color w:val="000000"/>
                <w:sz w:val="20"/>
                <w:szCs w:val="20"/>
              </w:rPr>
            </w:pPr>
            <w:r>
              <w:rPr>
                <w:color w:val="000000"/>
                <w:sz w:val="20"/>
                <w:szCs w:val="20"/>
              </w:rPr>
              <w:t>Long term deferred income taxes, net</w:t>
            </w:r>
          </w:p>
        </w:tc>
        <w:tc>
          <w:tcPr>
            <w:tcW w:w="833" w:type="pct"/>
            <w:tcBorders>
              <w:top w:val="nil"/>
              <w:left w:val="nil"/>
              <w:bottom w:val="nil"/>
              <w:right w:val="nil"/>
            </w:tcBorders>
          </w:tcPr>
          <w:p w:rsidR="00E76F80" w:rsidRDefault="00E76F80" w:rsidP="00E76F80">
            <w:pPr>
              <w:jc w:val="right"/>
              <w:rPr>
                <w:b/>
                <w:bCs/>
                <w:color w:val="000000"/>
                <w:sz w:val="20"/>
                <w:szCs w:val="20"/>
                <w:highlight w:val="yellow"/>
              </w:rPr>
            </w:pPr>
            <w:r>
              <w:rPr>
                <w:b/>
                <w:bCs/>
                <w:color w:val="000000"/>
                <w:sz w:val="20"/>
                <w:szCs w:val="20"/>
              </w:rPr>
              <w:t xml:space="preserve">57 </w:t>
            </w:r>
          </w:p>
        </w:tc>
        <w:tc>
          <w:tcPr>
            <w:tcW w:w="153" w:type="pct"/>
            <w:tcBorders>
              <w:top w:val="nil"/>
              <w:left w:val="nil"/>
              <w:bottom w:val="nil"/>
              <w:right w:val="nil"/>
            </w:tcBorders>
          </w:tcPr>
          <w:p w:rsidR="00E76F80" w:rsidRDefault="00E76F80" w:rsidP="00E76F80">
            <w:pPr>
              <w:rPr>
                <w:color w:val="000000"/>
                <w:sz w:val="20"/>
                <w:szCs w:val="20"/>
                <w:highlight w:val="yellow"/>
              </w:rPr>
            </w:pPr>
          </w:p>
        </w:tc>
        <w:tc>
          <w:tcPr>
            <w:tcW w:w="822" w:type="pct"/>
            <w:tcBorders>
              <w:top w:val="nil"/>
              <w:left w:val="nil"/>
              <w:bottom w:val="nil"/>
              <w:right w:val="nil"/>
            </w:tcBorders>
          </w:tcPr>
          <w:p w:rsidR="00E76F80" w:rsidRDefault="00E76F80" w:rsidP="00E76F80">
            <w:pPr>
              <w:jc w:val="right"/>
              <w:rPr>
                <w:color w:val="000000"/>
                <w:sz w:val="20"/>
                <w:szCs w:val="20"/>
              </w:rPr>
            </w:pPr>
            <w:r>
              <w:rPr>
                <w:color w:val="000000"/>
                <w:sz w:val="20"/>
                <w:szCs w:val="20"/>
              </w:rPr>
              <w:t xml:space="preserve">214 </w:t>
            </w:r>
          </w:p>
        </w:tc>
      </w:tr>
      <w:tr w:rsidR="00E76F80" w:rsidTr="00E76F80">
        <w:trPr>
          <w:trHeight w:val="270"/>
        </w:trPr>
        <w:tc>
          <w:tcPr>
            <w:tcW w:w="3192" w:type="pct"/>
            <w:tcBorders>
              <w:top w:val="nil"/>
              <w:left w:val="nil"/>
              <w:bottom w:val="nil"/>
              <w:right w:val="nil"/>
            </w:tcBorders>
            <w:vAlign w:val="bottom"/>
          </w:tcPr>
          <w:p w:rsidR="00E76F80" w:rsidRDefault="00E76F80" w:rsidP="00E76F80">
            <w:pPr>
              <w:rPr>
                <w:color w:val="000000"/>
                <w:sz w:val="20"/>
                <w:szCs w:val="20"/>
              </w:rPr>
            </w:pPr>
            <w:r>
              <w:rPr>
                <w:color w:val="000000"/>
                <w:sz w:val="20"/>
                <w:szCs w:val="20"/>
              </w:rPr>
              <w:t>Other non-current assets</w:t>
            </w:r>
          </w:p>
        </w:tc>
        <w:tc>
          <w:tcPr>
            <w:tcW w:w="833" w:type="pct"/>
            <w:tcBorders>
              <w:top w:val="nil"/>
              <w:left w:val="nil"/>
              <w:bottom w:val="nil"/>
              <w:right w:val="nil"/>
            </w:tcBorders>
          </w:tcPr>
          <w:p w:rsidR="00E76F80" w:rsidRDefault="00E76F80" w:rsidP="00E76F80">
            <w:pPr>
              <w:jc w:val="right"/>
              <w:rPr>
                <w:b/>
                <w:bCs/>
                <w:color w:val="000000"/>
                <w:sz w:val="20"/>
                <w:szCs w:val="20"/>
              </w:rPr>
            </w:pPr>
            <w:r>
              <w:rPr>
                <w:b/>
                <w:bCs/>
                <w:color w:val="000000"/>
                <w:sz w:val="20"/>
                <w:szCs w:val="20"/>
              </w:rPr>
              <w:t xml:space="preserve">- </w:t>
            </w:r>
          </w:p>
        </w:tc>
        <w:tc>
          <w:tcPr>
            <w:tcW w:w="153" w:type="pct"/>
            <w:tcBorders>
              <w:top w:val="nil"/>
              <w:left w:val="nil"/>
              <w:bottom w:val="nil"/>
              <w:right w:val="nil"/>
            </w:tcBorders>
          </w:tcPr>
          <w:p w:rsidR="00E76F80" w:rsidRDefault="00E76F80" w:rsidP="00E76F80">
            <w:pPr>
              <w:rPr>
                <w:color w:val="000000"/>
                <w:sz w:val="20"/>
                <w:szCs w:val="20"/>
              </w:rPr>
            </w:pPr>
          </w:p>
        </w:tc>
        <w:tc>
          <w:tcPr>
            <w:tcW w:w="822" w:type="pct"/>
            <w:tcBorders>
              <w:top w:val="nil"/>
              <w:left w:val="nil"/>
              <w:bottom w:val="nil"/>
              <w:right w:val="nil"/>
            </w:tcBorders>
          </w:tcPr>
          <w:p w:rsidR="00E76F80" w:rsidRDefault="00E76F80" w:rsidP="00E76F80">
            <w:pPr>
              <w:jc w:val="right"/>
              <w:rPr>
                <w:color w:val="000000"/>
                <w:sz w:val="20"/>
                <w:szCs w:val="20"/>
              </w:rPr>
            </w:pPr>
            <w:r>
              <w:rPr>
                <w:color w:val="000000"/>
                <w:sz w:val="20"/>
                <w:szCs w:val="20"/>
              </w:rPr>
              <w:t xml:space="preserve">2 </w:t>
            </w:r>
          </w:p>
        </w:tc>
      </w:tr>
      <w:tr w:rsidR="00E76F80" w:rsidTr="00E76F80">
        <w:trPr>
          <w:trHeight w:val="270"/>
        </w:trPr>
        <w:tc>
          <w:tcPr>
            <w:tcW w:w="3192" w:type="pct"/>
            <w:tcBorders>
              <w:top w:val="nil"/>
              <w:left w:val="nil"/>
              <w:bottom w:val="nil"/>
              <w:right w:val="nil"/>
            </w:tcBorders>
            <w:vAlign w:val="bottom"/>
          </w:tcPr>
          <w:p w:rsidR="00E76F80" w:rsidRDefault="00E76F80" w:rsidP="00E76F80">
            <w:pPr>
              <w:rPr>
                <w:color w:val="000000"/>
                <w:sz w:val="20"/>
                <w:szCs w:val="20"/>
              </w:rPr>
            </w:pPr>
            <w:r>
              <w:rPr>
                <w:color w:val="000000"/>
                <w:sz w:val="20"/>
                <w:szCs w:val="20"/>
              </w:rPr>
              <w:t>Total assets</w:t>
            </w:r>
          </w:p>
        </w:tc>
        <w:tc>
          <w:tcPr>
            <w:tcW w:w="833" w:type="pct"/>
            <w:tcBorders>
              <w:top w:val="single" w:sz="8" w:space="0" w:color="auto"/>
              <w:left w:val="nil"/>
              <w:bottom w:val="double" w:sz="6" w:space="0" w:color="auto"/>
              <w:right w:val="nil"/>
            </w:tcBorders>
          </w:tcPr>
          <w:p w:rsidR="00E76F80" w:rsidRDefault="00E76F80" w:rsidP="00E76F80">
            <w:pPr>
              <w:jc w:val="right"/>
              <w:rPr>
                <w:b/>
                <w:bCs/>
                <w:color w:val="000000"/>
                <w:sz w:val="20"/>
                <w:szCs w:val="20"/>
              </w:rPr>
            </w:pPr>
            <w:r>
              <w:rPr>
                <w:b/>
                <w:bCs/>
                <w:color w:val="000000"/>
                <w:sz w:val="20"/>
                <w:szCs w:val="20"/>
              </w:rPr>
              <w:t xml:space="preserve">$22,940 </w:t>
            </w:r>
          </w:p>
        </w:tc>
        <w:tc>
          <w:tcPr>
            <w:tcW w:w="153" w:type="pct"/>
            <w:tcBorders>
              <w:top w:val="nil"/>
              <w:left w:val="nil"/>
              <w:bottom w:val="nil"/>
              <w:right w:val="nil"/>
            </w:tcBorders>
          </w:tcPr>
          <w:p w:rsidR="00E76F80" w:rsidRDefault="00E76F80" w:rsidP="00E76F80">
            <w:pPr>
              <w:rPr>
                <w:b/>
                <w:bCs/>
                <w:color w:val="000000"/>
                <w:sz w:val="20"/>
                <w:szCs w:val="20"/>
              </w:rPr>
            </w:pPr>
          </w:p>
        </w:tc>
        <w:tc>
          <w:tcPr>
            <w:tcW w:w="822" w:type="pct"/>
            <w:tcBorders>
              <w:top w:val="single" w:sz="8" w:space="0" w:color="auto"/>
              <w:left w:val="nil"/>
              <w:bottom w:val="double" w:sz="6" w:space="0" w:color="auto"/>
              <w:right w:val="nil"/>
            </w:tcBorders>
          </w:tcPr>
          <w:p w:rsidR="00E76F80" w:rsidRDefault="00E76F80" w:rsidP="00E76F80">
            <w:pPr>
              <w:jc w:val="right"/>
              <w:rPr>
                <w:color w:val="000000"/>
                <w:sz w:val="20"/>
                <w:szCs w:val="20"/>
              </w:rPr>
            </w:pPr>
            <w:r>
              <w:rPr>
                <w:color w:val="000000"/>
                <w:sz w:val="20"/>
                <w:szCs w:val="20"/>
              </w:rPr>
              <w:t xml:space="preserve">$22,621 </w:t>
            </w:r>
          </w:p>
        </w:tc>
      </w:tr>
      <w:tr w:rsidR="00E76F80" w:rsidTr="00E76F80">
        <w:trPr>
          <w:trHeight w:val="98"/>
        </w:trPr>
        <w:tc>
          <w:tcPr>
            <w:tcW w:w="3192" w:type="pct"/>
            <w:tcBorders>
              <w:top w:val="nil"/>
              <w:left w:val="nil"/>
              <w:bottom w:val="nil"/>
              <w:right w:val="nil"/>
            </w:tcBorders>
            <w:vAlign w:val="bottom"/>
          </w:tcPr>
          <w:p w:rsidR="00E76F80" w:rsidRDefault="00E76F80" w:rsidP="00E76F80">
            <w:pPr>
              <w:rPr>
                <w:color w:val="000000"/>
                <w:sz w:val="20"/>
                <w:szCs w:val="20"/>
              </w:rPr>
            </w:pPr>
          </w:p>
        </w:tc>
        <w:tc>
          <w:tcPr>
            <w:tcW w:w="833" w:type="pct"/>
            <w:tcBorders>
              <w:top w:val="nil"/>
              <w:left w:val="nil"/>
              <w:bottom w:val="nil"/>
              <w:right w:val="nil"/>
            </w:tcBorders>
          </w:tcPr>
          <w:p w:rsidR="00E76F80" w:rsidRDefault="00E76F80" w:rsidP="00E76F80">
            <w:pPr>
              <w:rPr>
                <w:b/>
                <w:bCs/>
                <w:color w:val="000000"/>
                <w:sz w:val="20"/>
                <w:szCs w:val="20"/>
              </w:rPr>
            </w:pPr>
          </w:p>
        </w:tc>
        <w:tc>
          <w:tcPr>
            <w:tcW w:w="153" w:type="pct"/>
            <w:tcBorders>
              <w:top w:val="nil"/>
              <w:left w:val="nil"/>
              <w:bottom w:val="nil"/>
              <w:right w:val="nil"/>
            </w:tcBorders>
          </w:tcPr>
          <w:p w:rsidR="00E76F80" w:rsidRDefault="00E76F80" w:rsidP="00E76F80">
            <w:pPr>
              <w:rPr>
                <w:color w:val="000000"/>
                <w:sz w:val="20"/>
                <w:szCs w:val="20"/>
              </w:rPr>
            </w:pPr>
          </w:p>
        </w:tc>
        <w:tc>
          <w:tcPr>
            <w:tcW w:w="822" w:type="pct"/>
            <w:tcBorders>
              <w:top w:val="nil"/>
              <w:left w:val="nil"/>
              <w:bottom w:val="nil"/>
              <w:right w:val="nil"/>
            </w:tcBorders>
          </w:tcPr>
          <w:p w:rsidR="00E76F80" w:rsidRDefault="00E76F80" w:rsidP="00E76F80">
            <w:pPr>
              <w:rPr>
                <w:color w:val="000000"/>
                <w:sz w:val="20"/>
                <w:szCs w:val="20"/>
              </w:rPr>
            </w:pPr>
          </w:p>
        </w:tc>
      </w:tr>
      <w:tr w:rsidR="00E76F80" w:rsidTr="00E76F80">
        <w:trPr>
          <w:trHeight w:val="255"/>
        </w:trPr>
        <w:tc>
          <w:tcPr>
            <w:tcW w:w="3192" w:type="pct"/>
            <w:tcBorders>
              <w:top w:val="nil"/>
              <w:left w:val="nil"/>
              <w:bottom w:val="nil"/>
              <w:right w:val="nil"/>
            </w:tcBorders>
            <w:vAlign w:val="bottom"/>
          </w:tcPr>
          <w:p w:rsidR="00E76F80" w:rsidRDefault="00E76F80" w:rsidP="00E76F80">
            <w:pPr>
              <w:rPr>
                <w:b/>
                <w:bCs/>
                <w:color w:val="000000"/>
                <w:sz w:val="20"/>
                <w:szCs w:val="20"/>
              </w:rPr>
            </w:pPr>
            <w:r>
              <w:rPr>
                <w:b/>
                <w:bCs/>
                <w:color w:val="000000"/>
                <w:sz w:val="20"/>
                <w:szCs w:val="20"/>
              </w:rPr>
              <w:t xml:space="preserve">Liabilities and Shareholders’ Equity </w:t>
            </w:r>
          </w:p>
        </w:tc>
        <w:tc>
          <w:tcPr>
            <w:tcW w:w="833" w:type="pct"/>
            <w:tcBorders>
              <w:top w:val="nil"/>
              <w:left w:val="nil"/>
              <w:bottom w:val="nil"/>
              <w:right w:val="nil"/>
            </w:tcBorders>
          </w:tcPr>
          <w:p w:rsidR="00E76F80" w:rsidRDefault="00E76F80" w:rsidP="00E76F80">
            <w:pPr>
              <w:rPr>
                <w:b/>
                <w:bCs/>
                <w:color w:val="000000"/>
                <w:sz w:val="20"/>
                <w:szCs w:val="20"/>
              </w:rPr>
            </w:pPr>
          </w:p>
        </w:tc>
        <w:tc>
          <w:tcPr>
            <w:tcW w:w="153" w:type="pct"/>
            <w:tcBorders>
              <w:top w:val="nil"/>
              <w:left w:val="nil"/>
              <w:bottom w:val="nil"/>
              <w:right w:val="nil"/>
            </w:tcBorders>
          </w:tcPr>
          <w:p w:rsidR="00E76F80" w:rsidRDefault="00E76F80" w:rsidP="00E76F80">
            <w:pPr>
              <w:rPr>
                <w:color w:val="000000"/>
                <w:sz w:val="20"/>
                <w:szCs w:val="20"/>
              </w:rPr>
            </w:pPr>
          </w:p>
        </w:tc>
        <w:tc>
          <w:tcPr>
            <w:tcW w:w="822" w:type="pct"/>
            <w:tcBorders>
              <w:top w:val="nil"/>
              <w:left w:val="nil"/>
              <w:bottom w:val="nil"/>
              <w:right w:val="nil"/>
            </w:tcBorders>
          </w:tcPr>
          <w:p w:rsidR="00E76F80" w:rsidRDefault="00E76F80" w:rsidP="00E76F80">
            <w:pPr>
              <w:rPr>
                <w:color w:val="000000"/>
                <w:sz w:val="20"/>
                <w:szCs w:val="20"/>
              </w:rPr>
            </w:pPr>
          </w:p>
        </w:tc>
      </w:tr>
      <w:tr w:rsidR="00E76F80" w:rsidTr="00E76F80">
        <w:trPr>
          <w:trHeight w:val="255"/>
        </w:trPr>
        <w:tc>
          <w:tcPr>
            <w:tcW w:w="3192" w:type="pct"/>
            <w:tcBorders>
              <w:top w:val="nil"/>
              <w:left w:val="nil"/>
              <w:bottom w:val="nil"/>
              <w:right w:val="nil"/>
            </w:tcBorders>
            <w:vAlign w:val="bottom"/>
          </w:tcPr>
          <w:p w:rsidR="00E76F80" w:rsidRDefault="00E76F80" w:rsidP="00E76F80">
            <w:pPr>
              <w:rPr>
                <w:color w:val="000000"/>
                <w:sz w:val="20"/>
                <w:szCs w:val="20"/>
              </w:rPr>
            </w:pPr>
            <w:r>
              <w:rPr>
                <w:color w:val="000000"/>
                <w:sz w:val="20"/>
                <w:szCs w:val="20"/>
              </w:rPr>
              <w:t>Current liabilities:</w:t>
            </w:r>
          </w:p>
        </w:tc>
        <w:tc>
          <w:tcPr>
            <w:tcW w:w="833" w:type="pct"/>
            <w:tcBorders>
              <w:top w:val="nil"/>
              <w:left w:val="nil"/>
              <w:bottom w:val="nil"/>
              <w:right w:val="nil"/>
            </w:tcBorders>
          </w:tcPr>
          <w:p w:rsidR="00E76F80" w:rsidRDefault="00E76F80" w:rsidP="00E76F80">
            <w:pPr>
              <w:rPr>
                <w:b/>
                <w:bCs/>
                <w:color w:val="000000"/>
                <w:sz w:val="20"/>
                <w:szCs w:val="20"/>
              </w:rPr>
            </w:pPr>
          </w:p>
        </w:tc>
        <w:tc>
          <w:tcPr>
            <w:tcW w:w="153" w:type="pct"/>
            <w:tcBorders>
              <w:top w:val="nil"/>
              <w:left w:val="nil"/>
              <w:bottom w:val="nil"/>
              <w:right w:val="nil"/>
            </w:tcBorders>
          </w:tcPr>
          <w:p w:rsidR="00E76F80" w:rsidRDefault="00E76F80" w:rsidP="00E76F80">
            <w:pPr>
              <w:rPr>
                <w:color w:val="000000"/>
                <w:sz w:val="20"/>
                <w:szCs w:val="20"/>
              </w:rPr>
            </w:pPr>
          </w:p>
        </w:tc>
        <w:tc>
          <w:tcPr>
            <w:tcW w:w="822" w:type="pct"/>
            <w:tcBorders>
              <w:top w:val="nil"/>
              <w:left w:val="nil"/>
              <w:bottom w:val="nil"/>
              <w:right w:val="nil"/>
            </w:tcBorders>
          </w:tcPr>
          <w:p w:rsidR="00E76F80" w:rsidRDefault="00E76F80" w:rsidP="00E76F80">
            <w:pPr>
              <w:rPr>
                <w:color w:val="000000"/>
                <w:sz w:val="20"/>
                <w:szCs w:val="20"/>
              </w:rPr>
            </w:pPr>
          </w:p>
        </w:tc>
      </w:tr>
      <w:tr w:rsidR="00E76F80" w:rsidTr="00E76F80">
        <w:trPr>
          <w:trHeight w:val="255"/>
        </w:trPr>
        <w:tc>
          <w:tcPr>
            <w:tcW w:w="3192" w:type="pct"/>
            <w:tcBorders>
              <w:top w:val="nil"/>
              <w:left w:val="nil"/>
              <w:bottom w:val="nil"/>
              <w:right w:val="nil"/>
            </w:tcBorders>
            <w:vAlign w:val="bottom"/>
          </w:tcPr>
          <w:p w:rsidR="00E76F80" w:rsidRDefault="00E76F80" w:rsidP="00E76F80">
            <w:pPr>
              <w:ind w:firstLineChars="300" w:firstLine="600"/>
              <w:rPr>
                <w:color w:val="000000"/>
                <w:sz w:val="20"/>
                <w:szCs w:val="20"/>
              </w:rPr>
            </w:pPr>
            <w:r>
              <w:rPr>
                <w:color w:val="000000"/>
                <w:sz w:val="20"/>
                <w:szCs w:val="20"/>
              </w:rPr>
              <w:t>Current portion of capital lease obligations</w:t>
            </w:r>
          </w:p>
        </w:tc>
        <w:tc>
          <w:tcPr>
            <w:tcW w:w="833" w:type="pct"/>
            <w:tcBorders>
              <w:top w:val="nil"/>
              <w:left w:val="nil"/>
              <w:bottom w:val="nil"/>
              <w:right w:val="nil"/>
            </w:tcBorders>
          </w:tcPr>
          <w:p w:rsidR="00E76F80" w:rsidRDefault="00E76F80" w:rsidP="00E76F80">
            <w:pPr>
              <w:jc w:val="right"/>
              <w:rPr>
                <w:color w:val="000000"/>
                <w:sz w:val="20"/>
                <w:szCs w:val="20"/>
              </w:rPr>
            </w:pPr>
            <w:r>
              <w:rPr>
                <w:b/>
                <w:bCs/>
                <w:color w:val="000000"/>
                <w:sz w:val="20"/>
                <w:szCs w:val="20"/>
              </w:rPr>
              <w:t xml:space="preserve">$4 </w:t>
            </w:r>
          </w:p>
        </w:tc>
        <w:tc>
          <w:tcPr>
            <w:tcW w:w="153" w:type="pct"/>
            <w:tcBorders>
              <w:top w:val="nil"/>
              <w:left w:val="nil"/>
              <w:bottom w:val="nil"/>
              <w:right w:val="nil"/>
            </w:tcBorders>
          </w:tcPr>
          <w:p w:rsidR="00E76F80" w:rsidRDefault="00E76F80" w:rsidP="00E76F80">
            <w:pPr>
              <w:rPr>
                <w:color w:val="000000"/>
                <w:sz w:val="20"/>
                <w:szCs w:val="20"/>
              </w:rPr>
            </w:pPr>
          </w:p>
        </w:tc>
        <w:tc>
          <w:tcPr>
            <w:tcW w:w="822" w:type="pct"/>
            <w:tcBorders>
              <w:top w:val="nil"/>
              <w:left w:val="nil"/>
              <w:bottom w:val="nil"/>
              <w:right w:val="nil"/>
            </w:tcBorders>
          </w:tcPr>
          <w:p w:rsidR="00E76F80" w:rsidRDefault="00E76F80" w:rsidP="00E76F80">
            <w:pPr>
              <w:jc w:val="right"/>
              <w:rPr>
                <w:color w:val="000000"/>
                <w:sz w:val="20"/>
                <w:szCs w:val="20"/>
              </w:rPr>
            </w:pPr>
            <w:r>
              <w:rPr>
                <w:color w:val="000000"/>
                <w:sz w:val="20"/>
                <w:szCs w:val="20"/>
              </w:rPr>
              <w:t xml:space="preserve">$25 </w:t>
            </w:r>
          </w:p>
        </w:tc>
      </w:tr>
      <w:tr w:rsidR="00E76F80" w:rsidTr="00E76F80">
        <w:trPr>
          <w:trHeight w:val="255"/>
        </w:trPr>
        <w:tc>
          <w:tcPr>
            <w:tcW w:w="3192" w:type="pct"/>
            <w:tcBorders>
              <w:top w:val="nil"/>
              <w:left w:val="nil"/>
              <w:bottom w:val="nil"/>
              <w:right w:val="nil"/>
            </w:tcBorders>
            <w:vAlign w:val="bottom"/>
          </w:tcPr>
          <w:p w:rsidR="00E76F80" w:rsidRDefault="00E76F80" w:rsidP="00E76F80">
            <w:pPr>
              <w:ind w:firstLineChars="300" w:firstLine="600"/>
              <w:rPr>
                <w:color w:val="000000"/>
                <w:sz w:val="20"/>
                <w:szCs w:val="20"/>
              </w:rPr>
            </w:pPr>
            <w:r>
              <w:rPr>
                <w:color w:val="000000"/>
                <w:sz w:val="20"/>
                <w:szCs w:val="20"/>
              </w:rPr>
              <w:t>Accounts payable</w:t>
            </w:r>
          </w:p>
        </w:tc>
        <w:tc>
          <w:tcPr>
            <w:tcW w:w="833" w:type="pct"/>
            <w:tcBorders>
              <w:top w:val="nil"/>
              <w:left w:val="nil"/>
              <w:bottom w:val="nil"/>
              <w:right w:val="nil"/>
            </w:tcBorders>
          </w:tcPr>
          <w:p w:rsidR="00E76F80" w:rsidRDefault="00E76F80" w:rsidP="00E76F80">
            <w:pPr>
              <w:jc w:val="right"/>
              <w:rPr>
                <w:color w:val="000000"/>
                <w:sz w:val="20"/>
                <w:szCs w:val="20"/>
              </w:rPr>
            </w:pPr>
            <w:r>
              <w:rPr>
                <w:b/>
                <w:bCs/>
                <w:color w:val="000000"/>
                <w:sz w:val="20"/>
                <w:szCs w:val="20"/>
              </w:rPr>
              <w:t xml:space="preserve">585 </w:t>
            </w:r>
          </w:p>
        </w:tc>
        <w:tc>
          <w:tcPr>
            <w:tcW w:w="153" w:type="pct"/>
            <w:tcBorders>
              <w:top w:val="nil"/>
              <w:left w:val="nil"/>
              <w:bottom w:val="nil"/>
              <w:right w:val="nil"/>
            </w:tcBorders>
          </w:tcPr>
          <w:p w:rsidR="00E76F80" w:rsidRDefault="00E76F80" w:rsidP="00E76F80">
            <w:pPr>
              <w:rPr>
                <w:color w:val="000000"/>
                <w:sz w:val="20"/>
                <w:szCs w:val="20"/>
              </w:rPr>
            </w:pPr>
          </w:p>
        </w:tc>
        <w:tc>
          <w:tcPr>
            <w:tcW w:w="822" w:type="pct"/>
            <w:tcBorders>
              <w:top w:val="nil"/>
              <w:left w:val="nil"/>
              <w:bottom w:val="nil"/>
              <w:right w:val="nil"/>
            </w:tcBorders>
          </w:tcPr>
          <w:p w:rsidR="00E76F80" w:rsidRDefault="00E76F80" w:rsidP="00E76F80">
            <w:pPr>
              <w:jc w:val="right"/>
              <w:rPr>
                <w:color w:val="000000"/>
                <w:sz w:val="20"/>
                <w:szCs w:val="20"/>
              </w:rPr>
            </w:pPr>
            <w:r>
              <w:rPr>
                <w:color w:val="000000"/>
                <w:sz w:val="20"/>
                <w:szCs w:val="20"/>
              </w:rPr>
              <w:t xml:space="preserve">489 </w:t>
            </w:r>
          </w:p>
        </w:tc>
      </w:tr>
      <w:tr w:rsidR="00E76F80" w:rsidTr="00E76F80">
        <w:trPr>
          <w:trHeight w:val="255"/>
        </w:trPr>
        <w:tc>
          <w:tcPr>
            <w:tcW w:w="3192" w:type="pct"/>
            <w:tcBorders>
              <w:top w:val="nil"/>
              <w:left w:val="nil"/>
              <w:bottom w:val="nil"/>
              <w:right w:val="nil"/>
            </w:tcBorders>
            <w:vAlign w:val="bottom"/>
          </w:tcPr>
          <w:p w:rsidR="00E76F80" w:rsidRDefault="00E76F80" w:rsidP="00E76F80">
            <w:pPr>
              <w:ind w:firstLineChars="300" w:firstLine="600"/>
              <w:rPr>
                <w:color w:val="000000"/>
                <w:sz w:val="20"/>
                <w:szCs w:val="20"/>
              </w:rPr>
            </w:pPr>
            <w:r>
              <w:rPr>
                <w:color w:val="000000"/>
                <w:sz w:val="20"/>
                <w:szCs w:val="20"/>
              </w:rPr>
              <w:t>Accrued compensation</w:t>
            </w:r>
          </w:p>
        </w:tc>
        <w:tc>
          <w:tcPr>
            <w:tcW w:w="833" w:type="pct"/>
            <w:tcBorders>
              <w:top w:val="nil"/>
              <w:left w:val="nil"/>
              <w:bottom w:val="nil"/>
              <w:right w:val="nil"/>
            </w:tcBorders>
          </w:tcPr>
          <w:p w:rsidR="00E76F80" w:rsidRDefault="00E76F80" w:rsidP="00E76F80">
            <w:pPr>
              <w:jc w:val="right"/>
              <w:rPr>
                <w:color w:val="000000"/>
                <w:sz w:val="20"/>
                <w:szCs w:val="20"/>
              </w:rPr>
            </w:pPr>
            <w:r>
              <w:rPr>
                <w:b/>
                <w:bCs/>
                <w:color w:val="000000"/>
                <w:sz w:val="20"/>
                <w:szCs w:val="20"/>
              </w:rPr>
              <w:t xml:space="preserve">676 </w:t>
            </w:r>
          </w:p>
        </w:tc>
        <w:tc>
          <w:tcPr>
            <w:tcW w:w="153" w:type="pct"/>
            <w:tcBorders>
              <w:top w:val="nil"/>
              <w:left w:val="nil"/>
              <w:bottom w:val="nil"/>
              <w:right w:val="nil"/>
            </w:tcBorders>
          </w:tcPr>
          <w:p w:rsidR="00E76F80" w:rsidRDefault="00E76F80" w:rsidP="00E76F80">
            <w:pPr>
              <w:rPr>
                <w:color w:val="000000"/>
                <w:sz w:val="20"/>
                <w:szCs w:val="20"/>
              </w:rPr>
            </w:pPr>
          </w:p>
        </w:tc>
        <w:tc>
          <w:tcPr>
            <w:tcW w:w="822" w:type="pct"/>
            <w:tcBorders>
              <w:top w:val="nil"/>
              <w:left w:val="nil"/>
              <w:bottom w:val="nil"/>
              <w:right w:val="nil"/>
            </w:tcBorders>
          </w:tcPr>
          <w:p w:rsidR="00E76F80" w:rsidRDefault="00E76F80" w:rsidP="00E76F80">
            <w:pPr>
              <w:jc w:val="right"/>
              <w:rPr>
                <w:color w:val="000000"/>
                <w:sz w:val="20"/>
                <w:szCs w:val="20"/>
              </w:rPr>
            </w:pPr>
            <w:r>
              <w:rPr>
                <w:color w:val="000000"/>
                <w:sz w:val="20"/>
                <w:szCs w:val="20"/>
              </w:rPr>
              <w:t xml:space="preserve">1,372 </w:t>
            </w:r>
          </w:p>
        </w:tc>
      </w:tr>
      <w:tr w:rsidR="00E76F80" w:rsidTr="00E76F80">
        <w:trPr>
          <w:trHeight w:val="255"/>
        </w:trPr>
        <w:tc>
          <w:tcPr>
            <w:tcW w:w="3192" w:type="pct"/>
            <w:tcBorders>
              <w:top w:val="nil"/>
              <w:left w:val="nil"/>
              <w:bottom w:val="nil"/>
              <w:right w:val="nil"/>
            </w:tcBorders>
            <w:vAlign w:val="bottom"/>
          </w:tcPr>
          <w:p w:rsidR="00E76F80" w:rsidRDefault="00E76F80" w:rsidP="00E76F80">
            <w:pPr>
              <w:ind w:firstLineChars="300" w:firstLine="600"/>
              <w:rPr>
                <w:color w:val="000000"/>
                <w:sz w:val="20"/>
                <w:szCs w:val="20"/>
              </w:rPr>
            </w:pPr>
            <w:r>
              <w:rPr>
                <w:color w:val="000000"/>
                <w:sz w:val="20"/>
                <w:szCs w:val="20"/>
              </w:rPr>
              <w:t>Other accrued expenses</w:t>
            </w:r>
          </w:p>
        </w:tc>
        <w:tc>
          <w:tcPr>
            <w:tcW w:w="833" w:type="pct"/>
            <w:tcBorders>
              <w:top w:val="nil"/>
              <w:left w:val="nil"/>
              <w:bottom w:val="nil"/>
              <w:right w:val="nil"/>
            </w:tcBorders>
          </w:tcPr>
          <w:p w:rsidR="00E76F80" w:rsidRDefault="00E76F80" w:rsidP="00E76F80">
            <w:pPr>
              <w:jc w:val="right"/>
              <w:rPr>
                <w:color w:val="000000"/>
                <w:sz w:val="20"/>
                <w:szCs w:val="20"/>
              </w:rPr>
            </w:pPr>
            <w:r>
              <w:rPr>
                <w:b/>
                <w:bCs/>
                <w:color w:val="000000"/>
                <w:sz w:val="20"/>
                <w:szCs w:val="20"/>
              </w:rPr>
              <w:t xml:space="preserve">508 </w:t>
            </w:r>
          </w:p>
        </w:tc>
        <w:tc>
          <w:tcPr>
            <w:tcW w:w="153" w:type="pct"/>
            <w:tcBorders>
              <w:top w:val="nil"/>
              <w:left w:val="nil"/>
              <w:bottom w:val="nil"/>
              <w:right w:val="nil"/>
            </w:tcBorders>
          </w:tcPr>
          <w:p w:rsidR="00E76F80" w:rsidRDefault="00E76F80" w:rsidP="00E76F80">
            <w:pPr>
              <w:rPr>
                <w:color w:val="000000"/>
                <w:sz w:val="20"/>
                <w:szCs w:val="20"/>
              </w:rPr>
            </w:pPr>
          </w:p>
        </w:tc>
        <w:tc>
          <w:tcPr>
            <w:tcW w:w="822" w:type="pct"/>
            <w:tcBorders>
              <w:top w:val="nil"/>
              <w:left w:val="nil"/>
              <w:bottom w:val="nil"/>
              <w:right w:val="nil"/>
            </w:tcBorders>
          </w:tcPr>
          <w:p w:rsidR="00E76F80" w:rsidRDefault="00E76F80" w:rsidP="00E76F80">
            <w:pPr>
              <w:jc w:val="right"/>
              <w:rPr>
                <w:color w:val="000000"/>
                <w:sz w:val="20"/>
                <w:szCs w:val="20"/>
              </w:rPr>
            </w:pPr>
            <w:r>
              <w:rPr>
                <w:color w:val="000000"/>
                <w:sz w:val="20"/>
                <w:szCs w:val="20"/>
              </w:rPr>
              <w:t xml:space="preserve">307 </w:t>
            </w:r>
          </w:p>
        </w:tc>
      </w:tr>
      <w:tr w:rsidR="00E76F80" w:rsidTr="00E76F80">
        <w:trPr>
          <w:trHeight w:val="255"/>
        </w:trPr>
        <w:tc>
          <w:tcPr>
            <w:tcW w:w="3192" w:type="pct"/>
            <w:tcBorders>
              <w:top w:val="nil"/>
              <w:left w:val="nil"/>
              <w:bottom w:val="nil"/>
              <w:right w:val="nil"/>
            </w:tcBorders>
            <w:vAlign w:val="bottom"/>
          </w:tcPr>
          <w:p w:rsidR="00E76F80" w:rsidRDefault="00E76F80" w:rsidP="00E76F80">
            <w:pPr>
              <w:ind w:firstLineChars="300" w:firstLine="600"/>
              <w:rPr>
                <w:color w:val="000000"/>
                <w:sz w:val="20"/>
                <w:szCs w:val="20"/>
              </w:rPr>
            </w:pPr>
            <w:r>
              <w:rPr>
                <w:color w:val="000000"/>
                <w:sz w:val="20"/>
                <w:szCs w:val="20"/>
              </w:rPr>
              <w:t>Post contract support</w:t>
            </w:r>
          </w:p>
        </w:tc>
        <w:tc>
          <w:tcPr>
            <w:tcW w:w="833" w:type="pct"/>
            <w:tcBorders>
              <w:top w:val="nil"/>
              <w:left w:val="nil"/>
              <w:bottom w:val="nil"/>
              <w:right w:val="nil"/>
            </w:tcBorders>
          </w:tcPr>
          <w:p w:rsidR="00E76F80" w:rsidRDefault="00E76F80" w:rsidP="00E76F80">
            <w:pPr>
              <w:jc w:val="right"/>
              <w:rPr>
                <w:color w:val="000000"/>
                <w:sz w:val="20"/>
                <w:szCs w:val="20"/>
              </w:rPr>
            </w:pPr>
            <w:r>
              <w:rPr>
                <w:b/>
                <w:bCs/>
                <w:color w:val="000000"/>
                <w:sz w:val="20"/>
                <w:szCs w:val="20"/>
              </w:rPr>
              <w:t xml:space="preserve">125 </w:t>
            </w:r>
          </w:p>
        </w:tc>
        <w:tc>
          <w:tcPr>
            <w:tcW w:w="153" w:type="pct"/>
            <w:tcBorders>
              <w:top w:val="nil"/>
              <w:left w:val="nil"/>
              <w:bottom w:val="nil"/>
              <w:right w:val="nil"/>
            </w:tcBorders>
          </w:tcPr>
          <w:p w:rsidR="00E76F80" w:rsidRDefault="00E76F80" w:rsidP="00E76F80">
            <w:pPr>
              <w:rPr>
                <w:color w:val="000000"/>
                <w:sz w:val="20"/>
                <w:szCs w:val="20"/>
              </w:rPr>
            </w:pPr>
          </w:p>
        </w:tc>
        <w:tc>
          <w:tcPr>
            <w:tcW w:w="822" w:type="pct"/>
            <w:tcBorders>
              <w:top w:val="nil"/>
              <w:left w:val="nil"/>
              <w:bottom w:val="nil"/>
              <w:right w:val="nil"/>
            </w:tcBorders>
          </w:tcPr>
          <w:p w:rsidR="00E76F80" w:rsidRDefault="00E76F80" w:rsidP="00E76F80">
            <w:pPr>
              <w:jc w:val="right"/>
              <w:rPr>
                <w:color w:val="000000"/>
                <w:sz w:val="20"/>
                <w:szCs w:val="20"/>
              </w:rPr>
            </w:pPr>
            <w:r>
              <w:rPr>
                <w:color w:val="000000"/>
                <w:sz w:val="20"/>
                <w:szCs w:val="20"/>
              </w:rPr>
              <w:t xml:space="preserve">150 </w:t>
            </w:r>
          </w:p>
        </w:tc>
      </w:tr>
      <w:tr w:rsidR="00E76F80" w:rsidTr="00E76F80">
        <w:trPr>
          <w:trHeight w:val="255"/>
        </w:trPr>
        <w:tc>
          <w:tcPr>
            <w:tcW w:w="3192" w:type="pct"/>
            <w:tcBorders>
              <w:top w:val="nil"/>
              <w:left w:val="nil"/>
              <w:bottom w:val="nil"/>
              <w:right w:val="nil"/>
            </w:tcBorders>
            <w:vAlign w:val="bottom"/>
          </w:tcPr>
          <w:p w:rsidR="00E76F80" w:rsidRDefault="00E76F80" w:rsidP="00E76F80">
            <w:pPr>
              <w:ind w:firstLineChars="300" w:firstLine="600"/>
              <w:rPr>
                <w:color w:val="000000"/>
                <w:sz w:val="20"/>
                <w:szCs w:val="20"/>
              </w:rPr>
            </w:pPr>
            <w:r>
              <w:rPr>
                <w:color w:val="000000"/>
                <w:sz w:val="20"/>
                <w:szCs w:val="20"/>
              </w:rPr>
              <w:t>Reserve for product returns</w:t>
            </w:r>
          </w:p>
        </w:tc>
        <w:tc>
          <w:tcPr>
            <w:tcW w:w="833" w:type="pct"/>
            <w:tcBorders>
              <w:top w:val="nil"/>
              <w:left w:val="nil"/>
              <w:bottom w:val="nil"/>
              <w:right w:val="nil"/>
            </w:tcBorders>
          </w:tcPr>
          <w:p w:rsidR="00E76F80" w:rsidRDefault="00E76F80" w:rsidP="00E76F80">
            <w:pPr>
              <w:jc w:val="right"/>
              <w:rPr>
                <w:color w:val="000000"/>
                <w:sz w:val="20"/>
                <w:szCs w:val="20"/>
              </w:rPr>
            </w:pPr>
            <w:r>
              <w:rPr>
                <w:b/>
                <w:bCs/>
                <w:color w:val="000000"/>
                <w:sz w:val="20"/>
                <w:szCs w:val="20"/>
              </w:rPr>
              <w:t xml:space="preserve">214 </w:t>
            </w:r>
          </w:p>
        </w:tc>
        <w:tc>
          <w:tcPr>
            <w:tcW w:w="153" w:type="pct"/>
            <w:tcBorders>
              <w:top w:val="nil"/>
              <w:left w:val="nil"/>
              <w:bottom w:val="nil"/>
              <w:right w:val="nil"/>
            </w:tcBorders>
          </w:tcPr>
          <w:p w:rsidR="00E76F80" w:rsidRDefault="00E76F80" w:rsidP="00E76F80">
            <w:pPr>
              <w:rPr>
                <w:color w:val="000000"/>
                <w:sz w:val="20"/>
                <w:szCs w:val="20"/>
              </w:rPr>
            </w:pPr>
          </w:p>
        </w:tc>
        <w:tc>
          <w:tcPr>
            <w:tcW w:w="822" w:type="pct"/>
            <w:tcBorders>
              <w:top w:val="nil"/>
              <w:left w:val="nil"/>
              <w:bottom w:val="nil"/>
              <w:right w:val="nil"/>
            </w:tcBorders>
          </w:tcPr>
          <w:p w:rsidR="00E76F80" w:rsidRDefault="00E76F80" w:rsidP="00E76F80">
            <w:pPr>
              <w:jc w:val="right"/>
              <w:rPr>
                <w:color w:val="000000"/>
                <w:sz w:val="20"/>
                <w:szCs w:val="20"/>
              </w:rPr>
            </w:pPr>
            <w:r>
              <w:rPr>
                <w:color w:val="000000"/>
                <w:sz w:val="20"/>
                <w:szCs w:val="20"/>
              </w:rPr>
              <w:t xml:space="preserve">380 </w:t>
            </w:r>
          </w:p>
        </w:tc>
      </w:tr>
      <w:tr w:rsidR="00E76F80" w:rsidTr="00E76F80">
        <w:trPr>
          <w:trHeight w:val="270"/>
        </w:trPr>
        <w:tc>
          <w:tcPr>
            <w:tcW w:w="3192" w:type="pct"/>
            <w:tcBorders>
              <w:top w:val="nil"/>
              <w:left w:val="nil"/>
              <w:bottom w:val="nil"/>
              <w:right w:val="nil"/>
            </w:tcBorders>
            <w:vAlign w:val="bottom"/>
          </w:tcPr>
          <w:p w:rsidR="00E76F80" w:rsidRDefault="00E76F80" w:rsidP="00E76F80">
            <w:pPr>
              <w:ind w:firstLineChars="300" w:firstLine="600"/>
              <w:rPr>
                <w:color w:val="000000"/>
                <w:sz w:val="20"/>
                <w:szCs w:val="20"/>
              </w:rPr>
            </w:pPr>
            <w:r>
              <w:rPr>
                <w:color w:val="000000"/>
                <w:sz w:val="20"/>
                <w:szCs w:val="20"/>
              </w:rPr>
              <w:t>Current portion of deferred revenue</w:t>
            </w:r>
          </w:p>
        </w:tc>
        <w:tc>
          <w:tcPr>
            <w:tcW w:w="833" w:type="pct"/>
            <w:tcBorders>
              <w:top w:val="nil"/>
              <w:left w:val="nil"/>
              <w:bottom w:val="nil"/>
              <w:right w:val="nil"/>
            </w:tcBorders>
          </w:tcPr>
          <w:p w:rsidR="00E76F80" w:rsidRDefault="00E76F80" w:rsidP="00E76F80">
            <w:pPr>
              <w:jc w:val="right"/>
              <w:rPr>
                <w:color w:val="000000"/>
                <w:sz w:val="20"/>
                <w:szCs w:val="20"/>
              </w:rPr>
            </w:pPr>
            <w:r>
              <w:rPr>
                <w:b/>
                <w:bCs/>
                <w:color w:val="000000"/>
                <w:sz w:val="20"/>
                <w:szCs w:val="20"/>
              </w:rPr>
              <w:t xml:space="preserve">4,208 </w:t>
            </w:r>
          </w:p>
        </w:tc>
        <w:tc>
          <w:tcPr>
            <w:tcW w:w="153" w:type="pct"/>
            <w:tcBorders>
              <w:top w:val="nil"/>
              <w:left w:val="nil"/>
              <w:bottom w:val="nil"/>
              <w:right w:val="nil"/>
            </w:tcBorders>
          </w:tcPr>
          <w:p w:rsidR="00E76F80" w:rsidRDefault="00E76F80" w:rsidP="00E76F80">
            <w:pPr>
              <w:rPr>
                <w:color w:val="000000"/>
                <w:sz w:val="20"/>
                <w:szCs w:val="20"/>
              </w:rPr>
            </w:pPr>
          </w:p>
        </w:tc>
        <w:tc>
          <w:tcPr>
            <w:tcW w:w="822" w:type="pct"/>
            <w:tcBorders>
              <w:top w:val="nil"/>
              <w:left w:val="nil"/>
              <w:bottom w:val="nil"/>
              <w:right w:val="nil"/>
            </w:tcBorders>
          </w:tcPr>
          <w:p w:rsidR="00E76F80" w:rsidRDefault="00E76F80" w:rsidP="00E76F80">
            <w:pPr>
              <w:jc w:val="right"/>
              <w:rPr>
                <w:color w:val="000000"/>
                <w:sz w:val="20"/>
                <w:szCs w:val="20"/>
              </w:rPr>
            </w:pPr>
            <w:r>
              <w:rPr>
                <w:color w:val="000000"/>
                <w:sz w:val="20"/>
                <w:szCs w:val="20"/>
              </w:rPr>
              <w:t xml:space="preserve">3,603 </w:t>
            </w:r>
          </w:p>
        </w:tc>
      </w:tr>
      <w:tr w:rsidR="00E76F80" w:rsidTr="00E76F80">
        <w:trPr>
          <w:trHeight w:val="255"/>
        </w:trPr>
        <w:tc>
          <w:tcPr>
            <w:tcW w:w="3192" w:type="pct"/>
            <w:tcBorders>
              <w:top w:val="nil"/>
              <w:left w:val="nil"/>
              <w:bottom w:val="nil"/>
              <w:right w:val="nil"/>
            </w:tcBorders>
            <w:vAlign w:val="bottom"/>
          </w:tcPr>
          <w:p w:rsidR="00E76F80" w:rsidRDefault="00E76F80" w:rsidP="00E76F80">
            <w:pPr>
              <w:rPr>
                <w:color w:val="000000"/>
                <w:sz w:val="20"/>
                <w:szCs w:val="20"/>
              </w:rPr>
            </w:pPr>
            <w:r>
              <w:rPr>
                <w:color w:val="000000"/>
                <w:sz w:val="20"/>
                <w:szCs w:val="20"/>
              </w:rPr>
              <w:t>Total current liabilities</w:t>
            </w:r>
          </w:p>
        </w:tc>
        <w:tc>
          <w:tcPr>
            <w:tcW w:w="833" w:type="pct"/>
            <w:tcBorders>
              <w:top w:val="single" w:sz="8" w:space="0" w:color="auto"/>
              <w:left w:val="nil"/>
              <w:bottom w:val="nil"/>
              <w:right w:val="nil"/>
            </w:tcBorders>
          </w:tcPr>
          <w:p w:rsidR="00E76F80" w:rsidRDefault="00E76F80" w:rsidP="00E76F80">
            <w:pPr>
              <w:jc w:val="right"/>
              <w:rPr>
                <w:b/>
                <w:bCs/>
                <w:color w:val="000000"/>
                <w:sz w:val="20"/>
                <w:szCs w:val="20"/>
              </w:rPr>
            </w:pPr>
            <w:r>
              <w:rPr>
                <w:b/>
                <w:bCs/>
                <w:color w:val="000000"/>
                <w:sz w:val="20"/>
                <w:szCs w:val="20"/>
              </w:rPr>
              <w:t xml:space="preserve">6,320 </w:t>
            </w:r>
          </w:p>
        </w:tc>
        <w:tc>
          <w:tcPr>
            <w:tcW w:w="153" w:type="pct"/>
            <w:tcBorders>
              <w:top w:val="nil"/>
              <w:left w:val="nil"/>
              <w:bottom w:val="nil"/>
              <w:right w:val="nil"/>
            </w:tcBorders>
          </w:tcPr>
          <w:p w:rsidR="00E76F80" w:rsidRDefault="00E76F80" w:rsidP="00E76F80">
            <w:pPr>
              <w:rPr>
                <w:color w:val="000000"/>
                <w:sz w:val="20"/>
                <w:szCs w:val="20"/>
              </w:rPr>
            </w:pPr>
          </w:p>
        </w:tc>
        <w:tc>
          <w:tcPr>
            <w:tcW w:w="822" w:type="pct"/>
            <w:tcBorders>
              <w:top w:val="single" w:sz="8" w:space="0" w:color="auto"/>
              <w:left w:val="nil"/>
              <w:bottom w:val="nil"/>
              <w:right w:val="nil"/>
            </w:tcBorders>
          </w:tcPr>
          <w:p w:rsidR="00E76F80" w:rsidRDefault="00E76F80" w:rsidP="00E76F80">
            <w:pPr>
              <w:jc w:val="right"/>
              <w:rPr>
                <w:color w:val="000000"/>
                <w:sz w:val="20"/>
                <w:szCs w:val="20"/>
              </w:rPr>
            </w:pPr>
            <w:r>
              <w:rPr>
                <w:color w:val="000000"/>
                <w:sz w:val="20"/>
                <w:szCs w:val="20"/>
              </w:rPr>
              <w:t xml:space="preserve">6,326 </w:t>
            </w:r>
          </w:p>
        </w:tc>
      </w:tr>
      <w:tr w:rsidR="00E76F80" w:rsidTr="00E76F80">
        <w:trPr>
          <w:trHeight w:val="98"/>
        </w:trPr>
        <w:tc>
          <w:tcPr>
            <w:tcW w:w="3192" w:type="pct"/>
            <w:tcBorders>
              <w:top w:val="nil"/>
              <w:left w:val="nil"/>
              <w:bottom w:val="nil"/>
              <w:right w:val="nil"/>
            </w:tcBorders>
            <w:vAlign w:val="bottom"/>
          </w:tcPr>
          <w:p w:rsidR="00E76F80" w:rsidRDefault="00E76F80" w:rsidP="00E76F80">
            <w:pPr>
              <w:rPr>
                <w:color w:val="000000"/>
                <w:sz w:val="20"/>
                <w:szCs w:val="20"/>
              </w:rPr>
            </w:pPr>
          </w:p>
        </w:tc>
        <w:tc>
          <w:tcPr>
            <w:tcW w:w="833" w:type="pct"/>
            <w:tcBorders>
              <w:top w:val="nil"/>
              <w:left w:val="nil"/>
              <w:bottom w:val="nil"/>
              <w:right w:val="nil"/>
            </w:tcBorders>
          </w:tcPr>
          <w:p w:rsidR="00E76F80" w:rsidRDefault="00E76F80" w:rsidP="00E76F80">
            <w:pPr>
              <w:rPr>
                <w:b/>
                <w:bCs/>
                <w:color w:val="000000"/>
                <w:sz w:val="20"/>
                <w:szCs w:val="20"/>
              </w:rPr>
            </w:pPr>
          </w:p>
        </w:tc>
        <w:tc>
          <w:tcPr>
            <w:tcW w:w="153" w:type="pct"/>
            <w:tcBorders>
              <w:top w:val="nil"/>
              <w:left w:val="nil"/>
              <w:bottom w:val="nil"/>
              <w:right w:val="nil"/>
            </w:tcBorders>
          </w:tcPr>
          <w:p w:rsidR="00E76F80" w:rsidRDefault="00E76F80" w:rsidP="00E76F80">
            <w:pPr>
              <w:rPr>
                <w:color w:val="000000"/>
                <w:sz w:val="20"/>
                <w:szCs w:val="20"/>
              </w:rPr>
            </w:pPr>
          </w:p>
        </w:tc>
        <w:tc>
          <w:tcPr>
            <w:tcW w:w="822" w:type="pct"/>
            <w:tcBorders>
              <w:top w:val="nil"/>
              <w:left w:val="nil"/>
              <w:bottom w:val="nil"/>
              <w:right w:val="nil"/>
            </w:tcBorders>
          </w:tcPr>
          <w:p w:rsidR="00E76F80" w:rsidRDefault="00E76F80" w:rsidP="00E76F80">
            <w:pPr>
              <w:rPr>
                <w:color w:val="000000"/>
                <w:sz w:val="20"/>
                <w:szCs w:val="20"/>
              </w:rPr>
            </w:pPr>
          </w:p>
        </w:tc>
      </w:tr>
      <w:tr w:rsidR="00E76F80" w:rsidTr="00E76F80">
        <w:trPr>
          <w:trHeight w:val="255"/>
        </w:trPr>
        <w:tc>
          <w:tcPr>
            <w:tcW w:w="3192" w:type="pct"/>
            <w:tcBorders>
              <w:top w:val="nil"/>
              <w:left w:val="nil"/>
              <w:bottom w:val="nil"/>
              <w:right w:val="nil"/>
            </w:tcBorders>
            <w:vAlign w:val="bottom"/>
          </w:tcPr>
          <w:p w:rsidR="00E76F80" w:rsidRDefault="00E76F80" w:rsidP="00E76F80">
            <w:pPr>
              <w:rPr>
                <w:color w:val="000000"/>
                <w:sz w:val="20"/>
                <w:szCs w:val="20"/>
              </w:rPr>
            </w:pPr>
            <w:r>
              <w:rPr>
                <w:color w:val="000000"/>
                <w:sz w:val="20"/>
                <w:szCs w:val="20"/>
              </w:rPr>
              <w:t>Capital lease obligations, net of current portion</w:t>
            </w:r>
          </w:p>
        </w:tc>
        <w:tc>
          <w:tcPr>
            <w:tcW w:w="833" w:type="pct"/>
            <w:tcBorders>
              <w:top w:val="nil"/>
              <w:left w:val="nil"/>
              <w:bottom w:val="nil"/>
              <w:right w:val="nil"/>
            </w:tcBorders>
          </w:tcPr>
          <w:p w:rsidR="00E76F80" w:rsidRDefault="00E76F80" w:rsidP="00E76F80">
            <w:pPr>
              <w:jc w:val="right"/>
              <w:rPr>
                <w:b/>
                <w:bCs/>
                <w:color w:val="000000"/>
                <w:sz w:val="20"/>
                <w:szCs w:val="20"/>
              </w:rPr>
            </w:pPr>
            <w:r>
              <w:rPr>
                <w:b/>
                <w:bCs/>
                <w:color w:val="000000"/>
                <w:sz w:val="20"/>
                <w:szCs w:val="20"/>
              </w:rPr>
              <w:t xml:space="preserve">                               - </w:t>
            </w:r>
          </w:p>
        </w:tc>
        <w:tc>
          <w:tcPr>
            <w:tcW w:w="153" w:type="pct"/>
            <w:tcBorders>
              <w:top w:val="nil"/>
              <w:left w:val="nil"/>
              <w:bottom w:val="nil"/>
              <w:right w:val="nil"/>
            </w:tcBorders>
          </w:tcPr>
          <w:p w:rsidR="00E76F80" w:rsidRDefault="00E76F80" w:rsidP="00E76F80">
            <w:pPr>
              <w:rPr>
                <w:color w:val="000000"/>
                <w:sz w:val="20"/>
                <w:szCs w:val="20"/>
              </w:rPr>
            </w:pPr>
          </w:p>
        </w:tc>
        <w:tc>
          <w:tcPr>
            <w:tcW w:w="822" w:type="pct"/>
            <w:tcBorders>
              <w:top w:val="nil"/>
              <w:left w:val="nil"/>
              <w:bottom w:val="nil"/>
              <w:right w:val="nil"/>
            </w:tcBorders>
          </w:tcPr>
          <w:p w:rsidR="00E76F80" w:rsidRDefault="00E76F80" w:rsidP="00E76F80">
            <w:pPr>
              <w:jc w:val="right"/>
              <w:rPr>
                <w:color w:val="000000"/>
                <w:sz w:val="20"/>
                <w:szCs w:val="20"/>
              </w:rPr>
            </w:pPr>
            <w:r>
              <w:rPr>
                <w:color w:val="000000"/>
                <w:sz w:val="20"/>
                <w:szCs w:val="20"/>
              </w:rPr>
              <w:t xml:space="preserve">4 </w:t>
            </w:r>
          </w:p>
        </w:tc>
      </w:tr>
      <w:tr w:rsidR="00E76F80" w:rsidTr="00E76F80">
        <w:trPr>
          <w:trHeight w:val="255"/>
        </w:trPr>
        <w:tc>
          <w:tcPr>
            <w:tcW w:w="3192" w:type="pct"/>
            <w:tcBorders>
              <w:top w:val="nil"/>
              <w:left w:val="nil"/>
              <w:bottom w:val="nil"/>
              <w:right w:val="nil"/>
            </w:tcBorders>
            <w:vAlign w:val="bottom"/>
          </w:tcPr>
          <w:p w:rsidR="00E76F80" w:rsidRDefault="00E76F80" w:rsidP="00E76F80">
            <w:pPr>
              <w:rPr>
                <w:color w:val="000000"/>
                <w:sz w:val="20"/>
                <w:szCs w:val="20"/>
              </w:rPr>
            </w:pPr>
            <w:r>
              <w:rPr>
                <w:color w:val="000000"/>
                <w:sz w:val="20"/>
                <w:szCs w:val="20"/>
              </w:rPr>
              <w:t>Deferred revenue, net of current portion</w:t>
            </w:r>
          </w:p>
        </w:tc>
        <w:tc>
          <w:tcPr>
            <w:tcW w:w="833" w:type="pct"/>
            <w:tcBorders>
              <w:top w:val="nil"/>
              <w:left w:val="nil"/>
              <w:bottom w:val="nil"/>
              <w:right w:val="nil"/>
            </w:tcBorders>
          </w:tcPr>
          <w:p w:rsidR="00E76F80" w:rsidRDefault="00E76F80" w:rsidP="00E76F80">
            <w:pPr>
              <w:jc w:val="right"/>
              <w:rPr>
                <w:b/>
                <w:bCs/>
                <w:color w:val="000000"/>
                <w:sz w:val="20"/>
                <w:szCs w:val="20"/>
              </w:rPr>
            </w:pPr>
            <w:r>
              <w:rPr>
                <w:b/>
                <w:bCs/>
                <w:color w:val="000000"/>
                <w:sz w:val="20"/>
                <w:szCs w:val="20"/>
              </w:rPr>
              <w:t xml:space="preserve">123 </w:t>
            </w:r>
          </w:p>
        </w:tc>
        <w:tc>
          <w:tcPr>
            <w:tcW w:w="153" w:type="pct"/>
            <w:tcBorders>
              <w:top w:val="nil"/>
              <w:left w:val="nil"/>
              <w:bottom w:val="nil"/>
              <w:right w:val="nil"/>
            </w:tcBorders>
          </w:tcPr>
          <w:p w:rsidR="00E76F80" w:rsidRDefault="00E76F80" w:rsidP="00E76F80">
            <w:pPr>
              <w:rPr>
                <w:color w:val="000000"/>
                <w:sz w:val="20"/>
                <w:szCs w:val="20"/>
              </w:rPr>
            </w:pPr>
          </w:p>
        </w:tc>
        <w:tc>
          <w:tcPr>
            <w:tcW w:w="822" w:type="pct"/>
            <w:tcBorders>
              <w:top w:val="nil"/>
              <w:left w:val="nil"/>
              <w:bottom w:val="nil"/>
              <w:right w:val="nil"/>
            </w:tcBorders>
          </w:tcPr>
          <w:p w:rsidR="00E76F80" w:rsidRDefault="00E76F80" w:rsidP="00E76F80">
            <w:pPr>
              <w:jc w:val="right"/>
              <w:rPr>
                <w:color w:val="000000"/>
                <w:sz w:val="20"/>
                <w:szCs w:val="20"/>
              </w:rPr>
            </w:pPr>
            <w:r>
              <w:rPr>
                <w:color w:val="000000"/>
                <w:sz w:val="20"/>
                <w:szCs w:val="20"/>
              </w:rPr>
              <w:t xml:space="preserve">96 </w:t>
            </w:r>
          </w:p>
        </w:tc>
      </w:tr>
      <w:tr w:rsidR="00E76F80" w:rsidTr="00E76F80">
        <w:trPr>
          <w:trHeight w:val="98"/>
        </w:trPr>
        <w:tc>
          <w:tcPr>
            <w:tcW w:w="3192" w:type="pct"/>
            <w:tcBorders>
              <w:top w:val="nil"/>
              <w:left w:val="nil"/>
              <w:bottom w:val="nil"/>
              <w:right w:val="nil"/>
            </w:tcBorders>
            <w:vAlign w:val="bottom"/>
          </w:tcPr>
          <w:p w:rsidR="00E76F80" w:rsidRDefault="00E76F80" w:rsidP="00E76F80">
            <w:pPr>
              <w:rPr>
                <w:color w:val="000000"/>
                <w:sz w:val="20"/>
                <w:szCs w:val="20"/>
              </w:rPr>
            </w:pPr>
          </w:p>
        </w:tc>
        <w:tc>
          <w:tcPr>
            <w:tcW w:w="833" w:type="pct"/>
            <w:tcBorders>
              <w:top w:val="nil"/>
              <w:left w:val="nil"/>
              <w:bottom w:val="nil"/>
              <w:right w:val="nil"/>
            </w:tcBorders>
          </w:tcPr>
          <w:p w:rsidR="00E76F80" w:rsidRDefault="00E76F80" w:rsidP="00E76F80">
            <w:pPr>
              <w:rPr>
                <w:b/>
                <w:bCs/>
                <w:color w:val="000000"/>
                <w:sz w:val="20"/>
                <w:szCs w:val="20"/>
              </w:rPr>
            </w:pPr>
          </w:p>
        </w:tc>
        <w:tc>
          <w:tcPr>
            <w:tcW w:w="153" w:type="pct"/>
            <w:tcBorders>
              <w:top w:val="nil"/>
              <w:left w:val="nil"/>
              <w:bottom w:val="nil"/>
              <w:right w:val="nil"/>
            </w:tcBorders>
          </w:tcPr>
          <w:p w:rsidR="00E76F80" w:rsidRDefault="00E76F80" w:rsidP="00E76F80">
            <w:pPr>
              <w:rPr>
                <w:color w:val="000000"/>
                <w:sz w:val="20"/>
                <w:szCs w:val="20"/>
              </w:rPr>
            </w:pPr>
          </w:p>
        </w:tc>
        <w:tc>
          <w:tcPr>
            <w:tcW w:w="822" w:type="pct"/>
            <w:tcBorders>
              <w:top w:val="nil"/>
              <w:left w:val="nil"/>
              <w:bottom w:val="nil"/>
              <w:right w:val="nil"/>
            </w:tcBorders>
          </w:tcPr>
          <w:p w:rsidR="00E76F80" w:rsidRDefault="00E76F80" w:rsidP="00E76F80">
            <w:pPr>
              <w:rPr>
                <w:color w:val="000000"/>
                <w:sz w:val="20"/>
                <w:szCs w:val="20"/>
              </w:rPr>
            </w:pPr>
          </w:p>
        </w:tc>
      </w:tr>
      <w:tr w:rsidR="00E76F80" w:rsidTr="00E76F80">
        <w:trPr>
          <w:trHeight w:val="255"/>
        </w:trPr>
        <w:tc>
          <w:tcPr>
            <w:tcW w:w="3192" w:type="pct"/>
            <w:tcBorders>
              <w:top w:val="nil"/>
              <w:left w:val="nil"/>
              <w:bottom w:val="nil"/>
              <w:right w:val="nil"/>
            </w:tcBorders>
            <w:vAlign w:val="bottom"/>
          </w:tcPr>
          <w:p w:rsidR="00E76F80" w:rsidRDefault="00E76F80" w:rsidP="00E76F80">
            <w:pPr>
              <w:rPr>
                <w:color w:val="000000"/>
                <w:sz w:val="20"/>
                <w:szCs w:val="20"/>
              </w:rPr>
            </w:pPr>
            <w:r>
              <w:rPr>
                <w:color w:val="000000"/>
                <w:sz w:val="20"/>
                <w:szCs w:val="20"/>
              </w:rPr>
              <w:t>Shareholders’ equity:</w:t>
            </w:r>
          </w:p>
        </w:tc>
        <w:tc>
          <w:tcPr>
            <w:tcW w:w="833" w:type="pct"/>
            <w:tcBorders>
              <w:top w:val="nil"/>
              <w:left w:val="nil"/>
              <w:bottom w:val="nil"/>
              <w:right w:val="nil"/>
            </w:tcBorders>
          </w:tcPr>
          <w:p w:rsidR="00E76F80" w:rsidRDefault="00E76F80" w:rsidP="00E76F80">
            <w:pPr>
              <w:rPr>
                <w:b/>
                <w:bCs/>
                <w:color w:val="000000"/>
                <w:sz w:val="20"/>
                <w:szCs w:val="20"/>
              </w:rPr>
            </w:pPr>
          </w:p>
        </w:tc>
        <w:tc>
          <w:tcPr>
            <w:tcW w:w="153" w:type="pct"/>
            <w:tcBorders>
              <w:top w:val="nil"/>
              <w:left w:val="nil"/>
              <w:bottom w:val="nil"/>
              <w:right w:val="nil"/>
            </w:tcBorders>
          </w:tcPr>
          <w:p w:rsidR="00E76F80" w:rsidRDefault="00E76F80" w:rsidP="00E76F80">
            <w:pPr>
              <w:rPr>
                <w:color w:val="000000"/>
                <w:sz w:val="20"/>
                <w:szCs w:val="20"/>
              </w:rPr>
            </w:pPr>
          </w:p>
        </w:tc>
        <w:tc>
          <w:tcPr>
            <w:tcW w:w="822" w:type="pct"/>
            <w:tcBorders>
              <w:top w:val="nil"/>
              <w:left w:val="nil"/>
              <w:bottom w:val="nil"/>
              <w:right w:val="nil"/>
            </w:tcBorders>
          </w:tcPr>
          <w:p w:rsidR="00E76F80" w:rsidRDefault="00E76F80" w:rsidP="00E76F80">
            <w:pPr>
              <w:rPr>
                <w:color w:val="000000"/>
                <w:sz w:val="20"/>
                <w:szCs w:val="20"/>
              </w:rPr>
            </w:pPr>
          </w:p>
        </w:tc>
      </w:tr>
      <w:tr w:rsidR="00E76F80" w:rsidTr="00E76F80">
        <w:trPr>
          <w:trHeight w:val="255"/>
        </w:trPr>
        <w:tc>
          <w:tcPr>
            <w:tcW w:w="3192" w:type="pct"/>
            <w:tcBorders>
              <w:top w:val="nil"/>
              <w:left w:val="nil"/>
              <w:bottom w:val="nil"/>
              <w:right w:val="nil"/>
            </w:tcBorders>
            <w:vAlign w:val="bottom"/>
          </w:tcPr>
          <w:p w:rsidR="00E76F80" w:rsidRDefault="00E76F80" w:rsidP="00E76F80">
            <w:pPr>
              <w:ind w:firstLineChars="300" w:firstLine="600"/>
              <w:rPr>
                <w:color w:val="000000"/>
                <w:sz w:val="20"/>
                <w:szCs w:val="20"/>
              </w:rPr>
            </w:pPr>
            <w:r>
              <w:rPr>
                <w:color w:val="000000"/>
                <w:sz w:val="20"/>
                <w:szCs w:val="20"/>
              </w:rPr>
              <w:t>Common stock, $0.01 par value:</w:t>
            </w:r>
          </w:p>
        </w:tc>
        <w:tc>
          <w:tcPr>
            <w:tcW w:w="833" w:type="pct"/>
            <w:tcBorders>
              <w:top w:val="nil"/>
              <w:left w:val="nil"/>
              <w:bottom w:val="nil"/>
              <w:right w:val="nil"/>
            </w:tcBorders>
          </w:tcPr>
          <w:p w:rsidR="00E76F80" w:rsidRDefault="00E76F80" w:rsidP="00E76F80">
            <w:pPr>
              <w:rPr>
                <w:b/>
                <w:bCs/>
                <w:color w:val="000000"/>
                <w:sz w:val="20"/>
                <w:szCs w:val="20"/>
              </w:rPr>
            </w:pPr>
          </w:p>
        </w:tc>
        <w:tc>
          <w:tcPr>
            <w:tcW w:w="153" w:type="pct"/>
            <w:tcBorders>
              <w:top w:val="nil"/>
              <w:left w:val="nil"/>
              <w:bottom w:val="nil"/>
              <w:right w:val="nil"/>
            </w:tcBorders>
          </w:tcPr>
          <w:p w:rsidR="00E76F80" w:rsidRDefault="00E76F80" w:rsidP="00E76F80">
            <w:pPr>
              <w:rPr>
                <w:color w:val="000000"/>
                <w:sz w:val="20"/>
                <w:szCs w:val="20"/>
              </w:rPr>
            </w:pPr>
          </w:p>
        </w:tc>
        <w:tc>
          <w:tcPr>
            <w:tcW w:w="822" w:type="pct"/>
            <w:tcBorders>
              <w:top w:val="nil"/>
              <w:left w:val="nil"/>
              <w:bottom w:val="nil"/>
              <w:right w:val="nil"/>
            </w:tcBorders>
          </w:tcPr>
          <w:p w:rsidR="00E76F80" w:rsidRDefault="00E76F80" w:rsidP="00E76F80">
            <w:pPr>
              <w:rPr>
                <w:color w:val="000000"/>
                <w:sz w:val="20"/>
                <w:szCs w:val="20"/>
              </w:rPr>
            </w:pPr>
          </w:p>
        </w:tc>
      </w:tr>
      <w:tr w:rsidR="00E76F80" w:rsidTr="00E76F80">
        <w:trPr>
          <w:trHeight w:val="255"/>
        </w:trPr>
        <w:tc>
          <w:tcPr>
            <w:tcW w:w="3192" w:type="pct"/>
            <w:tcBorders>
              <w:top w:val="nil"/>
              <w:left w:val="nil"/>
              <w:bottom w:val="nil"/>
              <w:right w:val="nil"/>
            </w:tcBorders>
            <w:vAlign w:val="bottom"/>
          </w:tcPr>
          <w:p w:rsidR="00E76F80" w:rsidRDefault="00E76F80" w:rsidP="00E76F80">
            <w:pPr>
              <w:ind w:firstLineChars="300" w:firstLine="600"/>
              <w:rPr>
                <w:color w:val="000000"/>
                <w:sz w:val="20"/>
                <w:szCs w:val="20"/>
              </w:rPr>
            </w:pPr>
            <w:r>
              <w:rPr>
                <w:color w:val="000000"/>
                <w:sz w:val="20"/>
                <w:szCs w:val="20"/>
              </w:rPr>
              <w:t xml:space="preserve">        Authorized shares – 10,000,000</w:t>
            </w:r>
          </w:p>
        </w:tc>
        <w:tc>
          <w:tcPr>
            <w:tcW w:w="833" w:type="pct"/>
            <w:tcBorders>
              <w:top w:val="nil"/>
              <w:left w:val="nil"/>
              <w:bottom w:val="nil"/>
              <w:right w:val="nil"/>
            </w:tcBorders>
          </w:tcPr>
          <w:p w:rsidR="00E76F80" w:rsidRDefault="00E76F80" w:rsidP="00E76F80">
            <w:pPr>
              <w:rPr>
                <w:b/>
                <w:bCs/>
                <w:color w:val="000000"/>
                <w:sz w:val="20"/>
                <w:szCs w:val="20"/>
              </w:rPr>
            </w:pPr>
          </w:p>
        </w:tc>
        <w:tc>
          <w:tcPr>
            <w:tcW w:w="153" w:type="pct"/>
            <w:tcBorders>
              <w:top w:val="nil"/>
              <w:left w:val="nil"/>
              <w:bottom w:val="nil"/>
              <w:right w:val="nil"/>
            </w:tcBorders>
          </w:tcPr>
          <w:p w:rsidR="00E76F80" w:rsidRDefault="00E76F80" w:rsidP="00E76F80">
            <w:pPr>
              <w:rPr>
                <w:color w:val="000000"/>
                <w:sz w:val="20"/>
                <w:szCs w:val="20"/>
              </w:rPr>
            </w:pPr>
          </w:p>
        </w:tc>
        <w:tc>
          <w:tcPr>
            <w:tcW w:w="822" w:type="pct"/>
            <w:tcBorders>
              <w:top w:val="nil"/>
              <w:left w:val="nil"/>
              <w:bottom w:val="nil"/>
              <w:right w:val="nil"/>
            </w:tcBorders>
          </w:tcPr>
          <w:p w:rsidR="00E76F80" w:rsidRDefault="00E76F80" w:rsidP="00E76F80">
            <w:pPr>
              <w:rPr>
                <w:color w:val="000000"/>
                <w:sz w:val="20"/>
                <w:szCs w:val="20"/>
              </w:rPr>
            </w:pPr>
          </w:p>
        </w:tc>
      </w:tr>
      <w:tr w:rsidR="00E76F80" w:rsidTr="00E76F80">
        <w:trPr>
          <w:trHeight w:val="255"/>
        </w:trPr>
        <w:tc>
          <w:tcPr>
            <w:tcW w:w="4025" w:type="pct"/>
            <w:gridSpan w:val="2"/>
            <w:tcBorders>
              <w:top w:val="nil"/>
              <w:left w:val="nil"/>
              <w:bottom w:val="nil"/>
              <w:right w:val="nil"/>
            </w:tcBorders>
            <w:noWrap/>
            <w:vAlign w:val="bottom"/>
          </w:tcPr>
          <w:p w:rsidR="00E76F80" w:rsidRDefault="00E76F80" w:rsidP="00E76F80">
            <w:pPr>
              <w:ind w:firstLineChars="500" w:firstLine="1000"/>
              <w:rPr>
                <w:color w:val="000000"/>
                <w:sz w:val="20"/>
                <w:szCs w:val="20"/>
              </w:rPr>
            </w:pPr>
            <w:r>
              <w:rPr>
                <w:color w:val="000000"/>
                <w:sz w:val="20"/>
                <w:szCs w:val="20"/>
              </w:rPr>
              <w:t>Issued and outstanding shares – 4,934,020 and 4,895,983</w:t>
            </w:r>
          </w:p>
        </w:tc>
        <w:tc>
          <w:tcPr>
            <w:tcW w:w="153" w:type="pct"/>
            <w:tcBorders>
              <w:top w:val="nil"/>
              <w:left w:val="nil"/>
              <w:bottom w:val="nil"/>
              <w:right w:val="nil"/>
            </w:tcBorders>
          </w:tcPr>
          <w:p w:rsidR="00E76F80" w:rsidRDefault="00E76F80" w:rsidP="00E76F80">
            <w:pPr>
              <w:rPr>
                <w:color w:val="000000"/>
                <w:sz w:val="20"/>
                <w:szCs w:val="20"/>
              </w:rPr>
            </w:pPr>
          </w:p>
        </w:tc>
        <w:tc>
          <w:tcPr>
            <w:tcW w:w="822" w:type="pct"/>
            <w:tcBorders>
              <w:top w:val="nil"/>
              <w:left w:val="nil"/>
              <w:bottom w:val="nil"/>
              <w:right w:val="nil"/>
            </w:tcBorders>
          </w:tcPr>
          <w:p w:rsidR="00E76F80" w:rsidRDefault="00E76F80" w:rsidP="00E76F80">
            <w:pPr>
              <w:rPr>
                <w:b/>
                <w:bCs/>
                <w:color w:val="000000"/>
                <w:sz w:val="20"/>
                <w:szCs w:val="20"/>
              </w:rPr>
            </w:pPr>
          </w:p>
        </w:tc>
      </w:tr>
      <w:tr w:rsidR="00E76F80" w:rsidTr="00E76F80">
        <w:trPr>
          <w:trHeight w:val="255"/>
        </w:trPr>
        <w:tc>
          <w:tcPr>
            <w:tcW w:w="3192" w:type="pct"/>
            <w:tcBorders>
              <w:top w:val="nil"/>
              <w:left w:val="nil"/>
              <w:bottom w:val="nil"/>
              <w:right w:val="nil"/>
            </w:tcBorders>
            <w:vAlign w:val="bottom"/>
          </w:tcPr>
          <w:p w:rsidR="00E76F80" w:rsidRDefault="00E76F80" w:rsidP="00E76F80">
            <w:pPr>
              <w:ind w:firstLineChars="500" w:firstLine="1000"/>
              <w:rPr>
                <w:color w:val="000000"/>
                <w:sz w:val="20"/>
                <w:szCs w:val="20"/>
              </w:rPr>
            </w:pPr>
            <w:r>
              <w:rPr>
                <w:color w:val="000000"/>
                <w:sz w:val="20"/>
                <w:szCs w:val="20"/>
              </w:rPr>
              <w:t>in 2011 and 2010, respectively</w:t>
            </w:r>
          </w:p>
        </w:tc>
        <w:tc>
          <w:tcPr>
            <w:tcW w:w="833" w:type="pct"/>
            <w:tcBorders>
              <w:top w:val="nil"/>
              <w:left w:val="nil"/>
              <w:bottom w:val="nil"/>
              <w:right w:val="nil"/>
            </w:tcBorders>
          </w:tcPr>
          <w:p w:rsidR="00E76F80" w:rsidRDefault="00E76F80" w:rsidP="00E76F80">
            <w:pPr>
              <w:jc w:val="right"/>
              <w:rPr>
                <w:b/>
                <w:bCs/>
                <w:color w:val="000000"/>
                <w:sz w:val="20"/>
                <w:szCs w:val="20"/>
              </w:rPr>
            </w:pPr>
            <w:r>
              <w:rPr>
                <w:b/>
                <w:bCs/>
                <w:color w:val="000000"/>
                <w:sz w:val="20"/>
                <w:szCs w:val="20"/>
              </w:rPr>
              <w:t xml:space="preserve">49 </w:t>
            </w:r>
          </w:p>
        </w:tc>
        <w:tc>
          <w:tcPr>
            <w:tcW w:w="153" w:type="pct"/>
            <w:tcBorders>
              <w:top w:val="nil"/>
              <w:left w:val="nil"/>
              <w:bottom w:val="nil"/>
              <w:right w:val="nil"/>
            </w:tcBorders>
          </w:tcPr>
          <w:p w:rsidR="00E76F80" w:rsidRDefault="00E76F80" w:rsidP="00E76F80">
            <w:pPr>
              <w:rPr>
                <w:color w:val="000000"/>
                <w:sz w:val="20"/>
                <w:szCs w:val="20"/>
              </w:rPr>
            </w:pPr>
          </w:p>
        </w:tc>
        <w:tc>
          <w:tcPr>
            <w:tcW w:w="822" w:type="pct"/>
            <w:tcBorders>
              <w:top w:val="nil"/>
              <w:left w:val="nil"/>
              <w:bottom w:val="nil"/>
              <w:right w:val="nil"/>
            </w:tcBorders>
          </w:tcPr>
          <w:p w:rsidR="00E76F80" w:rsidRDefault="00E76F80" w:rsidP="00E76F80">
            <w:pPr>
              <w:jc w:val="right"/>
              <w:rPr>
                <w:color w:val="000000"/>
                <w:sz w:val="20"/>
                <w:szCs w:val="20"/>
              </w:rPr>
            </w:pPr>
            <w:r>
              <w:rPr>
                <w:color w:val="000000"/>
                <w:sz w:val="20"/>
                <w:szCs w:val="20"/>
              </w:rPr>
              <w:t xml:space="preserve">49 </w:t>
            </w:r>
          </w:p>
        </w:tc>
      </w:tr>
      <w:tr w:rsidR="00E76F80" w:rsidTr="00E76F80">
        <w:trPr>
          <w:trHeight w:val="255"/>
        </w:trPr>
        <w:tc>
          <w:tcPr>
            <w:tcW w:w="3192" w:type="pct"/>
            <w:tcBorders>
              <w:top w:val="nil"/>
              <w:left w:val="nil"/>
              <w:bottom w:val="nil"/>
              <w:right w:val="nil"/>
            </w:tcBorders>
            <w:vAlign w:val="bottom"/>
          </w:tcPr>
          <w:p w:rsidR="00E76F80" w:rsidRDefault="00E76F80" w:rsidP="00E76F80">
            <w:pPr>
              <w:ind w:firstLineChars="300" w:firstLine="600"/>
              <w:rPr>
                <w:color w:val="000000"/>
                <w:sz w:val="20"/>
                <w:szCs w:val="20"/>
              </w:rPr>
            </w:pPr>
            <w:r>
              <w:rPr>
                <w:color w:val="000000"/>
                <w:sz w:val="20"/>
                <w:szCs w:val="20"/>
              </w:rPr>
              <w:t>Additional paid-in capital</w:t>
            </w:r>
          </w:p>
        </w:tc>
        <w:tc>
          <w:tcPr>
            <w:tcW w:w="833" w:type="pct"/>
            <w:tcBorders>
              <w:top w:val="nil"/>
              <w:left w:val="nil"/>
              <w:bottom w:val="nil"/>
              <w:right w:val="nil"/>
            </w:tcBorders>
          </w:tcPr>
          <w:p w:rsidR="00E76F80" w:rsidRDefault="00E76F80" w:rsidP="00E76F80">
            <w:pPr>
              <w:jc w:val="right"/>
              <w:rPr>
                <w:b/>
                <w:bCs/>
                <w:color w:val="000000"/>
                <w:sz w:val="20"/>
                <w:szCs w:val="20"/>
                <w:highlight w:val="yellow"/>
              </w:rPr>
            </w:pPr>
            <w:r>
              <w:rPr>
                <w:b/>
                <w:bCs/>
                <w:color w:val="000000"/>
                <w:sz w:val="20"/>
                <w:szCs w:val="20"/>
              </w:rPr>
              <w:t xml:space="preserve">66,930 </w:t>
            </w:r>
          </w:p>
        </w:tc>
        <w:tc>
          <w:tcPr>
            <w:tcW w:w="153" w:type="pct"/>
            <w:tcBorders>
              <w:top w:val="nil"/>
              <w:left w:val="nil"/>
              <w:bottom w:val="nil"/>
              <w:right w:val="nil"/>
            </w:tcBorders>
          </w:tcPr>
          <w:p w:rsidR="00E76F80" w:rsidRDefault="00E76F80" w:rsidP="00E76F80">
            <w:pPr>
              <w:rPr>
                <w:color w:val="000000"/>
                <w:sz w:val="20"/>
                <w:szCs w:val="20"/>
                <w:highlight w:val="yellow"/>
              </w:rPr>
            </w:pPr>
          </w:p>
        </w:tc>
        <w:tc>
          <w:tcPr>
            <w:tcW w:w="822" w:type="pct"/>
            <w:tcBorders>
              <w:top w:val="nil"/>
              <w:left w:val="nil"/>
              <w:bottom w:val="nil"/>
              <w:right w:val="nil"/>
            </w:tcBorders>
          </w:tcPr>
          <w:p w:rsidR="00E76F80" w:rsidRDefault="00E76F80" w:rsidP="00E76F80">
            <w:pPr>
              <w:jc w:val="right"/>
              <w:rPr>
                <w:color w:val="000000"/>
                <w:sz w:val="20"/>
                <w:szCs w:val="20"/>
              </w:rPr>
            </w:pPr>
            <w:r>
              <w:rPr>
                <w:color w:val="000000"/>
                <w:sz w:val="20"/>
                <w:szCs w:val="20"/>
              </w:rPr>
              <w:t xml:space="preserve">66,632 </w:t>
            </w:r>
          </w:p>
        </w:tc>
      </w:tr>
      <w:tr w:rsidR="00E76F80" w:rsidTr="00E76F80">
        <w:trPr>
          <w:trHeight w:val="270"/>
        </w:trPr>
        <w:tc>
          <w:tcPr>
            <w:tcW w:w="3192" w:type="pct"/>
            <w:tcBorders>
              <w:top w:val="nil"/>
              <w:left w:val="nil"/>
              <w:bottom w:val="nil"/>
              <w:right w:val="nil"/>
            </w:tcBorders>
            <w:vAlign w:val="bottom"/>
          </w:tcPr>
          <w:p w:rsidR="00E76F80" w:rsidRDefault="00E76F80" w:rsidP="00E76F80">
            <w:pPr>
              <w:ind w:firstLineChars="300" w:firstLine="600"/>
              <w:rPr>
                <w:color w:val="000000"/>
                <w:sz w:val="20"/>
                <w:szCs w:val="20"/>
              </w:rPr>
            </w:pPr>
            <w:r>
              <w:rPr>
                <w:color w:val="000000"/>
                <w:sz w:val="20"/>
                <w:szCs w:val="20"/>
              </w:rPr>
              <w:t>Accumulated deficit</w:t>
            </w:r>
          </w:p>
        </w:tc>
        <w:tc>
          <w:tcPr>
            <w:tcW w:w="833" w:type="pct"/>
            <w:tcBorders>
              <w:top w:val="nil"/>
              <w:left w:val="nil"/>
              <w:bottom w:val="nil"/>
              <w:right w:val="nil"/>
            </w:tcBorders>
          </w:tcPr>
          <w:p w:rsidR="00E76F80" w:rsidRDefault="00E76F80" w:rsidP="00E76F80">
            <w:pPr>
              <w:jc w:val="right"/>
              <w:rPr>
                <w:b/>
                <w:bCs/>
                <w:sz w:val="20"/>
                <w:szCs w:val="20"/>
              </w:rPr>
            </w:pPr>
            <w:r>
              <w:rPr>
                <w:b/>
                <w:bCs/>
                <w:color w:val="FF0000"/>
                <w:sz w:val="20"/>
                <w:szCs w:val="20"/>
              </w:rPr>
              <w:t>(50,482)</w:t>
            </w:r>
          </w:p>
        </w:tc>
        <w:tc>
          <w:tcPr>
            <w:tcW w:w="153" w:type="pct"/>
            <w:tcBorders>
              <w:top w:val="nil"/>
              <w:left w:val="nil"/>
              <w:bottom w:val="nil"/>
              <w:right w:val="nil"/>
            </w:tcBorders>
          </w:tcPr>
          <w:p w:rsidR="00E76F80" w:rsidRDefault="00E76F80" w:rsidP="00E76F80">
            <w:pPr>
              <w:rPr>
                <w:sz w:val="20"/>
                <w:szCs w:val="20"/>
              </w:rPr>
            </w:pPr>
          </w:p>
        </w:tc>
        <w:tc>
          <w:tcPr>
            <w:tcW w:w="822" w:type="pct"/>
            <w:tcBorders>
              <w:top w:val="nil"/>
              <w:left w:val="nil"/>
              <w:bottom w:val="nil"/>
              <w:right w:val="nil"/>
            </w:tcBorders>
          </w:tcPr>
          <w:p w:rsidR="00E76F80" w:rsidRDefault="00E76F80" w:rsidP="00E76F80">
            <w:pPr>
              <w:jc w:val="right"/>
              <w:rPr>
                <w:sz w:val="20"/>
                <w:szCs w:val="20"/>
              </w:rPr>
            </w:pPr>
            <w:r>
              <w:rPr>
                <w:color w:val="FF0000"/>
                <w:sz w:val="20"/>
                <w:szCs w:val="20"/>
              </w:rPr>
              <w:t>(50,486)</w:t>
            </w:r>
          </w:p>
        </w:tc>
      </w:tr>
      <w:tr w:rsidR="00E76F80" w:rsidTr="00E76F80">
        <w:trPr>
          <w:trHeight w:val="270"/>
        </w:trPr>
        <w:tc>
          <w:tcPr>
            <w:tcW w:w="3192" w:type="pct"/>
            <w:tcBorders>
              <w:top w:val="nil"/>
              <w:left w:val="nil"/>
              <w:bottom w:val="nil"/>
              <w:right w:val="nil"/>
            </w:tcBorders>
            <w:vAlign w:val="bottom"/>
          </w:tcPr>
          <w:p w:rsidR="00E76F80" w:rsidRDefault="00E76F80" w:rsidP="00E76F80">
            <w:pPr>
              <w:rPr>
                <w:color w:val="000000"/>
                <w:sz w:val="20"/>
                <w:szCs w:val="20"/>
              </w:rPr>
            </w:pPr>
            <w:r>
              <w:rPr>
                <w:color w:val="000000"/>
                <w:sz w:val="20"/>
                <w:szCs w:val="20"/>
              </w:rPr>
              <w:t xml:space="preserve">Total shareholders’ equity </w:t>
            </w:r>
          </w:p>
        </w:tc>
        <w:tc>
          <w:tcPr>
            <w:tcW w:w="833" w:type="pct"/>
            <w:tcBorders>
              <w:top w:val="single" w:sz="8" w:space="0" w:color="auto"/>
              <w:left w:val="nil"/>
              <w:bottom w:val="single" w:sz="8" w:space="0" w:color="auto"/>
              <w:right w:val="nil"/>
            </w:tcBorders>
          </w:tcPr>
          <w:p w:rsidR="00E76F80" w:rsidRDefault="00E76F80" w:rsidP="00E76F80">
            <w:pPr>
              <w:jc w:val="right"/>
              <w:rPr>
                <w:b/>
                <w:bCs/>
                <w:color w:val="000000"/>
                <w:sz w:val="20"/>
                <w:szCs w:val="20"/>
                <w:highlight w:val="yellow"/>
              </w:rPr>
            </w:pPr>
            <w:r>
              <w:rPr>
                <w:b/>
                <w:bCs/>
                <w:color w:val="000000"/>
                <w:sz w:val="20"/>
                <w:szCs w:val="20"/>
              </w:rPr>
              <w:t xml:space="preserve">16,497 </w:t>
            </w:r>
          </w:p>
        </w:tc>
        <w:tc>
          <w:tcPr>
            <w:tcW w:w="153" w:type="pct"/>
            <w:tcBorders>
              <w:top w:val="nil"/>
              <w:left w:val="nil"/>
              <w:bottom w:val="nil"/>
              <w:right w:val="nil"/>
            </w:tcBorders>
          </w:tcPr>
          <w:p w:rsidR="00E76F80" w:rsidRDefault="00E76F80" w:rsidP="00E76F80">
            <w:pPr>
              <w:rPr>
                <w:color w:val="000000"/>
                <w:sz w:val="20"/>
                <w:szCs w:val="20"/>
              </w:rPr>
            </w:pPr>
          </w:p>
        </w:tc>
        <w:tc>
          <w:tcPr>
            <w:tcW w:w="822" w:type="pct"/>
            <w:tcBorders>
              <w:top w:val="single" w:sz="8" w:space="0" w:color="auto"/>
              <w:left w:val="nil"/>
              <w:bottom w:val="single" w:sz="8" w:space="0" w:color="auto"/>
              <w:right w:val="nil"/>
            </w:tcBorders>
          </w:tcPr>
          <w:p w:rsidR="00E76F80" w:rsidRDefault="00E76F80" w:rsidP="00E76F80">
            <w:pPr>
              <w:jc w:val="right"/>
              <w:rPr>
                <w:color w:val="000000"/>
                <w:sz w:val="20"/>
                <w:szCs w:val="20"/>
              </w:rPr>
            </w:pPr>
            <w:r>
              <w:rPr>
                <w:color w:val="000000"/>
                <w:sz w:val="20"/>
                <w:szCs w:val="20"/>
              </w:rPr>
              <w:t xml:space="preserve">16,195 </w:t>
            </w:r>
          </w:p>
        </w:tc>
      </w:tr>
      <w:tr w:rsidR="00E76F80" w:rsidTr="00E76F80">
        <w:trPr>
          <w:trHeight w:val="270"/>
        </w:trPr>
        <w:tc>
          <w:tcPr>
            <w:tcW w:w="3192" w:type="pct"/>
            <w:tcBorders>
              <w:top w:val="nil"/>
              <w:left w:val="nil"/>
              <w:bottom w:val="nil"/>
              <w:right w:val="nil"/>
            </w:tcBorders>
            <w:vAlign w:val="bottom"/>
          </w:tcPr>
          <w:p w:rsidR="00E76F80" w:rsidRDefault="00E76F80" w:rsidP="00E76F80">
            <w:pPr>
              <w:rPr>
                <w:color w:val="000000"/>
                <w:sz w:val="20"/>
                <w:szCs w:val="20"/>
              </w:rPr>
            </w:pPr>
            <w:r>
              <w:rPr>
                <w:color w:val="000000"/>
                <w:sz w:val="20"/>
                <w:szCs w:val="20"/>
              </w:rPr>
              <w:t xml:space="preserve">Total liabilities and shareholders’ equity </w:t>
            </w:r>
          </w:p>
        </w:tc>
        <w:tc>
          <w:tcPr>
            <w:tcW w:w="833" w:type="pct"/>
            <w:tcBorders>
              <w:top w:val="nil"/>
              <w:left w:val="nil"/>
              <w:bottom w:val="double" w:sz="6" w:space="0" w:color="auto"/>
              <w:right w:val="nil"/>
            </w:tcBorders>
          </w:tcPr>
          <w:p w:rsidR="00E76F80" w:rsidRDefault="00E76F80" w:rsidP="00E76F80">
            <w:pPr>
              <w:jc w:val="right"/>
              <w:rPr>
                <w:b/>
                <w:bCs/>
                <w:color w:val="000000"/>
                <w:sz w:val="20"/>
                <w:szCs w:val="20"/>
                <w:highlight w:val="yellow"/>
              </w:rPr>
            </w:pPr>
            <w:r>
              <w:rPr>
                <w:b/>
                <w:bCs/>
                <w:color w:val="000000"/>
                <w:sz w:val="20"/>
                <w:szCs w:val="20"/>
              </w:rPr>
              <w:t xml:space="preserve">$22,940 </w:t>
            </w:r>
          </w:p>
        </w:tc>
        <w:tc>
          <w:tcPr>
            <w:tcW w:w="153" w:type="pct"/>
            <w:tcBorders>
              <w:top w:val="nil"/>
              <w:left w:val="nil"/>
              <w:bottom w:val="nil"/>
              <w:right w:val="nil"/>
            </w:tcBorders>
          </w:tcPr>
          <w:p w:rsidR="00E76F80" w:rsidRDefault="00E76F80" w:rsidP="00E76F80">
            <w:pPr>
              <w:rPr>
                <w:color w:val="000000"/>
                <w:sz w:val="20"/>
                <w:szCs w:val="20"/>
              </w:rPr>
            </w:pPr>
          </w:p>
        </w:tc>
        <w:tc>
          <w:tcPr>
            <w:tcW w:w="822" w:type="pct"/>
            <w:tcBorders>
              <w:top w:val="nil"/>
              <w:left w:val="nil"/>
              <w:bottom w:val="double" w:sz="6" w:space="0" w:color="auto"/>
              <w:right w:val="nil"/>
            </w:tcBorders>
          </w:tcPr>
          <w:p w:rsidR="00E76F80" w:rsidRDefault="00E76F80" w:rsidP="00E76F80">
            <w:pPr>
              <w:jc w:val="right"/>
              <w:rPr>
                <w:color w:val="000000"/>
                <w:sz w:val="20"/>
                <w:szCs w:val="20"/>
              </w:rPr>
            </w:pPr>
            <w:r>
              <w:rPr>
                <w:color w:val="000000"/>
                <w:sz w:val="20"/>
                <w:szCs w:val="20"/>
              </w:rPr>
              <w:t xml:space="preserve">$22,621 </w:t>
            </w:r>
          </w:p>
        </w:tc>
      </w:tr>
      <w:tr w:rsidR="00E76F80" w:rsidTr="00E76F80">
        <w:trPr>
          <w:trHeight w:val="315"/>
        </w:trPr>
        <w:tc>
          <w:tcPr>
            <w:tcW w:w="3192" w:type="pct"/>
            <w:tcBorders>
              <w:top w:val="nil"/>
              <w:left w:val="nil"/>
              <w:bottom w:val="nil"/>
              <w:right w:val="nil"/>
            </w:tcBorders>
            <w:noWrap/>
            <w:vAlign w:val="bottom"/>
          </w:tcPr>
          <w:p w:rsidR="00E76F80" w:rsidRDefault="00E76F80" w:rsidP="00E76F80">
            <w:pPr>
              <w:rPr>
                <w:sz w:val="20"/>
                <w:szCs w:val="20"/>
              </w:rPr>
            </w:pPr>
          </w:p>
        </w:tc>
        <w:tc>
          <w:tcPr>
            <w:tcW w:w="833" w:type="pct"/>
            <w:tcBorders>
              <w:top w:val="nil"/>
              <w:left w:val="nil"/>
              <w:bottom w:val="nil"/>
              <w:right w:val="nil"/>
            </w:tcBorders>
            <w:noWrap/>
            <w:vAlign w:val="bottom"/>
          </w:tcPr>
          <w:p w:rsidR="00E76F80" w:rsidRDefault="00E76F80" w:rsidP="00E76F80">
            <w:pPr>
              <w:rPr>
                <w:sz w:val="20"/>
                <w:szCs w:val="20"/>
              </w:rPr>
            </w:pPr>
          </w:p>
        </w:tc>
        <w:tc>
          <w:tcPr>
            <w:tcW w:w="153" w:type="pct"/>
            <w:tcBorders>
              <w:top w:val="nil"/>
              <w:left w:val="nil"/>
              <w:bottom w:val="nil"/>
              <w:right w:val="nil"/>
            </w:tcBorders>
            <w:noWrap/>
            <w:vAlign w:val="bottom"/>
          </w:tcPr>
          <w:p w:rsidR="00E76F80" w:rsidRDefault="00E76F80" w:rsidP="00E76F80">
            <w:pPr>
              <w:rPr>
                <w:sz w:val="20"/>
                <w:szCs w:val="20"/>
              </w:rPr>
            </w:pPr>
          </w:p>
        </w:tc>
        <w:tc>
          <w:tcPr>
            <w:tcW w:w="822" w:type="pct"/>
            <w:tcBorders>
              <w:top w:val="nil"/>
              <w:left w:val="nil"/>
              <w:bottom w:val="nil"/>
              <w:right w:val="nil"/>
            </w:tcBorders>
          </w:tcPr>
          <w:p w:rsidR="00E76F80" w:rsidRDefault="00E76F80" w:rsidP="00E76F80">
            <w:pPr>
              <w:rPr>
                <w:color w:val="000000"/>
                <w:sz w:val="22"/>
                <w:szCs w:val="22"/>
              </w:rPr>
            </w:pPr>
            <w:r>
              <w:rPr>
                <w:color w:val="000000"/>
                <w:sz w:val="22"/>
                <w:szCs w:val="22"/>
              </w:rPr>
              <w:t> </w:t>
            </w:r>
          </w:p>
        </w:tc>
      </w:tr>
      <w:tr w:rsidR="00E76F80" w:rsidTr="00E76F80">
        <w:trPr>
          <w:trHeight w:val="255"/>
        </w:trPr>
        <w:tc>
          <w:tcPr>
            <w:tcW w:w="3192" w:type="pct"/>
            <w:tcBorders>
              <w:top w:val="nil"/>
              <w:left w:val="nil"/>
              <w:bottom w:val="nil"/>
              <w:right w:val="nil"/>
            </w:tcBorders>
            <w:noWrap/>
            <w:vAlign w:val="bottom"/>
          </w:tcPr>
          <w:p w:rsidR="00E76F80" w:rsidRDefault="00E76F80" w:rsidP="00E76F80">
            <w:pPr>
              <w:rPr>
                <w:i/>
                <w:iCs/>
                <w:color w:val="000000"/>
                <w:sz w:val="20"/>
                <w:szCs w:val="20"/>
              </w:rPr>
            </w:pPr>
            <w:r>
              <w:rPr>
                <w:i/>
                <w:iCs/>
                <w:color w:val="000000"/>
                <w:sz w:val="20"/>
                <w:szCs w:val="20"/>
              </w:rPr>
              <w:t>See accompanying notes.</w:t>
            </w:r>
          </w:p>
        </w:tc>
        <w:tc>
          <w:tcPr>
            <w:tcW w:w="833" w:type="pct"/>
            <w:tcBorders>
              <w:top w:val="nil"/>
              <w:left w:val="nil"/>
              <w:bottom w:val="nil"/>
              <w:right w:val="nil"/>
            </w:tcBorders>
            <w:noWrap/>
            <w:vAlign w:val="bottom"/>
          </w:tcPr>
          <w:p w:rsidR="00E76F80" w:rsidRDefault="00E76F80" w:rsidP="00E76F80">
            <w:pPr>
              <w:rPr>
                <w:sz w:val="20"/>
                <w:szCs w:val="20"/>
              </w:rPr>
            </w:pPr>
          </w:p>
        </w:tc>
        <w:tc>
          <w:tcPr>
            <w:tcW w:w="153" w:type="pct"/>
            <w:tcBorders>
              <w:top w:val="nil"/>
              <w:left w:val="nil"/>
              <w:bottom w:val="nil"/>
              <w:right w:val="nil"/>
            </w:tcBorders>
            <w:noWrap/>
            <w:vAlign w:val="bottom"/>
          </w:tcPr>
          <w:p w:rsidR="00E76F80" w:rsidRDefault="00E76F80" w:rsidP="00E76F80">
            <w:pPr>
              <w:rPr>
                <w:sz w:val="20"/>
                <w:szCs w:val="20"/>
              </w:rPr>
            </w:pPr>
          </w:p>
        </w:tc>
        <w:tc>
          <w:tcPr>
            <w:tcW w:w="822" w:type="pct"/>
            <w:tcBorders>
              <w:top w:val="nil"/>
              <w:left w:val="nil"/>
              <w:bottom w:val="nil"/>
              <w:right w:val="nil"/>
            </w:tcBorders>
            <w:noWrap/>
            <w:vAlign w:val="bottom"/>
          </w:tcPr>
          <w:p w:rsidR="00E76F80" w:rsidRDefault="00E76F80" w:rsidP="00E76F80">
            <w:pPr>
              <w:rPr>
                <w:sz w:val="20"/>
                <w:szCs w:val="20"/>
              </w:rPr>
            </w:pPr>
          </w:p>
        </w:tc>
      </w:tr>
    </w:tbl>
    <w:p w:rsidR="004851D7" w:rsidRDefault="004851D7">
      <w:pPr>
        <w:pStyle w:val="heading"/>
        <w:tabs>
          <w:tab w:val="left" w:pos="1080"/>
        </w:tabs>
        <w:spacing w:line="240" w:lineRule="auto"/>
        <w:ind w:left="2"/>
        <w:rPr>
          <w:b/>
          <w:color w:val="000000"/>
          <w:sz w:val="22"/>
          <w:szCs w:val="22"/>
        </w:rPr>
      </w:pPr>
      <w:proofErr w:type="spellStart"/>
      <w:r>
        <w:rPr>
          <w:b/>
          <w:color w:val="000000"/>
          <w:sz w:val="22"/>
          <w:szCs w:val="22"/>
        </w:rPr>
        <w:t>MakeMusic</w:t>
      </w:r>
      <w:proofErr w:type="spellEnd"/>
      <w:r>
        <w:rPr>
          <w:b/>
          <w:color w:val="000000"/>
          <w:sz w:val="22"/>
          <w:szCs w:val="22"/>
        </w:rPr>
        <w:t>, Inc.</w:t>
      </w:r>
    </w:p>
    <w:p w:rsidR="004851D7" w:rsidRDefault="004851D7">
      <w:pPr>
        <w:pStyle w:val="heading"/>
        <w:spacing w:line="240" w:lineRule="auto"/>
        <w:rPr>
          <w:b/>
          <w:color w:val="000000"/>
          <w:sz w:val="20"/>
          <w:szCs w:val="20"/>
        </w:rPr>
      </w:pPr>
      <w:r>
        <w:rPr>
          <w:b/>
          <w:color w:val="000000"/>
          <w:sz w:val="22"/>
          <w:szCs w:val="22"/>
        </w:rPr>
        <w:t>Statements of Income</w:t>
      </w:r>
    </w:p>
    <w:p w:rsidR="004851D7" w:rsidRDefault="004851D7">
      <w:pPr>
        <w:pStyle w:val="heading"/>
        <w:spacing w:line="240" w:lineRule="auto"/>
        <w:rPr>
          <w:i/>
          <w:color w:val="000000"/>
          <w:sz w:val="20"/>
          <w:szCs w:val="20"/>
        </w:rPr>
      </w:pPr>
      <w:r>
        <w:rPr>
          <w:i/>
          <w:color w:val="000000"/>
          <w:sz w:val="20"/>
          <w:szCs w:val="20"/>
        </w:rPr>
        <w:t>(In thousands of U.S. dollars, except share and per share data)</w:t>
      </w:r>
    </w:p>
    <w:p w:rsidR="004851D7" w:rsidRDefault="004851D7">
      <w:pPr>
        <w:pStyle w:val="heading"/>
        <w:spacing w:line="240" w:lineRule="auto"/>
        <w:rPr>
          <w:color w:val="000000"/>
          <w:sz w:val="20"/>
          <w:szCs w:val="20"/>
        </w:rPr>
      </w:pPr>
    </w:p>
    <w:p w:rsidR="004851D7" w:rsidRDefault="004851D7">
      <w:pPr>
        <w:jc w:val="center"/>
        <w:rPr>
          <w:color w:val="000000"/>
          <w:sz w:val="20"/>
          <w:szCs w:val="20"/>
        </w:rPr>
      </w:pPr>
    </w:p>
    <w:tbl>
      <w:tblPr>
        <w:tblW w:w="5000" w:type="pct"/>
        <w:tblLook w:val="00A0" w:firstRow="1" w:lastRow="0" w:firstColumn="1" w:lastColumn="0" w:noHBand="0" w:noVBand="0"/>
      </w:tblPr>
      <w:tblGrid>
        <w:gridCol w:w="5864"/>
        <w:gridCol w:w="289"/>
        <w:gridCol w:w="1597"/>
        <w:gridCol w:w="289"/>
        <w:gridCol w:w="1595"/>
      </w:tblGrid>
      <w:tr w:rsidR="004851D7">
        <w:trPr>
          <w:trHeight w:val="255"/>
        </w:trPr>
        <w:tc>
          <w:tcPr>
            <w:tcW w:w="3043" w:type="pct"/>
            <w:tcBorders>
              <w:top w:val="nil"/>
              <w:left w:val="nil"/>
              <w:bottom w:val="nil"/>
              <w:right w:val="nil"/>
            </w:tcBorders>
            <w:noWrap/>
            <w:vAlign w:val="bottom"/>
          </w:tcPr>
          <w:p w:rsidR="004851D7" w:rsidRDefault="004851D7">
            <w:pPr>
              <w:rPr>
                <w:sz w:val="20"/>
                <w:szCs w:val="20"/>
              </w:rPr>
            </w:pPr>
          </w:p>
        </w:tc>
        <w:tc>
          <w:tcPr>
            <w:tcW w:w="150" w:type="pct"/>
            <w:tcBorders>
              <w:top w:val="nil"/>
              <w:left w:val="nil"/>
              <w:bottom w:val="nil"/>
              <w:right w:val="nil"/>
            </w:tcBorders>
            <w:noWrap/>
            <w:vAlign w:val="bottom"/>
          </w:tcPr>
          <w:p w:rsidR="004851D7" w:rsidRDefault="004851D7">
            <w:pPr>
              <w:rPr>
                <w:sz w:val="20"/>
                <w:szCs w:val="20"/>
              </w:rPr>
            </w:pPr>
          </w:p>
        </w:tc>
        <w:tc>
          <w:tcPr>
            <w:tcW w:w="1807" w:type="pct"/>
            <w:gridSpan w:val="3"/>
            <w:tcBorders>
              <w:top w:val="nil"/>
              <w:left w:val="nil"/>
              <w:bottom w:val="nil"/>
              <w:right w:val="nil"/>
            </w:tcBorders>
            <w:noWrap/>
            <w:vAlign w:val="bottom"/>
          </w:tcPr>
          <w:p w:rsidR="004851D7" w:rsidRDefault="004851D7">
            <w:pPr>
              <w:jc w:val="center"/>
              <w:rPr>
                <w:b/>
                <w:bCs/>
                <w:color w:val="000000"/>
                <w:sz w:val="20"/>
                <w:szCs w:val="20"/>
              </w:rPr>
            </w:pPr>
            <w:r>
              <w:rPr>
                <w:b/>
                <w:bCs/>
                <w:color w:val="000000"/>
                <w:sz w:val="20"/>
                <w:szCs w:val="20"/>
              </w:rPr>
              <w:t>Year</w:t>
            </w:r>
          </w:p>
        </w:tc>
      </w:tr>
      <w:tr w:rsidR="004851D7">
        <w:trPr>
          <w:trHeight w:val="300"/>
        </w:trPr>
        <w:tc>
          <w:tcPr>
            <w:tcW w:w="3043" w:type="pct"/>
            <w:tcBorders>
              <w:top w:val="nil"/>
              <w:left w:val="nil"/>
              <w:bottom w:val="nil"/>
              <w:right w:val="nil"/>
            </w:tcBorders>
            <w:noWrap/>
            <w:vAlign w:val="bottom"/>
          </w:tcPr>
          <w:p w:rsidR="004851D7" w:rsidRDefault="004851D7">
            <w:pPr>
              <w:jc w:val="center"/>
              <w:rPr>
                <w:color w:val="000000"/>
                <w:sz w:val="20"/>
                <w:szCs w:val="20"/>
              </w:rPr>
            </w:pPr>
          </w:p>
        </w:tc>
        <w:tc>
          <w:tcPr>
            <w:tcW w:w="150" w:type="pct"/>
            <w:tcBorders>
              <w:top w:val="nil"/>
              <w:left w:val="nil"/>
              <w:bottom w:val="nil"/>
              <w:right w:val="nil"/>
            </w:tcBorders>
            <w:noWrap/>
            <w:vAlign w:val="bottom"/>
          </w:tcPr>
          <w:p w:rsidR="004851D7" w:rsidRDefault="004851D7">
            <w:pPr>
              <w:rPr>
                <w:sz w:val="20"/>
                <w:szCs w:val="20"/>
              </w:rPr>
            </w:pPr>
          </w:p>
        </w:tc>
        <w:tc>
          <w:tcPr>
            <w:tcW w:w="1807" w:type="pct"/>
            <w:gridSpan w:val="3"/>
            <w:tcBorders>
              <w:top w:val="nil"/>
              <w:left w:val="nil"/>
              <w:bottom w:val="nil"/>
              <w:right w:val="nil"/>
            </w:tcBorders>
            <w:noWrap/>
            <w:vAlign w:val="bottom"/>
          </w:tcPr>
          <w:p w:rsidR="004851D7" w:rsidRDefault="004851D7">
            <w:pPr>
              <w:jc w:val="center"/>
              <w:rPr>
                <w:b/>
                <w:bCs/>
                <w:color w:val="000000"/>
                <w:sz w:val="20"/>
                <w:szCs w:val="20"/>
              </w:rPr>
            </w:pPr>
            <w:r>
              <w:rPr>
                <w:b/>
                <w:bCs/>
                <w:color w:val="000000"/>
                <w:sz w:val="20"/>
                <w:szCs w:val="20"/>
              </w:rPr>
              <w:t>Ended December 31,</w:t>
            </w:r>
          </w:p>
        </w:tc>
      </w:tr>
      <w:tr w:rsidR="004851D7">
        <w:trPr>
          <w:trHeight w:val="270"/>
        </w:trPr>
        <w:tc>
          <w:tcPr>
            <w:tcW w:w="3043" w:type="pct"/>
            <w:tcBorders>
              <w:top w:val="nil"/>
              <w:left w:val="nil"/>
              <w:bottom w:val="nil"/>
              <w:right w:val="nil"/>
            </w:tcBorders>
            <w:noWrap/>
            <w:vAlign w:val="bottom"/>
          </w:tcPr>
          <w:p w:rsidR="004851D7" w:rsidRDefault="004851D7">
            <w:pPr>
              <w:jc w:val="center"/>
              <w:rPr>
                <w:color w:val="000000"/>
                <w:sz w:val="20"/>
                <w:szCs w:val="20"/>
              </w:rPr>
            </w:pPr>
          </w:p>
        </w:tc>
        <w:tc>
          <w:tcPr>
            <w:tcW w:w="150" w:type="pct"/>
            <w:tcBorders>
              <w:top w:val="nil"/>
              <w:left w:val="nil"/>
              <w:bottom w:val="nil"/>
              <w:right w:val="nil"/>
            </w:tcBorders>
            <w:noWrap/>
            <w:vAlign w:val="bottom"/>
          </w:tcPr>
          <w:p w:rsidR="004851D7" w:rsidRDefault="004851D7">
            <w:pPr>
              <w:rPr>
                <w:sz w:val="20"/>
                <w:szCs w:val="20"/>
              </w:rPr>
            </w:pPr>
          </w:p>
        </w:tc>
        <w:tc>
          <w:tcPr>
            <w:tcW w:w="829" w:type="pct"/>
            <w:tcBorders>
              <w:top w:val="nil"/>
              <w:left w:val="nil"/>
              <w:bottom w:val="single" w:sz="8" w:space="0" w:color="auto"/>
              <w:right w:val="nil"/>
            </w:tcBorders>
            <w:noWrap/>
            <w:vAlign w:val="bottom"/>
          </w:tcPr>
          <w:p w:rsidR="004851D7" w:rsidRDefault="008B0412">
            <w:pPr>
              <w:jc w:val="center"/>
              <w:rPr>
                <w:b/>
                <w:bCs/>
                <w:color w:val="000000"/>
                <w:sz w:val="20"/>
                <w:szCs w:val="20"/>
              </w:rPr>
            </w:pPr>
            <w:r>
              <w:rPr>
                <w:b/>
                <w:bCs/>
                <w:color w:val="000000"/>
                <w:sz w:val="20"/>
                <w:szCs w:val="20"/>
              </w:rPr>
              <w:t>2011</w:t>
            </w:r>
          </w:p>
        </w:tc>
        <w:tc>
          <w:tcPr>
            <w:tcW w:w="150" w:type="pct"/>
            <w:tcBorders>
              <w:top w:val="nil"/>
              <w:left w:val="nil"/>
              <w:bottom w:val="nil"/>
              <w:right w:val="nil"/>
            </w:tcBorders>
            <w:noWrap/>
            <w:vAlign w:val="bottom"/>
          </w:tcPr>
          <w:p w:rsidR="004851D7" w:rsidRDefault="004851D7">
            <w:pPr>
              <w:jc w:val="center"/>
              <w:rPr>
                <w:color w:val="000000"/>
                <w:sz w:val="20"/>
                <w:szCs w:val="20"/>
              </w:rPr>
            </w:pPr>
          </w:p>
        </w:tc>
        <w:tc>
          <w:tcPr>
            <w:tcW w:w="828" w:type="pct"/>
            <w:tcBorders>
              <w:top w:val="nil"/>
              <w:left w:val="nil"/>
              <w:bottom w:val="single" w:sz="8" w:space="0" w:color="auto"/>
              <w:right w:val="nil"/>
            </w:tcBorders>
            <w:noWrap/>
            <w:vAlign w:val="bottom"/>
          </w:tcPr>
          <w:p w:rsidR="004851D7" w:rsidRDefault="008B0412">
            <w:pPr>
              <w:jc w:val="center"/>
              <w:rPr>
                <w:color w:val="000000"/>
                <w:sz w:val="20"/>
                <w:szCs w:val="20"/>
              </w:rPr>
            </w:pPr>
            <w:r>
              <w:rPr>
                <w:color w:val="000000"/>
                <w:sz w:val="20"/>
                <w:szCs w:val="20"/>
              </w:rPr>
              <w:t>2010</w:t>
            </w:r>
          </w:p>
        </w:tc>
      </w:tr>
      <w:tr w:rsidR="00982D93">
        <w:trPr>
          <w:trHeight w:val="300"/>
        </w:trPr>
        <w:tc>
          <w:tcPr>
            <w:tcW w:w="3043" w:type="pct"/>
            <w:tcBorders>
              <w:top w:val="nil"/>
              <w:left w:val="nil"/>
              <w:bottom w:val="nil"/>
              <w:right w:val="nil"/>
            </w:tcBorders>
            <w:noWrap/>
            <w:vAlign w:val="bottom"/>
          </w:tcPr>
          <w:p w:rsidR="00982D93" w:rsidRDefault="00982D93">
            <w:pPr>
              <w:rPr>
                <w:color w:val="000000"/>
                <w:sz w:val="20"/>
                <w:szCs w:val="20"/>
              </w:rPr>
            </w:pPr>
            <w:r>
              <w:rPr>
                <w:color w:val="000000"/>
                <w:sz w:val="20"/>
                <w:szCs w:val="20"/>
              </w:rPr>
              <w:t>Notation revenue</w:t>
            </w:r>
          </w:p>
        </w:tc>
        <w:tc>
          <w:tcPr>
            <w:tcW w:w="150" w:type="pct"/>
            <w:tcBorders>
              <w:top w:val="nil"/>
              <w:left w:val="nil"/>
              <w:bottom w:val="nil"/>
              <w:right w:val="nil"/>
            </w:tcBorders>
            <w:noWrap/>
            <w:vAlign w:val="bottom"/>
          </w:tcPr>
          <w:p w:rsidR="00982D93" w:rsidRDefault="00982D93">
            <w:pPr>
              <w:rPr>
                <w:sz w:val="20"/>
                <w:szCs w:val="20"/>
              </w:rPr>
            </w:pPr>
          </w:p>
        </w:tc>
        <w:tc>
          <w:tcPr>
            <w:tcW w:w="829" w:type="pct"/>
            <w:tcBorders>
              <w:top w:val="nil"/>
              <w:left w:val="nil"/>
              <w:bottom w:val="nil"/>
              <w:right w:val="nil"/>
            </w:tcBorders>
          </w:tcPr>
          <w:p w:rsidR="00982D93" w:rsidRDefault="00982D93" w:rsidP="008B0412">
            <w:pPr>
              <w:jc w:val="right"/>
              <w:rPr>
                <w:b/>
                <w:bCs/>
                <w:color w:val="000000"/>
                <w:sz w:val="20"/>
                <w:szCs w:val="20"/>
              </w:rPr>
            </w:pPr>
            <w:r>
              <w:rPr>
                <w:b/>
                <w:bCs/>
                <w:color w:val="000000"/>
                <w:sz w:val="20"/>
                <w:szCs w:val="20"/>
              </w:rPr>
              <w:t xml:space="preserve">$9,467 </w:t>
            </w:r>
          </w:p>
        </w:tc>
        <w:tc>
          <w:tcPr>
            <w:tcW w:w="150" w:type="pct"/>
            <w:tcBorders>
              <w:top w:val="nil"/>
              <w:left w:val="nil"/>
              <w:bottom w:val="nil"/>
              <w:right w:val="nil"/>
            </w:tcBorders>
            <w:noWrap/>
            <w:vAlign w:val="bottom"/>
          </w:tcPr>
          <w:p w:rsidR="00982D93" w:rsidRDefault="00982D93">
            <w:pPr>
              <w:jc w:val="right"/>
              <w:rPr>
                <w:color w:val="000000"/>
                <w:sz w:val="20"/>
                <w:szCs w:val="20"/>
              </w:rPr>
            </w:pPr>
          </w:p>
        </w:tc>
        <w:tc>
          <w:tcPr>
            <w:tcW w:w="828" w:type="pct"/>
            <w:tcBorders>
              <w:top w:val="nil"/>
              <w:left w:val="nil"/>
              <w:bottom w:val="nil"/>
              <w:right w:val="nil"/>
            </w:tcBorders>
          </w:tcPr>
          <w:p w:rsidR="00982D93" w:rsidRDefault="00982D93" w:rsidP="008B0412">
            <w:pPr>
              <w:jc w:val="right"/>
              <w:rPr>
                <w:color w:val="000000"/>
                <w:sz w:val="20"/>
                <w:szCs w:val="20"/>
              </w:rPr>
            </w:pPr>
            <w:r>
              <w:rPr>
                <w:color w:val="000000"/>
                <w:sz w:val="20"/>
                <w:szCs w:val="20"/>
              </w:rPr>
              <w:t xml:space="preserve">$10,712 </w:t>
            </w:r>
          </w:p>
        </w:tc>
      </w:tr>
      <w:tr w:rsidR="00982D93">
        <w:trPr>
          <w:trHeight w:val="300"/>
        </w:trPr>
        <w:tc>
          <w:tcPr>
            <w:tcW w:w="3043" w:type="pct"/>
            <w:tcBorders>
              <w:top w:val="nil"/>
              <w:left w:val="nil"/>
              <w:bottom w:val="nil"/>
              <w:right w:val="nil"/>
            </w:tcBorders>
            <w:noWrap/>
            <w:vAlign w:val="bottom"/>
          </w:tcPr>
          <w:p w:rsidR="00982D93" w:rsidRDefault="00982D93">
            <w:pPr>
              <w:rPr>
                <w:color w:val="000000"/>
                <w:sz w:val="20"/>
                <w:szCs w:val="20"/>
              </w:rPr>
            </w:pPr>
            <w:proofErr w:type="spellStart"/>
            <w:r>
              <w:rPr>
                <w:color w:val="000000"/>
                <w:sz w:val="20"/>
                <w:szCs w:val="20"/>
              </w:rPr>
              <w:t>SmartMusic</w:t>
            </w:r>
            <w:proofErr w:type="spellEnd"/>
            <w:r>
              <w:rPr>
                <w:color w:val="000000"/>
                <w:sz w:val="20"/>
                <w:szCs w:val="20"/>
              </w:rPr>
              <w:t xml:space="preserve"> revenue</w:t>
            </w:r>
          </w:p>
        </w:tc>
        <w:tc>
          <w:tcPr>
            <w:tcW w:w="150" w:type="pct"/>
            <w:tcBorders>
              <w:top w:val="nil"/>
              <w:left w:val="nil"/>
              <w:bottom w:val="nil"/>
              <w:right w:val="nil"/>
            </w:tcBorders>
            <w:noWrap/>
            <w:vAlign w:val="bottom"/>
          </w:tcPr>
          <w:p w:rsidR="00982D93" w:rsidRDefault="00982D93">
            <w:pPr>
              <w:rPr>
                <w:sz w:val="20"/>
                <w:szCs w:val="20"/>
              </w:rPr>
            </w:pPr>
          </w:p>
        </w:tc>
        <w:tc>
          <w:tcPr>
            <w:tcW w:w="829" w:type="pct"/>
            <w:tcBorders>
              <w:top w:val="nil"/>
              <w:left w:val="nil"/>
              <w:bottom w:val="nil"/>
              <w:right w:val="nil"/>
            </w:tcBorders>
            <w:noWrap/>
            <w:vAlign w:val="bottom"/>
          </w:tcPr>
          <w:p w:rsidR="00982D93" w:rsidRDefault="00982D93">
            <w:pPr>
              <w:jc w:val="right"/>
              <w:rPr>
                <w:b/>
                <w:bCs/>
                <w:color w:val="000000"/>
                <w:sz w:val="20"/>
                <w:szCs w:val="20"/>
              </w:rPr>
            </w:pPr>
            <w:r>
              <w:rPr>
                <w:b/>
                <w:bCs/>
                <w:color w:val="000000"/>
                <w:sz w:val="20"/>
                <w:szCs w:val="20"/>
              </w:rPr>
              <w:t xml:space="preserve">7,527 </w:t>
            </w:r>
          </w:p>
        </w:tc>
        <w:tc>
          <w:tcPr>
            <w:tcW w:w="150" w:type="pct"/>
            <w:tcBorders>
              <w:top w:val="nil"/>
              <w:left w:val="nil"/>
              <w:bottom w:val="nil"/>
              <w:right w:val="nil"/>
            </w:tcBorders>
            <w:noWrap/>
            <w:vAlign w:val="bottom"/>
          </w:tcPr>
          <w:p w:rsidR="00982D93" w:rsidRDefault="00982D93">
            <w:pPr>
              <w:jc w:val="right"/>
              <w:rPr>
                <w:color w:val="000000"/>
                <w:sz w:val="20"/>
                <w:szCs w:val="20"/>
              </w:rPr>
            </w:pPr>
          </w:p>
        </w:tc>
        <w:tc>
          <w:tcPr>
            <w:tcW w:w="828" w:type="pct"/>
            <w:tcBorders>
              <w:top w:val="nil"/>
              <w:left w:val="nil"/>
              <w:bottom w:val="nil"/>
              <w:right w:val="nil"/>
            </w:tcBorders>
            <w:noWrap/>
            <w:vAlign w:val="bottom"/>
          </w:tcPr>
          <w:p w:rsidR="00982D93" w:rsidRDefault="00982D93">
            <w:pPr>
              <w:jc w:val="right"/>
              <w:rPr>
                <w:color w:val="000000"/>
                <w:sz w:val="20"/>
                <w:szCs w:val="20"/>
              </w:rPr>
            </w:pPr>
            <w:r>
              <w:rPr>
                <w:color w:val="000000"/>
                <w:sz w:val="20"/>
                <w:szCs w:val="20"/>
              </w:rPr>
              <w:t xml:space="preserve">6,436 </w:t>
            </w:r>
          </w:p>
        </w:tc>
      </w:tr>
      <w:tr w:rsidR="00982D93">
        <w:trPr>
          <w:trHeight w:val="300"/>
        </w:trPr>
        <w:tc>
          <w:tcPr>
            <w:tcW w:w="3043" w:type="pct"/>
            <w:tcBorders>
              <w:top w:val="nil"/>
              <w:left w:val="nil"/>
              <w:bottom w:val="nil"/>
              <w:right w:val="nil"/>
            </w:tcBorders>
            <w:noWrap/>
            <w:vAlign w:val="bottom"/>
          </w:tcPr>
          <w:p w:rsidR="00982D93" w:rsidRDefault="00982D93">
            <w:pPr>
              <w:rPr>
                <w:color w:val="000000"/>
                <w:sz w:val="20"/>
                <w:szCs w:val="20"/>
              </w:rPr>
            </w:pPr>
            <w:r>
              <w:rPr>
                <w:color w:val="000000"/>
                <w:sz w:val="20"/>
                <w:szCs w:val="20"/>
              </w:rPr>
              <w:t>NET REVENUE</w:t>
            </w:r>
          </w:p>
        </w:tc>
        <w:tc>
          <w:tcPr>
            <w:tcW w:w="150" w:type="pct"/>
            <w:tcBorders>
              <w:top w:val="nil"/>
              <w:left w:val="nil"/>
              <w:bottom w:val="nil"/>
              <w:right w:val="nil"/>
            </w:tcBorders>
            <w:noWrap/>
            <w:vAlign w:val="bottom"/>
          </w:tcPr>
          <w:p w:rsidR="00982D93" w:rsidRDefault="00982D93">
            <w:pPr>
              <w:rPr>
                <w:sz w:val="20"/>
                <w:szCs w:val="20"/>
              </w:rPr>
            </w:pPr>
          </w:p>
        </w:tc>
        <w:tc>
          <w:tcPr>
            <w:tcW w:w="829" w:type="pct"/>
            <w:tcBorders>
              <w:top w:val="single" w:sz="8" w:space="0" w:color="auto"/>
              <w:left w:val="nil"/>
              <w:bottom w:val="nil"/>
              <w:right w:val="nil"/>
            </w:tcBorders>
            <w:noWrap/>
            <w:vAlign w:val="bottom"/>
          </w:tcPr>
          <w:p w:rsidR="00982D93" w:rsidRDefault="00982D93">
            <w:pPr>
              <w:jc w:val="right"/>
              <w:rPr>
                <w:b/>
                <w:bCs/>
                <w:color w:val="000000"/>
                <w:sz w:val="20"/>
                <w:szCs w:val="20"/>
              </w:rPr>
            </w:pPr>
            <w:r>
              <w:rPr>
                <w:b/>
                <w:bCs/>
                <w:color w:val="000000"/>
                <w:sz w:val="20"/>
                <w:szCs w:val="20"/>
              </w:rPr>
              <w:t xml:space="preserve">16,994 </w:t>
            </w:r>
          </w:p>
        </w:tc>
        <w:tc>
          <w:tcPr>
            <w:tcW w:w="150" w:type="pct"/>
            <w:tcBorders>
              <w:top w:val="nil"/>
              <w:left w:val="nil"/>
              <w:bottom w:val="nil"/>
              <w:right w:val="nil"/>
            </w:tcBorders>
            <w:noWrap/>
            <w:vAlign w:val="bottom"/>
          </w:tcPr>
          <w:p w:rsidR="00982D93" w:rsidRDefault="00982D93">
            <w:pPr>
              <w:jc w:val="right"/>
              <w:rPr>
                <w:color w:val="000000"/>
                <w:sz w:val="20"/>
                <w:szCs w:val="20"/>
              </w:rPr>
            </w:pPr>
          </w:p>
        </w:tc>
        <w:tc>
          <w:tcPr>
            <w:tcW w:w="828" w:type="pct"/>
            <w:tcBorders>
              <w:top w:val="single" w:sz="8" w:space="0" w:color="auto"/>
              <w:left w:val="nil"/>
              <w:bottom w:val="nil"/>
              <w:right w:val="nil"/>
            </w:tcBorders>
            <w:noWrap/>
            <w:vAlign w:val="bottom"/>
          </w:tcPr>
          <w:p w:rsidR="00982D93" w:rsidRDefault="00982D93">
            <w:pPr>
              <w:jc w:val="right"/>
              <w:rPr>
                <w:color w:val="000000"/>
                <w:sz w:val="20"/>
                <w:szCs w:val="20"/>
              </w:rPr>
            </w:pPr>
            <w:r>
              <w:rPr>
                <w:color w:val="000000"/>
                <w:sz w:val="20"/>
                <w:szCs w:val="20"/>
              </w:rPr>
              <w:t xml:space="preserve">17,148 </w:t>
            </w:r>
          </w:p>
        </w:tc>
      </w:tr>
      <w:tr w:rsidR="00982D93">
        <w:trPr>
          <w:trHeight w:val="289"/>
        </w:trPr>
        <w:tc>
          <w:tcPr>
            <w:tcW w:w="3043" w:type="pct"/>
            <w:tcBorders>
              <w:top w:val="nil"/>
              <w:left w:val="nil"/>
              <w:bottom w:val="nil"/>
              <w:right w:val="nil"/>
            </w:tcBorders>
            <w:noWrap/>
            <w:vAlign w:val="bottom"/>
          </w:tcPr>
          <w:p w:rsidR="00982D93" w:rsidRDefault="00982D93">
            <w:pPr>
              <w:rPr>
                <w:color w:val="000000"/>
                <w:sz w:val="20"/>
                <w:szCs w:val="20"/>
              </w:rPr>
            </w:pPr>
          </w:p>
        </w:tc>
        <w:tc>
          <w:tcPr>
            <w:tcW w:w="150" w:type="pct"/>
            <w:tcBorders>
              <w:top w:val="nil"/>
              <w:left w:val="nil"/>
              <w:bottom w:val="nil"/>
              <w:right w:val="nil"/>
            </w:tcBorders>
            <w:noWrap/>
            <w:vAlign w:val="bottom"/>
          </w:tcPr>
          <w:p w:rsidR="00982D93" w:rsidRDefault="00982D93">
            <w:pPr>
              <w:rPr>
                <w:sz w:val="20"/>
                <w:szCs w:val="20"/>
              </w:rPr>
            </w:pPr>
          </w:p>
        </w:tc>
        <w:tc>
          <w:tcPr>
            <w:tcW w:w="829" w:type="pct"/>
            <w:tcBorders>
              <w:top w:val="nil"/>
              <w:left w:val="nil"/>
              <w:bottom w:val="nil"/>
              <w:right w:val="nil"/>
            </w:tcBorders>
            <w:noWrap/>
            <w:vAlign w:val="bottom"/>
          </w:tcPr>
          <w:p w:rsidR="00982D93" w:rsidRDefault="00982D93">
            <w:pPr>
              <w:jc w:val="right"/>
              <w:rPr>
                <w:b/>
                <w:bCs/>
                <w:color w:val="000000"/>
                <w:sz w:val="20"/>
                <w:szCs w:val="20"/>
              </w:rPr>
            </w:pPr>
          </w:p>
        </w:tc>
        <w:tc>
          <w:tcPr>
            <w:tcW w:w="150" w:type="pct"/>
            <w:tcBorders>
              <w:top w:val="nil"/>
              <w:left w:val="nil"/>
              <w:bottom w:val="nil"/>
              <w:right w:val="nil"/>
            </w:tcBorders>
            <w:noWrap/>
            <w:vAlign w:val="bottom"/>
          </w:tcPr>
          <w:p w:rsidR="00982D93" w:rsidRDefault="00982D93">
            <w:pPr>
              <w:jc w:val="right"/>
              <w:rPr>
                <w:color w:val="000000"/>
                <w:sz w:val="20"/>
                <w:szCs w:val="20"/>
              </w:rPr>
            </w:pPr>
          </w:p>
        </w:tc>
        <w:tc>
          <w:tcPr>
            <w:tcW w:w="828" w:type="pct"/>
            <w:tcBorders>
              <w:top w:val="nil"/>
              <w:left w:val="nil"/>
              <w:bottom w:val="nil"/>
              <w:right w:val="nil"/>
            </w:tcBorders>
            <w:noWrap/>
            <w:vAlign w:val="bottom"/>
          </w:tcPr>
          <w:p w:rsidR="00982D93" w:rsidRDefault="00982D93">
            <w:pPr>
              <w:jc w:val="right"/>
              <w:rPr>
                <w:color w:val="000000"/>
                <w:sz w:val="20"/>
                <w:szCs w:val="20"/>
              </w:rPr>
            </w:pPr>
          </w:p>
        </w:tc>
      </w:tr>
      <w:tr w:rsidR="00982D93">
        <w:trPr>
          <w:trHeight w:val="300"/>
        </w:trPr>
        <w:tc>
          <w:tcPr>
            <w:tcW w:w="3043" w:type="pct"/>
            <w:tcBorders>
              <w:top w:val="nil"/>
              <w:left w:val="nil"/>
              <w:bottom w:val="nil"/>
              <w:right w:val="nil"/>
            </w:tcBorders>
            <w:noWrap/>
            <w:vAlign w:val="bottom"/>
          </w:tcPr>
          <w:p w:rsidR="00982D93" w:rsidRDefault="00982D93">
            <w:pPr>
              <w:rPr>
                <w:color w:val="000000"/>
                <w:sz w:val="20"/>
                <w:szCs w:val="20"/>
              </w:rPr>
            </w:pPr>
            <w:r>
              <w:rPr>
                <w:color w:val="000000"/>
                <w:sz w:val="20"/>
                <w:szCs w:val="20"/>
              </w:rPr>
              <w:t>COST OF REVENUES</w:t>
            </w:r>
          </w:p>
        </w:tc>
        <w:tc>
          <w:tcPr>
            <w:tcW w:w="150" w:type="pct"/>
            <w:tcBorders>
              <w:top w:val="nil"/>
              <w:left w:val="nil"/>
              <w:bottom w:val="nil"/>
              <w:right w:val="nil"/>
            </w:tcBorders>
            <w:noWrap/>
            <w:vAlign w:val="bottom"/>
          </w:tcPr>
          <w:p w:rsidR="00982D93" w:rsidRDefault="00982D93">
            <w:pPr>
              <w:rPr>
                <w:sz w:val="20"/>
                <w:szCs w:val="20"/>
              </w:rPr>
            </w:pPr>
          </w:p>
        </w:tc>
        <w:tc>
          <w:tcPr>
            <w:tcW w:w="829" w:type="pct"/>
            <w:tcBorders>
              <w:top w:val="nil"/>
              <w:left w:val="nil"/>
              <w:bottom w:val="single" w:sz="8" w:space="0" w:color="auto"/>
              <w:right w:val="nil"/>
            </w:tcBorders>
            <w:noWrap/>
            <w:vAlign w:val="bottom"/>
          </w:tcPr>
          <w:p w:rsidR="00982D93" w:rsidRDefault="00982D93" w:rsidP="00856584">
            <w:pPr>
              <w:jc w:val="right"/>
              <w:rPr>
                <w:b/>
                <w:bCs/>
                <w:color w:val="000000"/>
                <w:sz w:val="20"/>
                <w:szCs w:val="20"/>
              </w:rPr>
            </w:pPr>
            <w:r>
              <w:rPr>
                <w:b/>
                <w:bCs/>
                <w:color w:val="000000"/>
                <w:sz w:val="20"/>
                <w:szCs w:val="20"/>
              </w:rPr>
              <w:t xml:space="preserve">2,757 </w:t>
            </w:r>
          </w:p>
        </w:tc>
        <w:tc>
          <w:tcPr>
            <w:tcW w:w="150" w:type="pct"/>
            <w:tcBorders>
              <w:top w:val="nil"/>
              <w:left w:val="nil"/>
              <w:bottom w:val="nil"/>
              <w:right w:val="nil"/>
            </w:tcBorders>
            <w:noWrap/>
            <w:vAlign w:val="bottom"/>
          </w:tcPr>
          <w:p w:rsidR="00982D93" w:rsidRDefault="00982D93">
            <w:pPr>
              <w:jc w:val="right"/>
              <w:rPr>
                <w:color w:val="000000"/>
                <w:sz w:val="20"/>
                <w:szCs w:val="20"/>
              </w:rPr>
            </w:pPr>
          </w:p>
        </w:tc>
        <w:tc>
          <w:tcPr>
            <w:tcW w:w="828" w:type="pct"/>
            <w:tcBorders>
              <w:top w:val="nil"/>
              <w:left w:val="nil"/>
              <w:bottom w:val="single" w:sz="8" w:space="0" w:color="auto"/>
              <w:right w:val="nil"/>
            </w:tcBorders>
            <w:noWrap/>
            <w:vAlign w:val="bottom"/>
          </w:tcPr>
          <w:p w:rsidR="00982D93" w:rsidRDefault="00982D93">
            <w:pPr>
              <w:jc w:val="right"/>
              <w:rPr>
                <w:color w:val="000000"/>
                <w:sz w:val="20"/>
                <w:szCs w:val="20"/>
              </w:rPr>
            </w:pPr>
            <w:r>
              <w:rPr>
                <w:color w:val="000000"/>
                <w:sz w:val="20"/>
                <w:szCs w:val="20"/>
              </w:rPr>
              <w:t xml:space="preserve">2,833 </w:t>
            </w:r>
          </w:p>
        </w:tc>
      </w:tr>
      <w:tr w:rsidR="00982D93" w:rsidTr="00394A67">
        <w:trPr>
          <w:trHeight w:val="289"/>
        </w:trPr>
        <w:tc>
          <w:tcPr>
            <w:tcW w:w="3043" w:type="pct"/>
            <w:tcBorders>
              <w:top w:val="nil"/>
              <w:left w:val="nil"/>
              <w:bottom w:val="nil"/>
              <w:right w:val="nil"/>
            </w:tcBorders>
            <w:noWrap/>
            <w:vAlign w:val="bottom"/>
          </w:tcPr>
          <w:p w:rsidR="00982D93" w:rsidRDefault="00982D93">
            <w:pPr>
              <w:rPr>
                <w:color w:val="000000"/>
                <w:sz w:val="20"/>
                <w:szCs w:val="20"/>
              </w:rPr>
            </w:pPr>
          </w:p>
        </w:tc>
        <w:tc>
          <w:tcPr>
            <w:tcW w:w="150" w:type="pct"/>
            <w:tcBorders>
              <w:top w:val="nil"/>
              <w:left w:val="nil"/>
              <w:bottom w:val="nil"/>
              <w:right w:val="nil"/>
            </w:tcBorders>
            <w:noWrap/>
            <w:vAlign w:val="bottom"/>
          </w:tcPr>
          <w:p w:rsidR="00982D93" w:rsidRDefault="00982D93">
            <w:pPr>
              <w:rPr>
                <w:sz w:val="20"/>
                <w:szCs w:val="20"/>
              </w:rPr>
            </w:pPr>
          </w:p>
        </w:tc>
        <w:tc>
          <w:tcPr>
            <w:tcW w:w="829" w:type="pct"/>
            <w:tcBorders>
              <w:top w:val="nil"/>
              <w:left w:val="nil"/>
              <w:right w:val="nil"/>
            </w:tcBorders>
            <w:noWrap/>
            <w:vAlign w:val="bottom"/>
          </w:tcPr>
          <w:p w:rsidR="00982D93" w:rsidRDefault="00982D93">
            <w:pPr>
              <w:jc w:val="right"/>
              <w:rPr>
                <w:b/>
                <w:bCs/>
                <w:color w:val="000000"/>
                <w:sz w:val="20"/>
                <w:szCs w:val="20"/>
              </w:rPr>
            </w:pPr>
          </w:p>
        </w:tc>
        <w:tc>
          <w:tcPr>
            <w:tcW w:w="150" w:type="pct"/>
            <w:tcBorders>
              <w:top w:val="nil"/>
              <w:left w:val="nil"/>
              <w:bottom w:val="nil"/>
              <w:right w:val="nil"/>
            </w:tcBorders>
            <w:noWrap/>
            <w:vAlign w:val="bottom"/>
          </w:tcPr>
          <w:p w:rsidR="00982D93" w:rsidRDefault="00982D93">
            <w:pPr>
              <w:jc w:val="right"/>
              <w:rPr>
                <w:color w:val="000000"/>
                <w:sz w:val="20"/>
                <w:szCs w:val="20"/>
              </w:rPr>
            </w:pPr>
          </w:p>
        </w:tc>
        <w:tc>
          <w:tcPr>
            <w:tcW w:w="828" w:type="pct"/>
            <w:tcBorders>
              <w:top w:val="nil"/>
              <w:left w:val="nil"/>
              <w:right w:val="nil"/>
            </w:tcBorders>
            <w:noWrap/>
            <w:vAlign w:val="bottom"/>
          </w:tcPr>
          <w:p w:rsidR="00982D93" w:rsidRDefault="00982D93">
            <w:pPr>
              <w:jc w:val="right"/>
              <w:rPr>
                <w:color w:val="000000"/>
                <w:sz w:val="20"/>
                <w:szCs w:val="20"/>
              </w:rPr>
            </w:pPr>
          </w:p>
        </w:tc>
      </w:tr>
      <w:tr w:rsidR="00982D93" w:rsidTr="00394A67">
        <w:trPr>
          <w:trHeight w:val="300"/>
        </w:trPr>
        <w:tc>
          <w:tcPr>
            <w:tcW w:w="3043" w:type="pct"/>
            <w:tcBorders>
              <w:top w:val="nil"/>
              <w:left w:val="nil"/>
              <w:bottom w:val="nil"/>
              <w:right w:val="nil"/>
            </w:tcBorders>
            <w:noWrap/>
            <w:vAlign w:val="bottom"/>
          </w:tcPr>
          <w:p w:rsidR="00982D93" w:rsidRDefault="00982D93">
            <w:pPr>
              <w:rPr>
                <w:color w:val="000000"/>
                <w:sz w:val="20"/>
                <w:szCs w:val="20"/>
              </w:rPr>
            </w:pPr>
            <w:r>
              <w:rPr>
                <w:color w:val="000000"/>
                <w:sz w:val="20"/>
                <w:szCs w:val="20"/>
              </w:rPr>
              <w:t>GROSS PROFIT</w:t>
            </w:r>
          </w:p>
        </w:tc>
        <w:tc>
          <w:tcPr>
            <w:tcW w:w="150" w:type="pct"/>
            <w:tcBorders>
              <w:top w:val="nil"/>
              <w:left w:val="nil"/>
              <w:bottom w:val="nil"/>
              <w:right w:val="nil"/>
            </w:tcBorders>
            <w:noWrap/>
            <w:vAlign w:val="bottom"/>
          </w:tcPr>
          <w:p w:rsidR="00982D93" w:rsidRDefault="00982D93">
            <w:pPr>
              <w:rPr>
                <w:sz w:val="20"/>
                <w:szCs w:val="20"/>
              </w:rPr>
            </w:pPr>
          </w:p>
        </w:tc>
        <w:tc>
          <w:tcPr>
            <w:tcW w:w="829" w:type="pct"/>
            <w:tcBorders>
              <w:top w:val="nil"/>
              <w:left w:val="nil"/>
              <w:bottom w:val="single" w:sz="4" w:space="0" w:color="auto"/>
              <w:right w:val="nil"/>
            </w:tcBorders>
            <w:noWrap/>
            <w:vAlign w:val="bottom"/>
          </w:tcPr>
          <w:p w:rsidR="00982D93" w:rsidRDefault="00982D93" w:rsidP="00856584">
            <w:pPr>
              <w:jc w:val="right"/>
              <w:rPr>
                <w:b/>
                <w:bCs/>
                <w:color w:val="000000"/>
                <w:sz w:val="20"/>
                <w:szCs w:val="20"/>
              </w:rPr>
            </w:pPr>
            <w:r>
              <w:rPr>
                <w:b/>
                <w:bCs/>
                <w:color w:val="000000"/>
                <w:sz w:val="20"/>
                <w:szCs w:val="20"/>
              </w:rPr>
              <w:t xml:space="preserve">14,237 </w:t>
            </w:r>
          </w:p>
        </w:tc>
        <w:tc>
          <w:tcPr>
            <w:tcW w:w="150" w:type="pct"/>
            <w:tcBorders>
              <w:top w:val="nil"/>
              <w:left w:val="nil"/>
              <w:bottom w:val="nil"/>
              <w:right w:val="nil"/>
            </w:tcBorders>
            <w:noWrap/>
            <w:vAlign w:val="bottom"/>
          </w:tcPr>
          <w:p w:rsidR="00982D93" w:rsidRDefault="00982D93">
            <w:pPr>
              <w:jc w:val="right"/>
              <w:rPr>
                <w:color w:val="000000"/>
                <w:sz w:val="20"/>
                <w:szCs w:val="20"/>
              </w:rPr>
            </w:pPr>
          </w:p>
        </w:tc>
        <w:tc>
          <w:tcPr>
            <w:tcW w:w="828" w:type="pct"/>
            <w:tcBorders>
              <w:top w:val="nil"/>
              <w:left w:val="nil"/>
              <w:bottom w:val="single" w:sz="4" w:space="0" w:color="auto"/>
              <w:right w:val="nil"/>
            </w:tcBorders>
            <w:noWrap/>
            <w:vAlign w:val="bottom"/>
          </w:tcPr>
          <w:p w:rsidR="00982D93" w:rsidRDefault="00982D93">
            <w:pPr>
              <w:jc w:val="right"/>
              <w:rPr>
                <w:color w:val="000000"/>
                <w:sz w:val="20"/>
                <w:szCs w:val="20"/>
              </w:rPr>
            </w:pPr>
            <w:r>
              <w:rPr>
                <w:color w:val="000000"/>
                <w:sz w:val="20"/>
                <w:szCs w:val="20"/>
              </w:rPr>
              <w:t xml:space="preserve">14,315 </w:t>
            </w:r>
          </w:p>
        </w:tc>
      </w:tr>
      <w:tr w:rsidR="00982D93" w:rsidTr="00394A67">
        <w:trPr>
          <w:trHeight w:val="300"/>
        </w:trPr>
        <w:tc>
          <w:tcPr>
            <w:tcW w:w="3043" w:type="pct"/>
            <w:tcBorders>
              <w:top w:val="nil"/>
              <w:left w:val="nil"/>
              <w:bottom w:val="nil"/>
              <w:right w:val="nil"/>
            </w:tcBorders>
            <w:noWrap/>
            <w:vAlign w:val="bottom"/>
          </w:tcPr>
          <w:p w:rsidR="00982D93" w:rsidRDefault="00982D93">
            <w:pPr>
              <w:rPr>
                <w:color w:val="000000"/>
                <w:sz w:val="20"/>
                <w:szCs w:val="20"/>
              </w:rPr>
            </w:pPr>
          </w:p>
        </w:tc>
        <w:tc>
          <w:tcPr>
            <w:tcW w:w="150" w:type="pct"/>
            <w:tcBorders>
              <w:top w:val="nil"/>
              <w:left w:val="nil"/>
              <w:bottom w:val="nil"/>
              <w:right w:val="nil"/>
            </w:tcBorders>
            <w:noWrap/>
            <w:vAlign w:val="bottom"/>
          </w:tcPr>
          <w:p w:rsidR="00982D93" w:rsidRDefault="00982D93">
            <w:pPr>
              <w:rPr>
                <w:sz w:val="20"/>
                <w:szCs w:val="20"/>
              </w:rPr>
            </w:pPr>
          </w:p>
        </w:tc>
        <w:tc>
          <w:tcPr>
            <w:tcW w:w="829" w:type="pct"/>
            <w:tcBorders>
              <w:top w:val="single" w:sz="4" w:space="0" w:color="auto"/>
              <w:left w:val="nil"/>
              <w:bottom w:val="nil"/>
              <w:right w:val="nil"/>
            </w:tcBorders>
            <w:noWrap/>
            <w:vAlign w:val="bottom"/>
          </w:tcPr>
          <w:p w:rsidR="00982D93" w:rsidRDefault="00982D93">
            <w:pPr>
              <w:jc w:val="right"/>
              <w:rPr>
                <w:b/>
                <w:bCs/>
                <w:color w:val="000000"/>
                <w:sz w:val="20"/>
                <w:szCs w:val="20"/>
              </w:rPr>
            </w:pPr>
          </w:p>
        </w:tc>
        <w:tc>
          <w:tcPr>
            <w:tcW w:w="150" w:type="pct"/>
            <w:tcBorders>
              <w:top w:val="nil"/>
              <w:left w:val="nil"/>
              <w:bottom w:val="nil"/>
              <w:right w:val="nil"/>
            </w:tcBorders>
            <w:noWrap/>
            <w:vAlign w:val="bottom"/>
          </w:tcPr>
          <w:p w:rsidR="00982D93" w:rsidRDefault="00982D93">
            <w:pPr>
              <w:jc w:val="right"/>
              <w:rPr>
                <w:color w:val="000000"/>
                <w:sz w:val="20"/>
                <w:szCs w:val="20"/>
              </w:rPr>
            </w:pPr>
          </w:p>
        </w:tc>
        <w:tc>
          <w:tcPr>
            <w:tcW w:w="828" w:type="pct"/>
            <w:tcBorders>
              <w:top w:val="single" w:sz="4" w:space="0" w:color="auto"/>
              <w:left w:val="nil"/>
              <w:bottom w:val="nil"/>
              <w:right w:val="nil"/>
            </w:tcBorders>
            <w:noWrap/>
            <w:vAlign w:val="bottom"/>
          </w:tcPr>
          <w:p w:rsidR="00982D93" w:rsidRDefault="00982D93">
            <w:pPr>
              <w:jc w:val="right"/>
              <w:rPr>
                <w:color w:val="000000"/>
                <w:sz w:val="20"/>
                <w:szCs w:val="20"/>
              </w:rPr>
            </w:pPr>
          </w:p>
        </w:tc>
      </w:tr>
      <w:tr w:rsidR="00982D93">
        <w:trPr>
          <w:trHeight w:val="300"/>
        </w:trPr>
        <w:tc>
          <w:tcPr>
            <w:tcW w:w="3043" w:type="pct"/>
            <w:tcBorders>
              <w:top w:val="nil"/>
              <w:left w:val="nil"/>
              <w:bottom w:val="nil"/>
              <w:right w:val="nil"/>
            </w:tcBorders>
            <w:noWrap/>
            <w:vAlign w:val="bottom"/>
          </w:tcPr>
          <w:p w:rsidR="00982D93" w:rsidRDefault="00982D93">
            <w:pPr>
              <w:rPr>
                <w:color w:val="000000"/>
                <w:sz w:val="20"/>
                <w:szCs w:val="20"/>
              </w:rPr>
            </w:pPr>
            <w:r>
              <w:rPr>
                <w:color w:val="000000"/>
                <w:sz w:val="20"/>
                <w:szCs w:val="20"/>
              </w:rPr>
              <w:t>OPERATING EXPENSES:</w:t>
            </w:r>
          </w:p>
        </w:tc>
        <w:tc>
          <w:tcPr>
            <w:tcW w:w="150" w:type="pct"/>
            <w:tcBorders>
              <w:top w:val="nil"/>
              <w:left w:val="nil"/>
              <w:bottom w:val="nil"/>
              <w:right w:val="nil"/>
            </w:tcBorders>
            <w:noWrap/>
            <w:vAlign w:val="bottom"/>
          </w:tcPr>
          <w:p w:rsidR="00982D93" w:rsidRDefault="00982D93">
            <w:pPr>
              <w:rPr>
                <w:sz w:val="20"/>
                <w:szCs w:val="20"/>
              </w:rPr>
            </w:pPr>
          </w:p>
        </w:tc>
        <w:tc>
          <w:tcPr>
            <w:tcW w:w="829" w:type="pct"/>
            <w:tcBorders>
              <w:top w:val="nil"/>
              <w:left w:val="nil"/>
              <w:bottom w:val="nil"/>
              <w:right w:val="nil"/>
            </w:tcBorders>
            <w:noWrap/>
            <w:vAlign w:val="bottom"/>
          </w:tcPr>
          <w:p w:rsidR="00982D93" w:rsidRDefault="00982D93">
            <w:pPr>
              <w:jc w:val="right"/>
              <w:rPr>
                <w:b/>
                <w:bCs/>
                <w:color w:val="000000"/>
                <w:sz w:val="20"/>
                <w:szCs w:val="20"/>
              </w:rPr>
            </w:pPr>
          </w:p>
        </w:tc>
        <w:tc>
          <w:tcPr>
            <w:tcW w:w="150" w:type="pct"/>
            <w:tcBorders>
              <w:top w:val="nil"/>
              <w:left w:val="nil"/>
              <w:bottom w:val="nil"/>
              <w:right w:val="nil"/>
            </w:tcBorders>
            <w:noWrap/>
            <w:vAlign w:val="bottom"/>
          </w:tcPr>
          <w:p w:rsidR="00982D93" w:rsidRDefault="00982D93">
            <w:pPr>
              <w:jc w:val="right"/>
              <w:rPr>
                <w:color w:val="000000"/>
                <w:sz w:val="20"/>
                <w:szCs w:val="20"/>
              </w:rPr>
            </w:pPr>
          </w:p>
        </w:tc>
        <w:tc>
          <w:tcPr>
            <w:tcW w:w="828" w:type="pct"/>
            <w:tcBorders>
              <w:top w:val="nil"/>
              <w:left w:val="nil"/>
              <w:bottom w:val="nil"/>
              <w:right w:val="nil"/>
            </w:tcBorders>
            <w:noWrap/>
            <w:vAlign w:val="bottom"/>
          </w:tcPr>
          <w:p w:rsidR="00982D93" w:rsidRDefault="00982D93">
            <w:pPr>
              <w:jc w:val="right"/>
              <w:rPr>
                <w:color w:val="000000"/>
                <w:sz w:val="20"/>
                <w:szCs w:val="20"/>
              </w:rPr>
            </w:pPr>
          </w:p>
        </w:tc>
      </w:tr>
      <w:tr w:rsidR="00982D93">
        <w:trPr>
          <w:trHeight w:val="300"/>
        </w:trPr>
        <w:tc>
          <w:tcPr>
            <w:tcW w:w="3043" w:type="pct"/>
            <w:tcBorders>
              <w:top w:val="nil"/>
              <w:left w:val="nil"/>
              <w:bottom w:val="nil"/>
              <w:right w:val="nil"/>
            </w:tcBorders>
            <w:noWrap/>
            <w:vAlign w:val="bottom"/>
          </w:tcPr>
          <w:p w:rsidR="00982D93" w:rsidRDefault="00982D93">
            <w:pPr>
              <w:rPr>
                <w:color w:val="000000"/>
                <w:sz w:val="20"/>
                <w:szCs w:val="20"/>
              </w:rPr>
            </w:pPr>
            <w:r>
              <w:rPr>
                <w:color w:val="000000"/>
                <w:sz w:val="20"/>
                <w:szCs w:val="20"/>
              </w:rPr>
              <w:t>Development expenses</w:t>
            </w:r>
          </w:p>
        </w:tc>
        <w:tc>
          <w:tcPr>
            <w:tcW w:w="150" w:type="pct"/>
            <w:tcBorders>
              <w:top w:val="nil"/>
              <w:left w:val="nil"/>
              <w:bottom w:val="nil"/>
              <w:right w:val="nil"/>
            </w:tcBorders>
            <w:noWrap/>
            <w:vAlign w:val="bottom"/>
          </w:tcPr>
          <w:p w:rsidR="00982D93" w:rsidRDefault="00982D93">
            <w:pPr>
              <w:rPr>
                <w:sz w:val="20"/>
                <w:szCs w:val="20"/>
              </w:rPr>
            </w:pPr>
          </w:p>
        </w:tc>
        <w:tc>
          <w:tcPr>
            <w:tcW w:w="829" w:type="pct"/>
            <w:tcBorders>
              <w:top w:val="nil"/>
              <w:left w:val="nil"/>
              <w:bottom w:val="nil"/>
              <w:right w:val="nil"/>
            </w:tcBorders>
            <w:noWrap/>
            <w:vAlign w:val="bottom"/>
          </w:tcPr>
          <w:p w:rsidR="00982D93" w:rsidRDefault="00982D93">
            <w:pPr>
              <w:jc w:val="right"/>
              <w:rPr>
                <w:b/>
                <w:bCs/>
                <w:color w:val="000000"/>
                <w:sz w:val="20"/>
                <w:szCs w:val="20"/>
              </w:rPr>
            </w:pPr>
            <w:r>
              <w:rPr>
                <w:b/>
                <w:bCs/>
                <w:color w:val="000000"/>
                <w:sz w:val="20"/>
                <w:szCs w:val="20"/>
              </w:rPr>
              <w:t xml:space="preserve">4,638 </w:t>
            </w:r>
          </w:p>
        </w:tc>
        <w:tc>
          <w:tcPr>
            <w:tcW w:w="150" w:type="pct"/>
            <w:tcBorders>
              <w:top w:val="nil"/>
              <w:left w:val="nil"/>
              <w:bottom w:val="nil"/>
              <w:right w:val="nil"/>
            </w:tcBorders>
            <w:noWrap/>
            <w:vAlign w:val="bottom"/>
          </w:tcPr>
          <w:p w:rsidR="00982D93" w:rsidRDefault="00982D93">
            <w:pPr>
              <w:jc w:val="right"/>
              <w:rPr>
                <w:color w:val="000000"/>
                <w:sz w:val="20"/>
                <w:szCs w:val="20"/>
              </w:rPr>
            </w:pPr>
          </w:p>
        </w:tc>
        <w:tc>
          <w:tcPr>
            <w:tcW w:w="828" w:type="pct"/>
            <w:tcBorders>
              <w:top w:val="nil"/>
              <w:left w:val="nil"/>
              <w:bottom w:val="nil"/>
              <w:right w:val="nil"/>
            </w:tcBorders>
            <w:noWrap/>
            <w:vAlign w:val="bottom"/>
          </w:tcPr>
          <w:p w:rsidR="00982D93" w:rsidRDefault="00982D93">
            <w:pPr>
              <w:jc w:val="right"/>
              <w:rPr>
                <w:color w:val="000000"/>
                <w:sz w:val="20"/>
                <w:szCs w:val="20"/>
              </w:rPr>
            </w:pPr>
            <w:r>
              <w:rPr>
                <w:color w:val="000000"/>
                <w:sz w:val="20"/>
                <w:szCs w:val="20"/>
              </w:rPr>
              <w:t xml:space="preserve">5,524 </w:t>
            </w:r>
          </w:p>
        </w:tc>
      </w:tr>
      <w:tr w:rsidR="00982D93" w:rsidTr="00223B45">
        <w:trPr>
          <w:trHeight w:val="300"/>
        </w:trPr>
        <w:tc>
          <w:tcPr>
            <w:tcW w:w="3043" w:type="pct"/>
            <w:tcBorders>
              <w:top w:val="nil"/>
              <w:left w:val="nil"/>
              <w:bottom w:val="nil"/>
              <w:right w:val="nil"/>
            </w:tcBorders>
            <w:noWrap/>
            <w:vAlign w:val="bottom"/>
          </w:tcPr>
          <w:p w:rsidR="00982D93" w:rsidRDefault="00982D93">
            <w:pPr>
              <w:rPr>
                <w:color w:val="000000"/>
                <w:sz w:val="20"/>
                <w:szCs w:val="20"/>
              </w:rPr>
            </w:pPr>
            <w:r>
              <w:rPr>
                <w:color w:val="000000"/>
                <w:sz w:val="20"/>
                <w:szCs w:val="20"/>
              </w:rPr>
              <w:t>Selling and marketing expenses</w:t>
            </w:r>
          </w:p>
        </w:tc>
        <w:tc>
          <w:tcPr>
            <w:tcW w:w="150" w:type="pct"/>
            <w:tcBorders>
              <w:top w:val="nil"/>
              <w:left w:val="nil"/>
              <w:bottom w:val="nil"/>
              <w:right w:val="nil"/>
            </w:tcBorders>
            <w:noWrap/>
            <w:vAlign w:val="bottom"/>
          </w:tcPr>
          <w:p w:rsidR="00982D93" w:rsidRDefault="00982D93">
            <w:pPr>
              <w:rPr>
                <w:sz w:val="20"/>
                <w:szCs w:val="20"/>
              </w:rPr>
            </w:pPr>
          </w:p>
        </w:tc>
        <w:tc>
          <w:tcPr>
            <w:tcW w:w="829" w:type="pct"/>
            <w:tcBorders>
              <w:top w:val="nil"/>
              <w:left w:val="nil"/>
              <w:right w:val="nil"/>
            </w:tcBorders>
            <w:noWrap/>
            <w:vAlign w:val="bottom"/>
          </w:tcPr>
          <w:p w:rsidR="00982D93" w:rsidRDefault="00982D93">
            <w:pPr>
              <w:jc w:val="right"/>
              <w:rPr>
                <w:b/>
                <w:bCs/>
                <w:color w:val="000000"/>
                <w:sz w:val="20"/>
                <w:szCs w:val="20"/>
              </w:rPr>
            </w:pPr>
            <w:r>
              <w:rPr>
                <w:b/>
                <w:bCs/>
                <w:color w:val="000000"/>
                <w:sz w:val="20"/>
                <w:szCs w:val="20"/>
              </w:rPr>
              <w:t xml:space="preserve">5,182 </w:t>
            </w:r>
          </w:p>
        </w:tc>
        <w:tc>
          <w:tcPr>
            <w:tcW w:w="150" w:type="pct"/>
            <w:tcBorders>
              <w:top w:val="nil"/>
              <w:left w:val="nil"/>
              <w:bottom w:val="nil"/>
              <w:right w:val="nil"/>
            </w:tcBorders>
            <w:noWrap/>
            <w:vAlign w:val="bottom"/>
          </w:tcPr>
          <w:p w:rsidR="00982D93" w:rsidRDefault="00982D93">
            <w:pPr>
              <w:jc w:val="right"/>
              <w:rPr>
                <w:color w:val="000000"/>
                <w:sz w:val="20"/>
                <w:szCs w:val="20"/>
              </w:rPr>
            </w:pPr>
          </w:p>
        </w:tc>
        <w:tc>
          <w:tcPr>
            <w:tcW w:w="828" w:type="pct"/>
            <w:tcBorders>
              <w:top w:val="nil"/>
              <w:left w:val="nil"/>
              <w:right w:val="nil"/>
            </w:tcBorders>
            <w:noWrap/>
            <w:vAlign w:val="bottom"/>
          </w:tcPr>
          <w:p w:rsidR="00982D93" w:rsidRDefault="00982D93">
            <w:pPr>
              <w:jc w:val="right"/>
              <w:rPr>
                <w:color w:val="000000"/>
                <w:sz w:val="20"/>
                <w:szCs w:val="20"/>
              </w:rPr>
            </w:pPr>
            <w:r>
              <w:rPr>
                <w:color w:val="000000"/>
                <w:sz w:val="20"/>
                <w:szCs w:val="20"/>
              </w:rPr>
              <w:t xml:space="preserve">4,574 </w:t>
            </w:r>
          </w:p>
        </w:tc>
      </w:tr>
      <w:tr w:rsidR="00982D93" w:rsidTr="00223B45">
        <w:trPr>
          <w:trHeight w:val="300"/>
        </w:trPr>
        <w:tc>
          <w:tcPr>
            <w:tcW w:w="3043" w:type="pct"/>
            <w:tcBorders>
              <w:top w:val="nil"/>
              <w:left w:val="nil"/>
              <w:bottom w:val="nil"/>
              <w:right w:val="nil"/>
            </w:tcBorders>
            <w:noWrap/>
            <w:vAlign w:val="bottom"/>
          </w:tcPr>
          <w:p w:rsidR="00982D93" w:rsidRDefault="00982D93">
            <w:pPr>
              <w:rPr>
                <w:color w:val="000000"/>
                <w:sz w:val="20"/>
                <w:szCs w:val="20"/>
              </w:rPr>
            </w:pPr>
            <w:r>
              <w:rPr>
                <w:color w:val="000000"/>
                <w:sz w:val="20"/>
                <w:szCs w:val="20"/>
              </w:rPr>
              <w:t>General and administrative expenses</w:t>
            </w:r>
          </w:p>
        </w:tc>
        <w:tc>
          <w:tcPr>
            <w:tcW w:w="150" w:type="pct"/>
            <w:tcBorders>
              <w:top w:val="nil"/>
              <w:left w:val="nil"/>
              <w:bottom w:val="nil"/>
              <w:right w:val="nil"/>
            </w:tcBorders>
            <w:noWrap/>
            <w:vAlign w:val="bottom"/>
          </w:tcPr>
          <w:p w:rsidR="00982D93" w:rsidRDefault="00982D93">
            <w:pPr>
              <w:rPr>
                <w:sz w:val="20"/>
                <w:szCs w:val="20"/>
              </w:rPr>
            </w:pPr>
          </w:p>
        </w:tc>
        <w:tc>
          <w:tcPr>
            <w:tcW w:w="829" w:type="pct"/>
            <w:tcBorders>
              <w:top w:val="nil"/>
              <w:left w:val="nil"/>
              <w:right w:val="nil"/>
            </w:tcBorders>
            <w:noWrap/>
            <w:vAlign w:val="bottom"/>
          </w:tcPr>
          <w:p w:rsidR="00982D93" w:rsidRDefault="00982D93" w:rsidP="00856584">
            <w:pPr>
              <w:jc w:val="right"/>
              <w:rPr>
                <w:b/>
                <w:bCs/>
                <w:color w:val="000000"/>
                <w:sz w:val="20"/>
                <w:szCs w:val="20"/>
              </w:rPr>
            </w:pPr>
            <w:r>
              <w:rPr>
                <w:b/>
                <w:bCs/>
                <w:color w:val="000000"/>
                <w:sz w:val="20"/>
                <w:szCs w:val="20"/>
              </w:rPr>
              <w:t xml:space="preserve">4,053 </w:t>
            </w:r>
          </w:p>
        </w:tc>
        <w:tc>
          <w:tcPr>
            <w:tcW w:w="150" w:type="pct"/>
            <w:tcBorders>
              <w:top w:val="nil"/>
              <w:left w:val="nil"/>
              <w:bottom w:val="nil"/>
              <w:right w:val="nil"/>
            </w:tcBorders>
            <w:noWrap/>
            <w:vAlign w:val="bottom"/>
          </w:tcPr>
          <w:p w:rsidR="00982D93" w:rsidRDefault="00982D93">
            <w:pPr>
              <w:jc w:val="right"/>
              <w:rPr>
                <w:color w:val="000000"/>
                <w:sz w:val="20"/>
                <w:szCs w:val="20"/>
              </w:rPr>
            </w:pPr>
          </w:p>
        </w:tc>
        <w:tc>
          <w:tcPr>
            <w:tcW w:w="828" w:type="pct"/>
            <w:tcBorders>
              <w:top w:val="nil"/>
              <w:left w:val="nil"/>
              <w:right w:val="nil"/>
            </w:tcBorders>
            <w:noWrap/>
            <w:vAlign w:val="bottom"/>
          </w:tcPr>
          <w:p w:rsidR="00982D93" w:rsidRDefault="00982D93">
            <w:pPr>
              <w:jc w:val="right"/>
              <w:rPr>
                <w:bCs/>
                <w:color w:val="000000"/>
                <w:sz w:val="20"/>
                <w:szCs w:val="20"/>
              </w:rPr>
            </w:pPr>
            <w:r>
              <w:rPr>
                <w:color w:val="000000"/>
                <w:sz w:val="20"/>
                <w:szCs w:val="20"/>
              </w:rPr>
              <w:t xml:space="preserve">3,741 </w:t>
            </w:r>
          </w:p>
        </w:tc>
      </w:tr>
      <w:tr w:rsidR="00982D93" w:rsidTr="00223B45">
        <w:trPr>
          <w:trHeight w:val="300"/>
        </w:trPr>
        <w:tc>
          <w:tcPr>
            <w:tcW w:w="3043" w:type="pct"/>
            <w:tcBorders>
              <w:top w:val="nil"/>
              <w:left w:val="nil"/>
              <w:bottom w:val="nil"/>
              <w:right w:val="nil"/>
            </w:tcBorders>
            <w:noWrap/>
            <w:vAlign w:val="bottom"/>
          </w:tcPr>
          <w:p w:rsidR="00982D93" w:rsidRDefault="00982D93">
            <w:pPr>
              <w:rPr>
                <w:color w:val="000000"/>
                <w:sz w:val="20"/>
                <w:szCs w:val="20"/>
              </w:rPr>
            </w:pPr>
            <w:r>
              <w:rPr>
                <w:color w:val="000000"/>
                <w:sz w:val="20"/>
                <w:szCs w:val="20"/>
              </w:rPr>
              <w:t>Patent litigation expense</w:t>
            </w:r>
          </w:p>
        </w:tc>
        <w:tc>
          <w:tcPr>
            <w:tcW w:w="150" w:type="pct"/>
            <w:tcBorders>
              <w:top w:val="nil"/>
              <w:left w:val="nil"/>
              <w:bottom w:val="nil"/>
              <w:right w:val="nil"/>
            </w:tcBorders>
            <w:noWrap/>
            <w:vAlign w:val="bottom"/>
          </w:tcPr>
          <w:p w:rsidR="00982D93" w:rsidRDefault="00982D93">
            <w:pPr>
              <w:rPr>
                <w:sz w:val="20"/>
                <w:szCs w:val="20"/>
              </w:rPr>
            </w:pPr>
          </w:p>
        </w:tc>
        <w:tc>
          <w:tcPr>
            <w:tcW w:w="829" w:type="pct"/>
            <w:tcBorders>
              <w:left w:val="nil"/>
              <w:bottom w:val="single" w:sz="8" w:space="0" w:color="auto"/>
              <w:right w:val="nil"/>
            </w:tcBorders>
            <w:noWrap/>
            <w:vAlign w:val="bottom"/>
          </w:tcPr>
          <w:p w:rsidR="00982D93" w:rsidRDefault="00982D93" w:rsidP="00856584">
            <w:pPr>
              <w:jc w:val="right"/>
              <w:rPr>
                <w:b/>
                <w:bCs/>
                <w:color w:val="000000"/>
                <w:sz w:val="20"/>
                <w:szCs w:val="20"/>
              </w:rPr>
            </w:pPr>
            <w:r>
              <w:rPr>
                <w:b/>
                <w:bCs/>
                <w:color w:val="000000"/>
                <w:sz w:val="20"/>
                <w:szCs w:val="20"/>
              </w:rPr>
              <w:t xml:space="preserve">225 </w:t>
            </w:r>
          </w:p>
        </w:tc>
        <w:tc>
          <w:tcPr>
            <w:tcW w:w="150" w:type="pct"/>
            <w:tcBorders>
              <w:top w:val="nil"/>
              <w:left w:val="nil"/>
              <w:bottom w:val="nil"/>
              <w:right w:val="nil"/>
            </w:tcBorders>
            <w:noWrap/>
            <w:vAlign w:val="bottom"/>
          </w:tcPr>
          <w:p w:rsidR="00982D93" w:rsidRDefault="00982D93">
            <w:pPr>
              <w:jc w:val="right"/>
              <w:rPr>
                <w:color w:val="000000"/>
                <w:sz w:val="20"/>
                <w:szCs w:val="20"/>
              </w:rPr>
            </w:pPr>
          </w:p>
        </w:tc>
        <w:tc>
          <w:tcPr>
            <w:tcW w:w="828" w:type="pct"/>
            <w:tcBorders>
              <w:left w:val="nil"/>
              <w:bottom w:val="single" w:sz="8" w:space="0" w:color="auto"/>
              <w:right w:val="nil"/>
            </w:tcBorders>
            <w:noWrap/>
            <w:vAlign w:val="bottom"/>
          </w:tcPr>
          <w:p w:rsidR="00982D93" w:rsidRDefault="007104AD">
            <w:pPr>
              <w:jc w:val="right"/>
              <w:rPr>
                <w:color w:val="000000"/>
                <w:sz w:val="20"/>
                <w:szCs w:val="20"/>
              </w:rPr>
            </w:pPr>
            <w:r>
              <w:rPr>
                <w:color w:val="000000"/>
                <w:sz w:val="20"/>
                <w:szCs w:val="20"/>
              </w:rPr>
              <w:t xml:space="preserve">- </w:t>
            </w:r>
          </w:p>
        </w:tc>
      </w:tr>
      <w:tr w:rsidR="00982D93">
        <w:trPr>
          <w:trHeight w:val="300"/>
        </w:trPr>
        <w:tc>
          <w:tcPr>
            <w:tcW w:w="3043" w:type="pct"/>
            <w:tcBorders>
              <w:top w:val="nil"/>
              <w:left w:val="nil"/>
              <w:bottom w:val="nil"/>
              <w:right w:val="nil"/>
            </w:tcBorders>
            <w:noWrap/>
            <w:vAlign w:val="bottom"/>
          </w:tcPr>
          <w:p w:rsidR="00982D93" w:rsidRDefault="00982D93">
            <w:pPr>
              <w:rPr>
                <w:color w:val="000000"/>
                <w:sz w:val="20"/>
                <w:szCs w:val="20"/>
              </w:rPr>
            </w:pPr>
          </w:p>
        </w:tc>
        <w:tc>
          <w:tcPr>
            <w:tcW w:w="150" w:type="pct"/>
            <w:tcBorders>
              <w:top w:val="nil"/>
              <w:left w:val="nil"/>
              <w:bottom w:val="nil"/>
              <w:right w:val="nil"/>
            </w:tcBorders>
            <w:noWrap/>
            <w:vAlign w:val="bottom"/>
          </w:tcPr>
          <w:p w:rsidR="00982D93" w:rsidRDefault="00982D93">
            <w:pPr>
              <w:rPr>
                <w:sz w:val="20"/>
                <w:szCs w:val="20"/>
              </w:rPr>
            </w:pPr>
          </w:p>
        </w:tc>
        <w:tc>
          <w:tcPr>
            <w:tcW w:w="829" w:type="pct"/>
            <w:tcBorders>
              <w:top w:val="nil"/>
              <w:left w:val="nil"/>
              <w:bottom w:val="nil"/>
              <w:right w:val="nil"/>
            </w:tcBorders>
            <w:noWrap/>
            <w:vAlign w:val="bottom"/>
          </w:tcPr>
          <w:p w:rsidR="00982D93" w:rsidRDefault="00982D93">
            <w:pPr>
              <w:jc w:val="right"/>
              <w:rPr>
                <w:b/>
                <w:bCs/>
                <w:color w:val="000000"/>
                <w:sz w:val="20"/>
                <w:szCs w:val="20"/>
              </w:rPr>
            </w:pPr>
          </w:p>
        </w:tc>
        <w:tc>
          <w:tcPr>
            <w:tcW w:w="150" w:type="pct"/>
            <w:tcBorders>
              <w:top w:val="nil"/>
              <w:left w:val="nil"/>
              <w:bottom w:val="nil"/>
              <w:right w:val="nil"/>
            </w:tcBorders>
            <w:noWrap/>
            <w:vAlign w:val="bottom"/>
          </w:tcPr>
          <w:p w:rsidR="00982D93" w:rsidRDefault="00982D93">
            <w:pPr>
              <w:jc w:val="right"/>
              <w:rPr>
                <w:color w:val="000000"/>
                <w:sz w:val="20"/>
                <w:szCs w:val="20"/>
              </w:rPr>
            </w:pPr>
          </w:p>
        </w:tc>
        <w:tc>
          <w:tcPr>
            <w:tcW w:w="828" w:type="pct"/>
            <w:tcBorders>
              <w:top w:val="nil"/>
              <w:left w:val="nil"/>
              <w:bottom w:val="nil"/>
              <w:right w:val="nil"/>
            </w:tcBorders>
            <w:noWrap/>
            <w:vAlign w:val="bottom"/>
          </w:tcPr>
          <w:p w:rsidR="00982D93" w:rsidRDefault="00982D93">
            <w:pPr>
              <w:jc w:val="right"/>
              <w:rPr>
                <w:color w:val="000000"/>
                <w:sz w:val="20"/>
                <w:szCs w:val="20"/>
              </w:rPr>
            </w:pPr>
          </w:p>
        </w:tc>
      </w:tr>
      <w:tr w:rsidR="00982D93">
        <w:trPr>
          <w:trHeight w:val="300"/>
        </w:trPr>
        <w:tc>
          <w:tcPr>
            <w:tcW w:w="3043" w:type="pct"/>
            <w:tcBorders>
              <w:top w:val="nil"/>
              <w:left w:val="nil"/>
              <w:bottom w:val="nil"/>
              <w:right w:val="nil"/>
            </w:tcBorders>
            <w:noWrap/>
            <w:vAlign w:val="bottom"/>
          </w:tcPr>
          <w:p w:rsidR="00982D93" w:rsidRDefault="00982D93">
            <w:pPr>
              <w:rPr>
                <w:color w:val="000000"/>
                <w:sz w:val="20"/>
                <w:szCs w:val="20"/>
              </w:rPr>
            </w:pPr>
            <w:r>
              <w:rPr>
                <w:color w:val="000000"/>
                <w:sz w:val="20"/>
                <w:szCs w:val="20"/>
              </w:rPr>
              <w:t>Total operating expenses</w:t>
            </w:r>
          </w:p>
        </w:tc>
        <w:tc>
          <w:tcPr>
            <w:tcW w:w="150" w:type="pct"/>
            <w:tcBorders>
              <w:top w:val="nil"/>
              <w:left w:val="nil"/>
              <w:bottom w:val="nil"/>
              <w:right w:val="nil"/>
            </w:tcBorders>
            <w:noWrap/>
            <w:vAlign w:val="bottom"/>
          </w:tcPr>
          <w:p w:rsidR="00982D93" w:rsidRDefault="00982D93">
            <w:pPr>
              <w:rPr>
                <w:sz w:val="20"/>
                <w:szCs w:val="20"/>
              </w:rPr>
            </w:pPr>
          </w:p>
        </w:tc>
        <w:tc>
          <w:tcPr>
            <w:tcW w:w="829" w:type="pct"/>
            <w:tcBorders>
              <w:top w:val="nil"/>
              <w:left w:val="nil"/>
              <w:bottom w:val="single" w:sz="8" w:space="0" w:color="auto"/>
              <w:right w:val="nil"/>
            </w:tcBorders>
            <w:noWrap/>
            <w:vAlign w:val="bottom"/>
          </w:tcPr>
          <w:p w:rsidR="00982D93" w:rsidRDefault="00982D93" w:rsidP="00856584">
            <w:pPr>
              <w:jc w:val="right"/>
              <w:rPr>
                <w:b/>
                <w:bCs/>
                <w:color w:val="000000"/>
                <w:sz w:val="20"/>
                <w:szCs w:val="20"/>
              </w:rPr>
            </w:pPr>
            <w:r>
              <w:rPr>
                <w:b/>
                <w:bCs/>
                <w:color w:val="000000"/>
                <w:sz w:val="20"/>
                <w:szCs w:val="20"/>
              </w:rPr>
              <w:t xml:space="preserve">14,098 </w:t>
            </w:r>
          </w:p>
        </w:tc>
        <w:tc>
          <w:tcPr>
            <w:tcW w:w="150" w:type="pct"/>
            <w:tcBorders>
              <w:top w:val="nil"/>
              <w:left w:val="nil"/>
              <w:bottom w:val="nil"/>
              <w:right w:val="nil"/>
            </w:tcBorders>
            <w:noWrap/>
            <w:vAlign w:val="bottom"/>
          </w:tcPr>
          <w:p w:rsidR="00982D93" w:rsidRDefault="00982D93">
            <w:pPr>
              <w:jc w:val="right"/>
              <w:rPr>
                <w:color w:val="000000"/>
                <w:sz w:val="20"/>
                <w:szCs w:val="20"/>
              </w:rPr>
            </w:pPr>
          </w:p>
        </w:tc>
        <w:tc>
          <w:tcPr>
            <w:tcW w:w="828" w:type="pct"/>
            <w:tcBorders>
              <w:top w:val="nil"/>
              <w:left w:val="nil"/>
              <w:bottom w:val="single" w:sz="8" w:space="0" w:color="auto"/>
              <w:right w:val="nil"/>
            </w:tcBorders>
            <w:noWrap/>
            <w:vAlign w:val="bottom"/>
          </w:tcPr>
          <w:p w:rsidR="00982D93" w:rsidRDefault="00982D93">
            <w:pPr>
              <w:jc w:val="right"/>
              <w:rPr>
                <w:color w:val="000000"/>
                <w:sz w:val="20"/>
                <w:szCs w:val="20"/>
              </w:rPr>
            </w:pPr>
            <w:r>
              <w:rPr>
                <w:color w:val="000000"/>
                <w:sz w:val="20"/>
                <w:szCs w:val="20"/>
              </w:rPr>
              <w:t xml:space="preserve">13,839 </w:t>
            </w:r>
          </w:p>
        </w:tc>
      </w:tr>
      <w:tr w:rsidR="004851D7">
        <w:trPr>
          <w:trHeight w:val="300"/>
        </w:trPr>
        <w:tc>
          <w:tcPr>
            <w:tcW w:w="3043" w:type="pct"/>
            <w:tcBorders>
              <w:top w:val="nil"/>
              <w:left w:val="nil"/>
              <w:bottom w:val="nil"/>
              <w:right w:val="nil"/>
            </w:tcBorders>
            <w:noWrap/>
            <w:vAlign w:val="bottom"/>
          </w:tcPr>
          <w:p w:rsidR="004851D7" w:rsidRDefault="004851D7">
            <w:pPr>
              <w:rPr>
                <w:color w:val="000000"/>
                <w:sz w:val="20"/>
                <w:szCs w:val="20"/>
              </w:rPr>
            </w:pPr>
          </w:p>
        </w:tc>
        <w:tc>
          <w:tcPr>
            <w:tcW w:w="150" w:type="pct"/>
            <w:tcBorders>
              <w:top w:val="nil"/>
              <w:left w:val="nil"/>
              <w:bottom w:val="nil"/>
              <w:right w:val="nil"/>
            </w:tcBorders>
            <w:noWrap/>
            <w:vAlign w:val="bottom"/>
          </w:tcPr>
          <w:p w:rsidR="004851D7" w:rsidRDefault="004851D7">
            <w:pPr>
              <w:rPr>
                <w:sz w:val="20"/>
                <w:szCs w:val="20"/>
              </w:rPr>
            </w:pPr>
          </w:p>
        </w:tc>
        <w:tc>
          <w:tcPr>
            <w:tcW w:w="829" w:type="pct"/>
            <w:tcBorders>
              <w:top w:val="nil"/>
              <w:left w:val="nil"/>
              <w:bottom w:val="nil"/>
              <w:right w:val="nil"/>
            </w:tcBorders>
            <w:noWrap/>
            <w:vAlign w:val="bottom"/>
          </w:tcPr>
          <w:p w:rsidR="004851D7" w:rsidRDefault="004851D7">
            <w:pPr>
              <w:jc w:val="right"/>
              <w:rPr>
                <w:b/>
                <w:bCs/>
                <w:color w:val="000000"/>
                <w:sz w:val="20"/>
                <w:szCs w:val="20"/>
              </w:rPr>
            </w:pPr>
          </w:p>
        </w:tc>
        <w:tc>
          <w:tcPr>
            <w:tcW w:w="150" w:type="pct"/>
            <w:tcBorders>
              <w:top w:val="nil"/>
              <w:left w:val="nil"/>
              <w:bottom w:val="nil"/>
              <w:right w:val="nil"/>
            </w:tcBorders>
            <w:noWrap/>
            <w:vAlign w:val="bottom"/>
          </w:tcPr>
          <w:p w:rsidR="004851D7" w:rsidRDefault="004851D7">
            <w:pPr>
              <w:jc w:val="right"/>
              <w:rPr>
                <w:color w:val="000000"/>
                <w:sz w:val="20"/>
                <w:szCs w:val="20"/>
              </w:rPr>
            </w:pPr>
          </w:p>
        </w:tc>
        <w:tc>
          <w:tcPr>
            <w:tcW w:w="828" w:type="pct"/>
            <w:tcBorders>
              <w:top w:val="nil"/>
              <w:left w:val="nil"/>
              <w:bottom w:val="nil"/>
              <w:right w:val="nil"/>
            </w:tcBorders>
            <w:noWrap/>
            <w:vAlign w:val="bottom"/>
          </w:tcPr>
          <w:p w:rsidR="004851D7" w:rsidRDefault="004851D7">
            <w:pPr>
              <w:jc w:val="right"/>
              <w:rPr>
                <w:color w:val="000000"/>
                <w:sz w:val="20"/>
                <w:szCs w:val="20"/>
              </w:rPr>
            </w:pPr>
          </w:p>
        </w:tc>
      </w:tr>
      <w:tr w:rsidR="00982D93">
        <w:trPr>
          <w:trHeight w:val="289"/>
        </w:trPr>
        <w:tc>
          <w:tcPr>
            <w:tcW w:w="3043" w:type="pct"/>
            <w:tcBorders>
              <w:top w:val="nil"/>
              <w:left w:val="nil"/>
              <w:bottom w:val="nil"/>
              <w:right w:val="nil"/>
            </w:tcBorders>
            <w:vAlign w:val="bottom"/>
          </w:tcPr>
          <w:p w:rsidR="00982D93" w:rsidRDefault="00982D93">
            <w:pPr>
              <w:rPr>
                <w:color w:val="000000"/>
                <w:sz w:val="20"/>
                <w:szCs w:val="20"/>
              </w:rPr>
            </w:pPr>
            <w:r>
              <w:rPr>
                <w:color w:val="000000"/>
                <w:sz w:val="20"/>
                <w:szCs w:val="20"/>
              </w:rPr>
              <w:t>INCOME FROM OPERATIONS</w:t>
            </w:r>
          </w:p>
        </w:tc>
        <w:tc>
          <w:tcPr>
            <w:tcW w:w="150" w:type="pct"/>
            <w:tcBorders>
              <w:top w:val="nil"/>
              <w:left w:val="nil"/>
              <w:bottom w:val="nil"/>
              <w:right w:val="nil"/>
            </w:tcBorders>
            <w:noWrap/>
            <w:vAlign w:val="bottom"/>
          </w:tcPr>
          <w:p w:rsidR="00982D93" w:rsidRDefault="00982D93">
            <w:pPr>
              <w:rPr>
                <w:sz w:val="20"/>
                <w:szCs w:val="20"/>
              </w:rPr>
            </w:pPr>
          </w:p>
        </w:tc>
        <w:tc>
          <w:tcPr>
            <w:tcW w:w="829" w:type="pct"/>
            <w:tcBorders>
              <w:top w:val="nil"/>
              <w:left w:val="nil"/>
              <w:bottom w:val="nil"/>
              <w:right w:val="nil"/>
            </w:tcBorders>
            <w:noWrap/>
            <w:vAlign w:val="bottom"/>
          </w:tcPr>
          <w:p w:rsidR="00982D93" w:rsidRDefault="00982D93">
            <w:pPr>
              <w:jc w:val="right"/>
              <w:rPr>
                <w:b/>
                <w:bCs/>
                <w:color w:val="000000"/>
                <w:sz w:val="20"/>
                <w:szCs w:val="20"/>
              </w:rPr>
            </w:pPr>
            <w:r>
              <w:rPr>
                <w:b/>
                <w:bCs/>
                <w:color w:val="000000"/>
                <w:sz w:val="20"/>
                <w:szCs w:val="20"/>
              </w:rPr>
              <w:t xml:space="preserve">139 </w:t>
            </w:r>
          </w:p>
        </w:tc>
        <w:tc>
          <w:tcPr>
            <w:tcW w:w="150" w:type="pct"/>
            <w:tcBorders>
              <w:top w:val="nil"/>
              <w:left w:val="nil"/>
              <w:bottom w:val="nil"/>
              <w:right w:val="nil"/>
            </w:tcBorders>
            <w:noWrap/>
            <w:vAlign w:val="bottom"/>
          </w:tcPr>
          <w:p w:rsidR="00982D93" w:rsidRDefault="00982D93">
            <w:pPr>
              <w:jc w:val="right"/>
              <w:rPr>
                <w:color w:val="000000"/>
                <w:sz w:val="20"/>
                <w:szCs w:val="20"/>
              </w:rPr>
            </w:pPr>
            <w:r>
              <w:rPr>
                <w:color w:val="000000"/>
                <w:sz w:val="20"/>
                <w:szCs w:val="20"/>
              </w:rPr>
              <w:t xml:space="preserve">                 </w:t>
            </w:r>
          </w:p>
        </w:tc>
        <w:tc>
          <w:tcPr>
            <w:tcW w:w="828" w:type="pct"/>
            <w:tcBorders>
              <w:top w:val="nil"/>
              <w:left w:val="nil"/>
              <w:bottom w:val="nil"/>
              <w:right w:val="nil"/>
            </w:tcBorders>
            <w:noWrap/>
            <w:vAlign w:val="bottom"/>
          </w:tcPr>
          <w:p w:rsidR="00982D93" w:rsidRDefault="00982D93">
            <w:pPr>
              <w:jc w:val="right"/>
              <w:rPr>
                <w:color w:val="000000"/>
                <w:sz w:val="20"/>
                <w:szCs w:val="20"/>
              </w:rPr>
            </w:pPr>
            <w:r>
              <w:rPr>
                <w:color w:val="000000"/>
                <w:sz w:val="20"/>
                <w:szCs w:val="20"/>
              </w:rPr>
              <w:t xml:space="preserve">476 </w:t>
            </w:r>
          </w:p>
        </w:tc>
      </w:tr>
      <w:tr w:rsidR="00982D93">
        <w:trPr>
          <w:trHeight w:val="300"/>
        </w:trPr>
        <w:tc>
          <w:tcPr>
            <w:tcW w:w="3043" w:type="pct"/>
            <w:tcBorders>
              <w:top w:val="nil"/>
              <w:left w:val="nil"/>
              <w:bottom w:val="nil"/>
              <w:right w:val="nil"/>
            </w:tcBorders>
            <w:noWrap/>
            <w:vAlign w:val="bottom"/>
          </w:tcPr>
          <w:p w:rsidR="00982D93" w:rsidRDefault="00982D93">
            <w:pPr>
              <w:rPr>
                <w:color w:val="000000"/>
                <w:sz w:val="20"/>
                <w:szCs w:val="20"/>
              </w:rPr>
            </w:pPr>
          </w:p>
        </w:tc>
        <w:tc>
          <w:tcPr>
            <w:tcW w:w="150" w:type="pct"/>
            <w:tcBorders>
              <w:top w:val="nil"/>
              <w:left w:val="nil"/>
              <w:bottom w:val="nil"/>
              <w:right w:val="nil"/>
            </w:tcBorders>
            <w:noWrap/>
            <w:vAlign w:val="bottom"/>
          </w:tcPr>
          <w:p w:rsidR="00982D93" w:rsidRDefault="00982D93">
            <w:pPr>
              <w:rPr>
                <w:sz w:val="20"/>
                <w:szCs w:val="20"/>
              </w:rPr>
            </w:pPr>
          </w:p>
        </w:tc>
        <w:tc>
          <w:tcPr>
            <w:tcW w:w="829" w:type="pct"/>
            <w:tcBorders>
              <w:top w:val="nil"/>
              <w:left w:val="nil"/>
              <w:bottom w:val="nil"/>
              <w:right w:val="nil"/>
            </w:tcBorders>
            <w:noWrap/>
            <w:vAlign w:val="bottom"/>
          </w:tcPr>
          <w:p w:rsidR="00982D93" w:rsidRDefault="00982D93">
            <w:pPr>
              <w:jc w:val="right"/>
              <w:rPr>
                <w:b/>
                <w:bCs/>
                <w:color w:val="000000"/>
                <w:sz w:val="20"/>
                <w:szCs w:val="20"/>
              </w:rPr>
            </w:pPr>
          </w:p>
        </w:tc>
        <w:tc>
          <w:tcPr>
            <w:tcW w:w="150" w:type="pct"/>
            <w:tcBorders>
              <w:top w:val="nil"/>
              <w:left w:val="nil"/>
              <w:bottom w:val="nil"/>
              <w:right w:val="nil"/>
            </w:tcBorders>
            <w:noWrap/>
            <w:vAlign w:val="bottom"/>
          </w:tcPr>
          <w:p w:rsidR="00982D93" w:rsidRDefault="00982D93">
            <w:pPr>
              <w:jc w:val="right"/>
              <w:rPr>
                <w:color w:val="000000"/>
                <w:sz w:val="20"/>
                <w:szCs w:val="20"/>
              </w:rPr>
            </w:pPr>
          </w:p>
        </w:tc>
        <w:tc>
          <w:tcPr>
            <w:tcW w:w="828" w:type="pct"/>
            <w:tcBorders>
              <w:top w:val="nil"/>
              <w:left w:val="nil"/>
              <w:bottom w:val="nil"/>
              <w:right w:val="nil"/>
            </w:tcBorders>
            <w:noWrap/>
            <w:vAlign w:val="bottom"/>
          </w:tcPr>
          <w:p w:rsidR="00982D93" w:rsidRDefault="00982D93">
            <w:pPr>
              <w:jc w:val="right"/>
              <w:rPr>
                <w:color w:val="000000"/>
                <w:sz w:val="20"/>
                <w:szCs w:val="20"/>
              </w:rPr>
            </w:pPr>
          </w:p>
        </w:tc>
      </w:tr>
      <w:tr w:rsidR="00982D93">
        <w:trPr>
          <w:trHeight w:val="300"/>
        </w:trPr>
        <w:tc>
          <w:tcPr>
            <w:tcW w:w="3043" w:type="pct"/>
            <w:tcBorders>
              <w:top w:val="nil"/>
              <w:left w:val="nil"/>
              <w:bottom w:val="nil"/>
              <w:right w:val="nil"/>
            </w:tcBorders>
            <w:noWrap/>
            <w:vAlign w:val="bottom"/>
          </w:tcPr>
          <w:p w:rsidR="00982D93" w:rsidRDefault="00982D93">
            <w:pPr>
              <w:rPr>
                <w:color w:val="000000"/>
                <w:sz w:val="20"/>
                <w:szCs w:val="20"/>
              </w:rPr>
            </w:pPr>
            <w:r>
              <w:rPr>
                <w:color w:val="000000"/>
                <w:sz w:val="20"/>
                <w:szCs w:val="20"/>
              </w:rPr>
              <w:t>Other, net</w:t>
            </w:r>
          </w:p>
        </w:tc>
        <w:tc>
          <w:tcPr>
            <w:tcW w:w="150" w:type="pct"/>
            <w:tcBorders>
              <w:top w:val="nil"/>
              <w:left w:val="nil"/>
              <w:bottom w:val="nil"/>
              <w:right w:val="nil"/>
            </w:tcBorders>
            <w:noWrap/>
            <w:vAlign w:val="bottom"/>
          </w:tcPr>
          <w:p w:rsidR="00982D93" w:rsidRDefault="00982D93">
            <w:pPr>
              <w:rPr>
                <w:sz w:val="20"/>
                <w:szCs w:val="20"/>
              </w:rPr>
            </w:pPr>
          </w:p>
        </w:tc>
        <w:tc>
          <w:tcPr>
            <w:tcW w:w="829" w:type="pct"/>
            <w:tcBorders>
              <w:top w:val="nil"/>
              <w:left w:val="nil"/>
              <w:bottom w:val="nil"/>
              <w:right w:val="nil"/>
            </w:tcBorders>
            <w:noWrap/>
            <w:vAlign w:val="bottom"/>
          </w:tcPr>
          <w:p w:rsidR="00982D93" w:rsidRDefault="00982D93">
            <w:pPr>
              <w:jc w:val="right"/>
              <w:rPr>
                <w:b/>
                <w:bCs/>
                <w:color w:val="000000"/>
                <w:sz w:val="20"/>
                <w:szCs w:val="20"/>
              </w:rPr>
            </w:pPr>
            <w:r>
              <w:rPr>
                <w:b/>
                <w:bCs/>
                <w:color w:val="000000"/>
                <w:sz w:val="20"/>
                <w:szCs w:val="20"/>
              </w:rPr>
              <w:t xml:space="preserve">115 </w:t>
            </w:r>
          </w:p>
        </w:tc>
        <w:tc>
          <w:tcPr>
            <w:tcW w:w="150" w:type="pct"/>
            <w:tcBorders>
              <w:top w:val="nil"/>
              <w:left w:val="nil"/>
              <w:bottom w:val="nil"/>
              <w:right w:val="nil"/>
            </w:tcBorders>
            <w:noWrap/>
            <w:vAlign w:val="bottom"/>
          </w:tcPr>
          <w:p w:rsidR="00982D93" w:rsidRDefault="00982D93">
            <w:pPr>
              <w:jc w:val="right"/>
              <w:rPr>
                <w:color w:val="000000"/>
                <w:sz w:val="20"/>
                <w:szCs w:val="20"/>
              </w:rPr>
            </w:pPr>
          </w:p>
        </w:tc>
        <w:tc>
          <w:tcPr>
            <w:tcW w:w="828" w:type="pct"/>
            <w:tcBorders>
              <w:top w:val="nil"/>
              <w:left w:val="nil"/>
              <w:bottom w:val="nil"/>
              <w:right w:val="nil"/>
            </w:tcBorders>
            <w:noWrap/>
            <w:vAlign w:val="bottom"/>
          </w:tcPr>
          <w:p w:rsidR="00982D93" w:rsidRDefault="00982D93">
            <w:pPr>
              <w:jc w:val="right"/>
              <w:rPr>
                <w:color w:val="000000"/>
                <w:sz w:val="20"/>
                <w:szCs w:val="20"/>
              </w:rPr>
            </w:pPr>
            <w:r>
              <w:rPr>
                <w:color w:val="000000"/>
                <w:sz w:val="20"/>
                <w:szCs w:val="20"/>
              </w:rPr>
              <w:t xml:space="preserve">75 </w:t>
            </w:r>
          </w:p>
        </w:tc>
      </w:tr>
      <w:tr w:rsidR="00982D93">
        <w:trPr>
          <w:trHeight w:val="300"/>
        </w:trPr>
        <w:tc>
          <w:tcPr>
            <w:tcW w:w="3043" w:type="pct"/>
            <w:tcBorders>
              <w:top w:val="nil"/>
              <w:left w:val="nil"/>
              <w:bottom w:val="nil"/>
              <w:right w:val="nil"/>
            </w:tcBorders>
            <w:vAlign w:val="bottom"/>
          </w:tcPr>
          <w:p w:rsidR="00982D93" w:rsidRDefault="00982D93">
            <w:pPr>
              <w:rPr>
                <w:color w:val="000000"/>
                <w:sz w:val="20"/>
                <w:szCs w:val="20"/>
              </w:rPr>
            </w:pPr>
            <w:r>
              <w:rPr>
                <w:color w:val="000000"/>
                <w:sz w:val="20"/>
                <w:szCs w:val="20"/>
              </w:rPr>
              <w:t>Net income before income tax</w:t>
            </w:r>
          </w:p>
        </w:tc>
        <w:tc>
          <w:tcPr>
            <w:tcW w:w="150" w:type="pct"/>
            <w:tcBorders>
              <w:top w:val="nil"/>
              <w:left w:val="nil"/>
              <w:bottom w:val="nil"/>
              <w:right w:val="nil"/>
            </w:tcBorders>
            <w:noWrap/>
            <w:vAlign w:val="bottom"/>
          </w:tcPr>
          <w:p w:rsidR="00982D93" w:rsidRDefault="00982D93">
            <w:pPr>
              <w:rPr>
                <w:sz w:val="20"/>
                <w:szCs w:val="20"/>
              </w:rPr>
            </w:pPr>
          </w:p>
        </w:tc>
        <w:tc>
          <w:tcPr>
            <w:tcW w:w="829" w:type="pct"/>
            <w:tcBorders>
              <w:top w:val="single" w:sz="8" w:space="0" w:color="auto"/>
              <w:left w:val="nil"/>
              <w:bottom w:val="nil"/>
              <w:right w:val="nil"/>
            </w:tcBorders>
            <w:noWrap/>
            <w:vAlign w:val="bottom"/>
          </w:tcPr>
          <w:p w:rsidR="00982D93" w:rsidRDefault="00982D93">
            <w:pPr>
              <w:jc w:val="right"/>
              <w:rPr>
                <w:b/>
                <w:bCs/>
                <w:color w:val="000000"/>
                <w:sz w:val="20"/>
                <w:szCs w:val="20"/>
              </w:rPr>
            </w:pPr>
            <w:r>
              <w:rPr>
                <w:b/>
                <w:bCs/>
                <w:color w:val="000000"/>
                <w:sz w:val="20"/>
                <w:szCs w:val="20"/>
              </w:rPr>
              <w:t xml:space="preserve">254 </w:t>
            </w:r>
          </w:p>
        </w:tc>
        <w:tc>
          <w:tcPr>
            <w:tcW w:w="150" w:type="pct"/>
            <w:tcBorders>
              <w:top w:val="nil"/>
              <w:left w:val="nil"/>
              <w:bottom w:val="nil"/>
              <w:right w:val="nil"/>
            </w:tcBorders>
            <w:noWrap/>
            <w:vAlign w:val="bottom"/>
          </w:tcPr>
          <w:p w:rsidR="00982D93" w:rsidRDefault="00982D93">
            <w:pPr>
              <w:jc w:val="right"/>
              <w:rPr>
                <w:color w:val="000000"/>
                <w:sz w:val="20"/>
                <w:szCs w:val="20"/>
              </w:rPr>
            </w:pPr>
          </w:p>
        </w:tc>
        <w:tc>
          <w:tcPr>
            <w:tcW w:w="828" w:type="pct"/>
            <w:tcBorders>
              <w:top w:val="single" w:sz="8" w:space="0" w:color="auto"/>
              <w:left w:val="nil"/>
              <w:bottom w:val="nil"/>
              <w:right w:val="nil"/>
            </w:tcBorders>
            <w:noWrap/>
            <w:vAlign w:val="bottom"/>
          </w:tcPr>
          <w:p w:rsidR="00982D93" w:rsidRDefault="00982D93">
            <w:pPr>
              <w:jc w:val="right"/>
              <w:rPr>
                <w:color w:val="000000"/>
                <w:sz w:val="20"/>
                <w:szCs w:val="20"/>
              </w:rPr>
            </w:pPr>
            <w:r>
              <w:rPr>
                <w:color w:val="000000"/>
                <w:sz w:val="20"/>
                <w:szCs w:val="20"/>
              </w:rPr>
              <w:t xml:space="preserve">551 </w:t>
            </w:r>
          </w:p>
        </w:tc>
      </w:tr>
      <w:tr w:rsidR="00982D93">
        <w:trPr>
          <w:trHeight w:val="304"/>
        </w:trPr>
        <w:tc>
          <w:tcPr>
            <w:tcW w:w="3043" w:type="pct"/>
            <w:tcBorders>
              <w:top w:val="nil"/>
              <w:left w:val="nil"/>
              <w:bottom w:val="nil"/>
              <w:right w:val="nil"/>
            </w:tcBorders>
            <w:noWrap/>
            <w:vAlign w:val="bottom"/>
          </w:tcPr>
          <w:p w:rsidR="00982D93" w:rsidRDefault="00982D93">
            <w:pPr>
              <w:rPr>
                <w:color w:val="000000"/>
                <w:sz w:val="20"/>
                <w:szCs w:val="20"/>
              </w:rPr>
            </w:pPr>
          </w:p>
        </w:tc>
        <w:tc>
          <w:tcPr>
            <w:tcW w:w="150" w:type="pct"/>
            <w:tcBorders>
              <w:top w:val="nil"/>
              <w:left w:val="nil"/>
              <w:bottom w:val="nil"/>
              <w:right w:val="nil"/>
            </w:tcBorders>
            <w:noWrap/>
            <w:vAlign w:val="bottom"/>
          </w:tcPr>
          <w:p w:rsidR="00982D93" w:rsidRDefault="00982D93">
            <w:pPr>
              <w:rPr>
                <w:sz w:val="20"/>
                <w:szCs w:val="20"/>
              </w:rPr>
            </w:pPr>
          </w:p>
        </w:tc>
        <w:tc>
          <w:tcPr>
            <w:tcW w:w="829" w:type="pct"/>
            <w:tcBorders>
              <w:top w:val="nil"/>
              <w:left w:val="nil"/>
              <w:bottom w:val="nil"/>
              <w:right w:val="nil"/>
            </w:tcBorders>
            <w:noWrap/>
            <w:vAlign w:val="bottom"/>
          </w:tcPr>
          <w:p w:rsidR="00982D93" w:rsidRDefault="00982D93">
            <w:pPr>
              <w:jc w:val="right"/>
              <w:rPr>
                <w:b/>
                <w:bCs/>
                <w:color w:val="000000"/>
                <w:sz w:val="20"/>
                <w:szCs w:val="20"/>
              </w:rPr>
            </w:pPr>
          </w:p>
        </w:tc>
        <w:tc>
          <w:tcPr>
            <w:tcW w:w="150" w:type="pct"/>
            <w:tcBorders>
              <w:top w:val="nil"/>
              <w:left w:val="nil"/>
              <w:bottom w:val="nil"/>
              <w:right w:val="nil"/>
            </w:tcBorders>
            <w:noWrap/>
            <w:vAlign w:val="bottom"/>
          </w:tcPr>
          <w:p w:rsidR="00982D93" w:rsidRDefault="00982D93">
            <w:pPr>
              <w:jc w:val="right"/>
              <w:rPr>
                <w:color w:val="000000"/>
                <w:sz w:val="20"/>
                <w:szCs w:val="20"/>
              </w:rPr>
            </w:pPr>
          </w:p>
        </w:tc>
        <w:tc>
          <w:tcPr>
            <w:tcW w:w="828" w:type="pct"/>
            <w:tcBorders>
              <w:top w:val="nil"/>
              <w:left w:val="nil"/>
              <w:bottom w:val="nil"/>
              <w:right w:val="nil"/>
            </w:tcBorders>
            <w:noWrap/>
            <w:vAlign w:val="bottom"/>
          </w:tcPr>
          <w:p w:rsidR="00982D93" w:rsidRDefault="00982D93">
            <w:pPr>
              <w:jc w:val="right"/>
              <w:rPr>
                <w:color w:val="000000"/>
                <w:sz w:val="20"/>
                <w:szCs w:val="20"/>
              </w:rPr>
            </w:pPr>
          </w:p>
        </w:tc>
      </w:tr>
      <w:tr w:rsidR="00E32735">
        <w:trPr>
          <w:trHeight w:val="300"/>
        </w:trPr>
        <w:tc>
          <w:tcPr>
            <w:tcW w:w="3043" w:type="pct"/>
            <w:tcBorders>
              <w:top w:val="nil"/>
              <w:left w:val="nil"/>
              <w:bottom w:val="nil"/>
              <w:right w:val="nil"/>
            </w:tcBorders>
            <w:noWrap/>
            <w:vAlign w:val="bottom"/>
          </w:tcPr>
          <w:p w:rsidR="00E32735" w:rsidRDefault="00E32735" w:rsidP="007104AD">
            <w:pPr>
              <w:rPr>
                <w:color w:val="000000"/>
                <w:sz w:val="20"/>
                <w:szCs w:val="20"/>
              </w:rPr>
            </w:pPr>
            <w:r>
              <w:rPr>
                <w:color w:val="000000"/>
                <w:sz w:val="20"/>
                <w:szCs w:val="20"/>
              </w:rPr>
              <w:t xml:space="preserve">Income tax </w:t>
            </w:r>
            <w:r w:rsidR="007104AD">
              <w:rPr>
                <w:color w:val="000000"/>
                <w:sz w:val="20"/>
                <w:szCs w:val="20"/>
              </w:rPr>
              <w:t xml:space="preserve">expense </w:t>
            </w:r>
            <w:r>
              <w:rPr>
                <w:color w:val="000000"/>
                <w:sz w:val="20"/>
                <w:szCs w:val="20"/>
              </w:rPr>
              <w:t xml:space="preserve">(benefit) </w:t>
            </w:r>
          </w:p>
        </w:tc>
        <w:tc>
          <w:tcPr>
            <w:tcW w:w="150" w:type="pct"/>
            <w:tcBorders>
              <w:top w:val="nil"/>
              <w:left w:val="nil"/>
              <w:bottom w:val="nil"/>
              <w:right w:val="nil"/>
            </w:tcBorders>
            <w:noWrap/>
            <w:vAlign w:val="bottom"/>
          </w:tcPr>
          <w:p w:rsidR="00E32735" w:rsidRDefault="00E32735">
            <w:pPr>
              <w:rPr>
                <w:sz w:val="20"/>
                <w:szCs w:val="20"/>
              </w:rPr>
            </w:pPr>
          </w:p>
        </w:tc>
        <w:tc>
          <w:tcPr>
            <w:tcW w:w="829" w:type="pct"/>
            <w:tcBorders>
              <w:top w:val="nil"/>
              <w:left w:val="nil"/>
              <w:bottom w:val="single" w:sz="8" w:space="0" w:color="auto"/>
              <w:right w:val="nil"/>
            </w:tcBorders>
            <w:noWrap/>
            <w:vAlign w:val="bottom"/>
          </w:tcPr>
          <w:p w:rsidR="00E32735" w:rsidRPr="00982D93" w:rsidRDefault="004C0E36" w:rsidP="008B0412">
            <w:pPr>
              <w:jc w:val="right"/>
              <w:rPr>
                <w:b/>
                <w:bCs/>
                <w:color w:val="000000"/>
                <w:sz w:val="20"/>
                <w:szCs w:val="20"/>
                <w:highlight w:val="yellow"/>
              </w:rPr>
            </w:pPr>
            <w:r>
              <w:rPr>
                <w:b/>
                <w:bCs/>
                <w:color w:val="000000"/>
                <w:sz w:val="20"/>
                <w:szCs w:val="20"/>
              </w:rPr>
              <w:t xml:space="preserve">250 </w:t>
            </w:r>
          </w:p>
        </w:tc>
        <w:tc>
          <w:tcPr>
            <w:tcW w:w="150" w:type="pct"/>
            <w:tcBorders>
              <w:top w:val="nil"/>
              <w:left w:val="nil"/>
              <w:bottom w:val="nil"/>
              <w:right w:val="nil"/>
            </w:tcBorders>
            <w:noWrap/>
            <w:vAlign w:val="bottom"/>
          </w:tcPr>
          <w:p w:rsidR="00E32735" w:rsidRDefault="00E32735">
            <w:pPr>
              <w:jc w:val="right"/>
              <w:rPr>
                <w:color w:val="000000"/>
                <w:sz w:val="20"/>
                <w:szCs w:val="20"/>
                <w:highlight w:val="yellow"/>
              </w:rPr>
            </w:pPr>
          </w:p>
        </w:tc>
        <w:tc>
          <w:tcPr>
            <w:tcW w:w="828" w:type="pct"/>
            <w:tcBorders>
              <w:top w:val="nil"/>
              <w:left w:val="nil"/>
              <w:bottom w:val="single" w:sz="8" w:space="0" w:color="auto"/>
              <w:right w:val="nil"/>
            </w:tcBorders>
            <w:noWrap/>
            <w:vAlign w:val="bottom"/>
          </w:tcPr>
          <w:p w:rsidR="00E32735" w:rsidRDefault="00E32735" w:rsidP="008B0412">
            <w:pPr>
              <w:jc w:val="right"/>
              <w:rPr>
                <w:color w:val="000000"/>
                <w:sz w:val="20"/>
                <w:szCs w:val="20"/>
              </w:rPr>
            </w:pPr>
            <w:r>
              <w:rPr>
                <w:color w:val="000000"/>
                <w:sz w:val="20"/>
                <w:szCs w:val="20"/>
              </w:rPr>
              <w:t>(461)</w:t>
            </w:r>
          </w:p>
        </w:tc>
      </w:tr>
      <w:tr w:rsidR="00E32735">
        <w:trPr>
          <w:trHeight w:val="300"/>
        </w:trPr>
        <w:tc>
          <w:tcPr>
            <w:tcW w:w="3043" w:type="pct"/>
            <w:tcBorders>
              <w:top w:val="nil"/>
              <w:left w:val="nil"/>
              <w:bottom w:val="nil"/>
              <w:right w:val="nil"/>
            </w:tcBorders>
            <w:vAlign w:val="bottom"/>
          </w:tcPr>
          <w:p w:rsidR="00E32735" w:rsidRDefault="00E32735">
            <w:pPr>
              <w:rPr>
                <w:color w:val="000000"/>
                <w:sz w:val="20"/>
                <w:szCs w:val="20"/>
              </w:rPr>
            </w:pPr>
            <w:r>
              <w:rPr>
                <w:color w:val="000000"/>
                <w:sz w:val="20"/>
                <w:szCs w:val="20"/>
              </w:rPr>
              <w:t>Net Income</w:t>
            </w:r>
          </w:p>
        </w:tc>
        <w:tc>
          <w:tcPr>
            <w:tcW w:w="150" w:type="pct"/>
            <w:tcBorders>
              <w:top w:val="nil"/>
              <w:left w:val="nil"/>
              <w:bottom w:val="nil"/>
              <w:right w:val="nil"/>
            </w:tcBorders>
            <w:noWrap/>
            <w:vAlign w:val="bottom"/>
          </w:tcPr>
          <w:p w:rsidR="00E32735" w:rsidRDefault="00E32735">
            <w:pPr>
              <w:rPr>
                <w:sz w:val="20"/>
                <w:szCs w:val="20"/>
              </w:rPr>
            </w:pPr>
          </w:p>
        </w:tc>
        <w:tc>
          <w:tcPr>
            <w:tcW w:w="829" w:type="pct"/>
            <w:tcBorders>
              <w:top w:val="nil"/>
              <w:left w:val="nil"/>
              <w:bottom w:val="double" w:sz="6" w:space="0" w:color="auto"/>
              <w:right w:val="nil"/>
            </w:tcBorders>
            <w:noWrap/>
            <w:vAlign w:val="bottom"/>
          </w:tcPr>
          <w:p w:rsidR="00E32735" w:rsidRPr="00E32735" w:rsidRDefault="00E32735" w:rsidP="004C0E36">
            <w:pPr>
              <w:jc w:val="right"/>
              <w:rPr>
                <w:b/>
                <w:bCs/>
                <w:color w:val="000000"/>
                <w:sz w:val="20"/>
                <w:szCs w:val="20"/>
              </w:rPr>
            </w:pPr>
            <w:r>
              <w:rPr>
                <w:b/>
                <w:bCs/>
                <w:color w:val="000000"/>
                <w:sz w:val="20"/>
                <w:szCs w:val="20"/>
              </w:rPr>
              <w:t>$</w:t>
            </w:r>
            <w:r w:rsidR="004C0E36">
              <w:rPr>
                <w:b/>
                <w:bCs/>
                <w:color w:val="000000"/>
                <w:sz w:val="20"/>
                <w:szCs w:val="20"/>
              </w:rPr>
              <w:t xml:space="preserve">4 </w:t>
            </w:r>
          </w:p>
        </w:tc>
        <w:tc>
          <w:tcPr>
            <w:tcW w:w="150" w:type="pct"/>
            <w:tcBorders>
              <w:top w:val="nil"/>
              <w:left w:val="nil"/>
              <w:bottom w:val="nil"/>
              <w:right w:val="nil"/>
            </w:tcBorders>
            <w:noWrap/>
            <w:vAlign w:val="bottom"/>
          </w:tcPr>
          <w:p w:rsidR="00E32735" w:rsidRDefault="00E32735">
            <w:pPr>
              <w:jc w:val="right"/>
              <w:rPr>
                <w:color w:val="000000"/>
                <w:sz w:val="20"/>
                <w:szCs w:val="20"/>
              </w:rPr>
            </w:pPr>
          </w:p>
        </w:tc>
        <w:tc>
          <w:tcPr>
            <w:tcW w:w="828" w:type="pct"/>
            <w:tcBorders>
              <w:top w:val="nil"/>
              <w:left w:val="nil"/>
              <w:bottom w:val="double" w:sz="6" w:space="0" w:color="auto"/>
              <w:right w:val="nil"/>
            </w:tcBorders>
            <w:noWrap/>
            <w:vAlign w:val="bottom"/>
          </w:tcPr>
          <w:p w:rsidR="00E32735" w:rsidRDefault="00E32735" w:rsidP="008B0412">
            <w:pPr>
              <w:jc w:val="right"/>
              <w:rPr>
                <w:color w:val="000000"/>
                <w:sz w:val="20"/>
                <w:szCs w:val="20"/>
              </w:rPr>
            </w:pPr>
            <w:r>
              <w:rPr>
                <w:color w:val="000000"/>
                <w:sz w:val="20"/>
                <w:szCs w:val="20"/>
              </w:rPr>
              <w:t xml:space="preserve">$1,012 </w:t>
            </w:r>
          </w:p>
        </w:tc>
      </w:tr>
      <w:tr w:rsidR="004851D7">
        <w:trPr>
          <w:trHeight w:val="304"/>
        </w:trPr>
        <w:tc>
          <w:tcPr>
            <w:tcW w:w="3043" w:type="pct"/>
            <w:tcBorders>
              <w:top w:val="nil"/>
              <w:left w:val="nil"/>
              <w:bottom w:val="nil"/>
              <w:right w:val="nil"/>
            </w:tcBorders>
            <w:noWrap/>
            <w:vAlign w:val="bottom"/>
          </w:tcPr>
          <w:p w:rsidR="004851D7" w:rsidRDefault="004851D7">
            <w:pPr>
              <w:rPr>
                <w:color w:val="000000"/>
                <w:sz w:val="20"/>
                <w:szCs w:val="20"/>
              </w:rPr>
            </w:pPr>
          </w:p>
        </w:tc>
        <w:tc>
          <w:tcPr>
            <w:tcW w:w="150" w:type="pct"/>
            <w:tcBorders>
              <w:top w:val="nil"/>
              <w:left w:val="nil"/>
              <w:bottom w:val="nil"/>
              <w:right w:val="nil"/>
            </w:tcBorders>
            <w:noWrap/>
            <w:vAlign w:val="bottom"/>
          </w:tcPr>
          <w:p w:rsidR="004851D7" w:rsidRDefault="004851D7">
            <w:pPr>
              <w:rPr>
                <w:sz w:val="20"/>
                <w:szCs w:val="20"/>
              </w:rPr>
            </w:pPr>
          </w:p>
        </w:tc>
        <w:tc>
          <w:tcPr>
            <w:tcW w:w="829" w:type="pct"/>
            <w:tcBorders>
              <w:top w:val="nil"/>
              <w:left w:val="nil"/>
              <w:bottom w:val="nil"/>
              <w:right w:val="nil"/>
            </w:tcBorders>
            <w:noWrap/>
            <w:vAlign w:val="bottom"/>
          </w:tcPr>
          <w:p w:rsidR="004851D7" w:rsidRDefault="004851D7">
            <w:pPr>
              <w:jc w:val="right"/>
              <w:rPr>
                <w:b/>
                <w:bCs/>
                <w:color w:val="000000"/>
                <w:sz w:val="20"/>
                <w:szCs w:val="20"/>
              </w:rPr>
            </w:pPr>
          </w:p>
        </w:tc>
        <w:tc>
          <w:tcPr>
            <w:tcW w:w="150" w:type="pct"/>
            <w:tcBorders>
              <w:top w:val="nil"/>
              <w:left w:val="nil"/>
              <w:bottom w:val="nil"/>
              <w:right w:val="nil"/>
            </w:tcBorders>
            <w:noWrap/>
            <w:vAlign w:val="bottom"/>
          </w:tcPr>
          <w:p w:rsidR="004851D7" w:rsidRDefault="004851D7">
            <w:pPr>
              <w:jc w:val="right"/>
              <w:rPr>
                <w:color w:val="000000"/>
                <w:sz w:val="20"/>
                <w:szCs w:val="20"/>
              </w:rPr>
            </w:pPr>
          </w:p>
        </w:tc>
        <w:tc>
          <w:tcPr>
            <w:tcW w:w="828" w:type="pct"/>
            <w:tcBorders>
              <w:top w:val="nil"/>
              <w:left w:val="nil"/>
              <w:bottom w:val="nil"/>
              <w:right w:val="nil"/>
            </w:tcBorders>
            <w:noWrap/>
            <w:vAlign w:val="bottom"/>
          </w:tcPr>
          <w:p w:rsidR="004851D7" w:rsidRDefault="004851D7">
            <w:pPr>
              <w:jc w:val="right"/>
              <w:rPr>
                <w:color w:val="000000"/>
                <w:sz w:val="20"/>
                <w:szCs w:val="20"/>
              </w:rPr>
            </w:pPr>
          </w:p>
        </w:tc>
      </w:tr>
      <w:tr w:rsidR="004851D7">
        <w:trPr>
          <w:trHeight w:val="300"/>
        </w:trPr>
        <w:tc>
          <w:tcPr>
            <w:tcW w:w="3043" w:type="pct"/>
            <w:tcBorders>
              <w:top w:val="nil"/>
              <w:left w:val="nil"/>
              <w:bottom w:val="nil"/>
              <w:right w:val="nil"/>
            </w:tcBorders>
            <w:noWrap/>
            <w:vAlign w:val="bottom"/>
          </w:tcPr>
          <w:p w:rsidR="004851D7" w:rsidRDefault="004851D7">
            <w:pPr>
              <w:rPr>
                <w:color w:val="000000"/>
                <w:sz w:val="20"/>
                <w:szCs w:val="20"/>
              </w:rPr>
            </w:pPr>
            <w:r>
              <w:rPr>
                <w:color w:val="000000"/>
                <w:sz w:val="20"/>
                <w:szCs w:val="20"/>
              </w:rPr>
              <w:t>Income per common share:</w:t>
            </w:r>
          </w:p>
        </w:tc>
        <w:tc>
          <w:tcPr>
            <w:tcW w:w="150" w:type="pct"/>
            <w:tcBorders>
              <w:top w:val="nil"/>
              <w:left w:val="nil"/>
              <w:bottom w:val="nil"/>
              <w:right w:val="nil"/>
            </w:tcBorders>
            <w:noWrap/>
            <w:vAlign w:val="bottom"/>
          </w:tcPr>
          <w:p w:rsidR="004851D7" w:rsidRDefault="004851D7">
            <w:pPr>
              <w:rPr>
                <w:sz w:val="20"/>
                <w:szCs w:val="20"/>
              </w:rPr>
            </w:pPr>
          </w:p>
        </w:tc>
        <w:tc>
          <w:tcPr>
            <w:tcW w:w="829" w:type="pct"/>
            <w:tcBorders>
              <w:top w:val="nil"/>
              <w:left w:val="nil"/>
              <w:bottom w:val="nil"/>
              <w:right w:val="nil"/>
            </w:tcBorders>
            <w:noWrap/>
            <w:vAlign w:val="bottom"/>
          </w:tcPr>
          <w:p w:rsidR="004851D7" w:rsidRDefault="004851D7">
            <w:pPr>
              <w:jc w:val="right"/>
              <w:rPr>
                <w:b/>
                <w:bCs/>
                <w:color w:val="000000"/>
                <w:sz w:val="20"/>
                <w:szCs w:val="20"/>
              </w:rPr>
            </w:pPr>
          </w:p>
        </w:tc>
        <w:tc>
          <w:tcPr>
            <w:tcW w:w="150" w:type="pct"/>
            <w:tcBorders>
              <w:top w:val="nil"/>
              <w:left w:val="nil"/>
              <w:bottom w:val="nil"/>
              <w:right w:val="nil"/>
            </w:tcBorders>
            <w:noWrap/>
            <w:vAlign w:val="bottom"/>
          </w:tcPr>
          <w:p w:rsidR="004851D7" w:rsidRDefault="004851D7">
            <w:pPr>
              <w:jc w:val="right"/>
              <w:rPr>
                <w:color w:val="000000"/>
                <w:sz w:val="20"/>
                <w:szCs w:val="20"/>
              </w:rPr>
            </w:pPr>
          </w:p>
        </w:tc>
        <w:tc>
          <w:tcPr>
            <w:tcW w:w="828" w:type="pct"/>
            <w:tcBorders>
              <w:top w:val="nil"/>
              <w:left w:val="nil"/>
              <w:bottom w:val="nil"/>
              <w:right w:val="nil"/>
            </w:tcBorders>
            <w:noWrap/>
            <w:vAlign w:val="bottom"/>
          </w:tcPr>
          <w:p w:rsidR="004851D7" w:rsidRDefault="004851D7">
            <w:pPr>
              <w:jc w:val="right"/>
              <w:rPr>
                <w:color w:val="000000"/>
                <w:sz w:val="20"/>
                <w:szCs w:val="20"/>
              </w:rPr>
            </w:pPr>
          </w:p>
        </w:tc>
      </w:tr>
      <w:tr w:rsidR="00C6659B">
        <w:trPr>
          <w:trHeight w:val="300"/>
        </w:trPr>
        <w:tc>
          <w:tcPr>
            <w:tcW w:w="3043" w:type="pct"/>
            <w:tcBorders>
              <w:top w:val="nil"/>
              <w:left w:val="nil"/>
              <w:bottom w:val="nil"/>
              <w:right w:val="nil"/>
            </w:tcBorders>
            <w:noWrap/>
            <w:vAlign w:val="bottom"/>
          </w:tcPr>
          <w:p w:rsidR="00C6659B" w:rsidRDefault="00C6659B">
            <w:pPr>
              <w:rPr>
                <w:color w:val="000000"/>
                <w:sz w:val="20"/>
                <w:szCs w:val="20"/>
              </w:rPr>
            </w:pPr>
            <w:r>
              <w:rPr>
                <w:color w:val="000000"/>
                <w:sz w:val="20"/>
                <w:szCs w:val="20"/>
              </w:rPr>
              <w:t xml:space="preserve">Basic </w:t>
            </w:r>
          </w:p>
        </w:tc>
        <w:tc>
          <w:tcPr>
            <w:tcW w:w="150" w:type="pct"/>
            <w:tcBorders>
              <w:top w:val="nil"/>
              <w:left w:val="nil"/>
              <w:bottom w:val="nil"/>
              <w:right w:val="nil"/>
            </w:tcBorders>
            <w:noWrap/>
            <w:vAlign w:val="bottom"/>
          </w:tcPr>
          <w:p w:rsidR="00C6659B" w:rsidRDefault="00C6659B">
            <w:pPr>
              <w:rPr>
                <w:sz w:val="20"/>
                <w:szCs w:val="20"/>
              </w:rPr>
            </w:pPr>
          </w:p>
        </w:tc>
        <w:tc>
          <w:tcPr>
            <w:tcW w:w="829" w:type="pct"/>
            <w:tcBorders>
              <w:top w:val="nil"/>
              <w:left w:val="nil"/>
              <w:bottom w:val="nil"/>
              <w:right w:val="nil"/>
            </w:tcBorders>
            <w:noWrap/>
            <w:vAlign w:val="bottom"/>
          </w:tcPr>
          <w:p w:rsidR="00C6659B" w:rsidRPr="00982D93" w:rsidRDefault="00C6659B" w:rsidP="008B0412">
            <w:pPr>
              <w:jc w:val="right"/>
              <w:rPr>
                <w:b/>
                <w:bCs/>
                <w:color w:val="000000"/>
                <w:sz w:val="20"/>
                <w:szCs w:val="20"/>
                <w:highlight w:val="yellow"/>
              </w:rPr>
            </w:pPr>
            <w:r w:rsidRPr="00E32735">
              <w:rPr>
                <w:b/>
                <w:bCs/>
                <w:color w:val="000000"/>
                <w:sz w:val="20"/>
                <w:szCs w:val="20"/>
              </w:rPr>
              <w:t>$0.00</w:t>
            </w:r>
          </w:p>
        </w:tc>
        <w:tc>
          <w:tcPr>
            <w:tcW w:w="150" w:type="pct"/>
            <w:tcBorders>
              <w:top w:val="nil"/>
              <w:left w:val="nil"/>
              <w:bottom w:val="nil"/>
              <w:right w:val="nil"/>
            </w:tcBorders>
            <w:noWrap/>
            <w:vAlign w:val="bottom"/>
          </w:tcPr>
          <w:p w:rsidR="00C6659B" w:rsidRDefault="00C6659B">
            <w:pPr>
              <w:jc w:val="right"/>
              <w:rPr>
                <w:color w:val="000000"/>
                <w:sz w:val="20"/>
                <w:szCs w:val="20"/>
              </w:rPr>
            </w:pPr>
          </w:p>
        </w:tc>
        <w:tc>
          <w:tcPr>
            <w:tcW w:w="828" w:type="pct"/>
            <w:tcBorders>
              <w:top w:val="nil"/>
              <w:left w:val="nil"/>
              <w:bottom w:val="nil"/>
              <w:right w:val="nil"/>
            </w:tcBorders>
            <w:noWrap/>
            <w:vAlign w:val="bottom"/>
          </w:tcPr>
          <w:p w:rsidR="00C6659B" w:rsidRDefault="00C6659B" w:rsidP="008B0412">
            <w:pPr>
              <w:jc w:val="right"/>
              <w:rPr>
                <w:color w:val="000000"/>
                <w:sz w:val="20"/>
                <w:szCs w:val="20"/>
              </w:rPr>
            </w:pPr>
            <w:r>
              <w:rPr>
                <w:color w:val="000000"/>
                <w:sz w:val="20"/>
                <w:szCs w:val="20"/>
              </w:rPr>
              <w:t xml:space="preserve">$0.21 </w:t>
            </w:r>
          </w:p>
        </w:tc>
      </w:tr>
      <w:tr w:rsidR="00C6659B">
        <w:trPr>
          <w:trHeight w:val="300"/>
        </w:trPr>
        <w:tc>
          <w:tcPr>
            <w:tcW w:w="3043" w:type="pct"/>
            <w:tcBorders>
              <w:top w:val="nil"/>
              <w:left w:val="nil"/>
              <w:bottom w:val="nil"/>
              <w:right w:val="nil"/>
            </w:tcBorders>
            <w:noWrap/>
            <w:vAlign w:val="bottom"/>
          </w:tcPr>
          <w:p w:rsidR="00C6659B" w:rsidRDefault="00C6659B">
            <w:pPr>
              <w:rPr>
                <w:color w:val="000000"/>
                <w:sz w:val="20"/>
                <w:szCs w:val="20"/>
              </w:rPr>
            </w:pPr>
            <w:r>
              <w:rPr>
                <w:color w:val="000000"/>
                <w:sz w:val="20"/>
                <w:szCs w:val="20"/>
              </w:rPr>
              <w:t>Diluted</w:t>
            </w:r>
          </w:p>
        </w:tc>
        <w:tc>
          <w:tcPr>
            <w:tcW w:w="150" w:type="pct"/>
            <w:tcBorders>
              <w:top w:val="nil"/>
              <w:left w:val="nil"/>
              <w:bottom w:val="nil"/>
              <w:right w:val="nil"/>
            </w:tcBorders>
            <w:noWrap/>
            <w:vAlign w:val="bottom"/>
          </w:tcPr>
          <w:p w:rsidR="00C6659B" w:rsidRDefault="00C6659B">
            <w:pPr>
              <w:rPr>
                <w:sz w:val="20"/>
                <w:szCs w:val="20"/>
              </w:rPr>
            </w:pPr>
          </w:p>
        </w:tc>
        <w:tc>
          <w:tcPr>
            <w:tcW w:w="829" w:type="pct"/>
            <w:tcBorders>
              <w:top w:val="nil"/>
              <w:left w:val="nil"/>
              <w:bottom w:val="nil"/>
              <w:right w:val="nil"/>
            </w:tcBorders>
            <w:noWrap/>
            <w:vAlign w:val="bottom"/>
          </w:tcPr>
          <w:p w:rsidR="00C6659B" w:rsidRPr="00982D93" w:rsidRDefault="00C6659B" w:rsidP="008B0412">
            <w:pPr>
              <w:jc w:val="right"/>
              <w:rPr>
                <w:b/>
                <w:bCs/>
                <w:color w:val="000000"/>
                <w:sz w:val="20"/>
                <w:szCs w:val="20"/>
                <w:highlight w:val="yellow"/>
              </w:rPr>
            </w:pPr>
            <w:r w:rsidRPr="00E32735">
              <w:rPr>
                <w:b/>
                <w:bCs/>
                <w:color w:val="000000"/>
                <w:sz w:val="20"/>
                <w:szCs w:val="20"/>
              </w:rPr>
              <w:t xml:space="preserve">$0.00 </w:t>
            </w:r>
          </w:p>
        </w:tc>
        <w:tc>
          <w:tcPr>
            <w:tcW w:w="150" w:type="pct"/>
            <w:tcBorders>
              <w:top w:val="nil"/>
              <w:left w:val="nil"/>
              <w:bottom w:val="nil"/>
              <w:right w:val="nil"/>
            </w:tcBorders>
            <w:noWrap/>
            <w:vAlign w:val="bottom"/>
          </w:tcPr>
          <w:p w:rsidR="00C6659B" w:rsidRDefault="00C6659B">
            <w:pPr>
              <w:jc w:val="right"/>
              <w:rPr>
                <w:color w:val="000000"/>
                <w:sz w:val="20"/>
                <w:szCs w:val="20"/>
              </w:rPr>
            </w:pPr>
          </w:p>
        </w:tc>
        <w:tc>
          <w:tcPr>
            <w:tcW w:w="828" w:type="pct"/>
            <w:tcBorders>
              <w:top w:val="nil"/>
              <w:left w:val="nil"/>
              <w:bottom w:val="nil"/>
              <w:right w:val="nil"/>
            </w:tcBorders>
            <w:noWrap/>
            <w:vAlign w:val="bottom"/>
          </w:tcPr>
          <w:p w:rsidR="00C6659B" w:rsidRDefault="00C6659B" w:rsidP="008B0412">
            <w:pPr>
              <w:jc w:val="right"/>
              <w:rPr>
                <w:color w:val="000000"/>
                <w:sz w:val="20"/>
                <w:szCs w:val="20"/>
              </w:rPr>
            </w:pPr>
            <w:r>
              <w:rPr>
                <w:color w:val="000000"/>
                <w:sz w:val="20"/>
                <w:szCs w:val="20"/>
              </w:rPr>
              <w:t xml:space="preserve">$0.21 </w:t>
            </w:r>
          </w:p>
        </w:tc>
      </w:tr>
      <w:tr w:rsidR="004851D7">
        <w:trPr>
          <w:trHeight w:val="304"/>
        </w:trPr>
        <w:tc>
          <w:tcPr>
            <w:tcW w:w="3043" w:type="pct"/>
            <w:tcBorders>
              <w:top w:val="nil"/>
              <w:left w:val="nil"/>
              <w:bottom w:val="nil"/>
              <w:right w:val="nil"/>
            </w:tcBorders>
            <w:noWrap/>
            <w:vAlign w:val="bottom"/>
          </w:tcPr>
          <w:p w:rsidR="004851D7" w:rsidRDefault="004851D7">
            <w:pPr>
              <w:rPr>
                <w:color w:val="000000"/>
                <w:sz w:val="20"/>
                <w:szCs w:val="20"/>
              </w:rPr>
            </w:pPr>
          </w:p>
        </w:tc>
        <w:tc>
          <w:tcPr>
            <w:tcW w:w="150" w:type="pct"/>
            <w:tcBorders>
              <w:top w:val="nil"/>
              <w:left w:val="nil"/>
              <w:bottom w:val="nil"/>
              <w:right w:val="nil"/>
            </w:tcBorders>
            <w:noWrap/>
            <w:vAlign w:val="bottom"/>
          </w:tcPr>
          <w:p w:rsidR="004851D7" w:rsidRDefault="004851D7">
            <w:pPr>
              <w:rPr>
                <w:sz w:val="20"/>
                <w:szCs w:val="20"/>
              </w:rPr>
            </w:pPr>
          </w:p>
        </w:tc>
        <w:tc>
          <w:tcPr>
            <w:tcW w:w="829" w:type="pct"/>
            <w:tcBorders>
              <w:top w:val="nil"/>
              <w:left w:val="nil"/>
              <w:bottom w:val="nil"/>
              <w:right w:val="nil"/>
            </w:tcBorders>
            <w:noWrap/>
            <w:vAlign w:val="bottom"/>
          </w:tcPr>
          <w:p w:rsidR="004851D7" w:rsidRDefault="004851D7">
            <w:pPr>
              <w:jc w:val="right"/>
              <w:rPr>
                <w:b/>
                <w:bCs/>
                <w:color w:val="000000"/>
                <w:sz w:val="20"/>
                <w:szCs w:val="20"/>
              </w:rPr>
            </w:pPr>
          </w:p>
        </w:tc>
        <w:tc>
          <w:tcPr>
            <w:tcW w:w="150" w:type="pct"/>
            <w:tcBorders>
              <w:top w:val="nil"/>
              <w:left w:val="nil"/>
              <w:bottom w:val="nil"/>
              <w:right w:val="nil"/>
            </w:tcBorders>
            <w:noWrap/>
            <w:vAlign w:val="bottom"/>
          </w:tcPr>
          <w:p w:rsidR="004851D7" w:rsidRDefault="004851D7">
            <w:pPr>
              <w:jc w:val="right"/>
              <w:rPr>
                <w:color w:val="000000"/>
                <w:sz w:val="20"/>
                <w:szCs w:val="20"/>
              </w:rPr>
            </w:pPr>
          </w:p>
        </w:tc>
        <w:tc>
          <w:tcPr>
            <w:tcW w:w="828" w:type="pct"/>
            <w:tcBorders>
              <w:top w:val="nil"/>
              <w:left w:val="nil"/>
              <w:bottom w:val="nil"/>
              <w:right w:val="nil"/>
            </w:tcBorders>
            <w:noWrap/>
            <w:vAlign w:val="bottom"/>
          </w:tcPr>
          <w:p w:rsidR="004851D7" w:rsidRDefault="004851D7">
            <w:pPr>
              <w:jc w:val="right"/>
              <w:rPr>
                <w:color w:val="000000"/>
                <w:sz w:val="20"/>
                <w:szCs w:val="20"/>
              </w:rPr>
            </w:pPr>
          </w:p>
        </w:tc>
      </w:tr>
      <w:tr w:rsidR="004851D7">
        <w:trPr>
          <w:trHeight w:val="312"/>
        </w:trPr>
        <w:tc>
          <w:tcPr>
            <w:tcW w:w="3043" w:type="pct"/>
            <w:tcBorders>
              <w:top w:val="nil"/>
              <w:left w:val="nil"/>
              <w:bottom w:val="nil"/>
              <w:right w:val="nil"/>
            </w:tcBorders>
            <w:noWrap/>
            <w:vAlign w:val="bottom"/>
          </w:tcPr>
          <w:p w:rsidR="004851D7" w:rsidRDefault="004851D7">
            <w:pPr>
              <w:rPr>
                <w:color w:val="000000"/>
                <w:sz w:val="20"/>
                <w:szCs w:val="20"/>
              </w:rPr>
            </w:pPr>
            <w:r>
              <w:rPr>
                <w:color w:val="000000"/>
                <w:sz w:val="20"/>
                <w:szCs w:val="20"/>
              </w:rPr>
              <w:t>Weighted average common shares outstanding:</w:t>
            </w:r>
          </w:p>
        </w:tc>
        <w:tc>
          <w:tcPr>
            <w:tcW w:w="150" w:type="pct"/>
            <w:tcBorders>
              <w:top w:val="nil"/>
              <w:left w:val="nil"/>
              <w:bottom w:val="nil"/>
              <w:right w:val="nil"/>
            </w:tcBorders>
            <w:noWrap/>
            <w:vAlign w:val="bottom"/>
          </w:tcPr>
          <w:p w:rsidR="004851D7" w:rsidRDefault="004851D7">
            <w:pPr>
              <w:rPr>
                <w:sz w:val="20"/>
                <w:szCs w:val="20"/>
              </w:rPr>
            </w:pPr>
          </w:p>
        </w:tc>
        <w:tc>
          <w:tcPr>
            <w:tcW w:w="829" w:type="pct"/>
            <w:tcBorders>
              <w:top w:val="nil"/>
              <w:left w:val="nil"/>
              <w:bottom w:val="nil"/>
              <w:right w:val="nil"/>
            </w:tcBorders>
            <w:noWrap/>
            <w:vAlign w:val="bottom"/>
          </w:tcPr>
          <w:p w:rsidR="004851D7" w:rsidRDefault="004851D7">
            <w:pPr>
              <w:jc w:val="right"/>
              <w:rPr>
                <w:b/>
                <w:bCs/>
                <w:color w:val="000000"/>
                <w:sz w:val="20"/>
                <w:szCs w:val="20"/>
              </w:rPr>
            </w:pPr>
          </w:p>
        </w:tc>
        <w:tc>
          <w:tcPr>
            <w:tcW w:w="150" w:type="pct"/>
            <w:tcBorders>
              <w:top w:val="nil"/>
              <w:left w:val="nil"/>
              <w:bottom w:val="nil"/>
              <w:right w:val="nil"/>
            </w:tcBorders>
            <w:noWrap/>
            <w:vAlign w:val="bottom"/>
          </w:tcPr>
          <w:p w:rsidR="004851D7" w:rsidRDefault="004851D7">
            <w:pPr>
              <w:jc w:val="right"/>
              <w:rPr>
                <w:color w:val="000000"/>
                <w:sz w:val="20"/>
                <w:szCs w:val="20"/>
              </w:rPr>
            </w:pPr>
          </w:p>
        </w:tc>
        <w:tc>
          <w:tcPr>
            <w:tcW w:w="828" w:type="pct"/>
            <w:tcBorders>
              <w:top w:val="nil"/>
              <w:left w:val="nil"/>
              <w:bottom w:val="nil"/>
              <w:right w:val="nil"/>
            </w:tcBorders>
            <w:noWrap/>
            <w:vAlign w:val="bottom"/>
          </w:tcPr>
          <w:p w:rsidR="004851D7" w:rsidRDefault="004851D7">
            <w:pPr>
              <w:jc w:val="right"/>
              <w:rPr>
                <w:color w:val="000000"/>
                <w:sz w:val="20"/>
                <w:szCs w:val="20"/>
              </w:rPr>
            </w:pPr>
          </w:p>
        </w:tc>
      </w:tr>
      <w:tr w:rsidR="009B6289">
        <w:trPr>
          <w:trHeight w:val="300"/>
        </w:trPr>
        <w:tc>
          <w:tcPr>
            <w:tcW w:w="3043" w:type="pct"/>
            <w:tcBorders>
              <w:top w:val="nil"/>
              <w:left w:val="nil"/>
              <w:bottom w:val="nil"/>
              <w:right w:val="nil"/>
            </w:tcBorders>
            <w:noWrap/>
            <w:vAlign w:val="bottom"/>
          </w:tcPr>
          <w:p w:rsidR="009B6289" w:rsidRDefault="009B6289">
            <w:pPr>
              <w:rPr>
                <w:color w:val="000000"/>
                <w:sz w:val="20"/>
                <w:szCs w:val="20"/>
              </w:rPr>
            </w:pPr>
            <w:r>
              <w:rPr>
                <w:color w:val="000000"/>
                <w:sz w:val="20"/>
                <w:szCs w:val="20"/>
              </w:rPr>
              <w:t xml:space="preserve">Basic </w:t>
            </w:r>
          </w:p>
        </w:tc>
        <w:tc>
          <w:tcPr>
            <w:tcW w:w="150" w:type="pct"/>
            <w:tcBorders>
              <w:top w:val="nil"/>
              <w:left w:val="nil"/>
              <w:bottom w:val="nil"/>
              <w:right w:val="nil"/>
            </w:tcBorders>
            <w:noWrap/>
            <w:vAlign w:val="bottom"/>
          </w:tcPr>
          <w:p w:rsidR="009B6289" w:rsidRDefault="009B6289">
            <w:pPr>
              <w:rPr>
                <w:sz w:val="20"/>
                <w:szCs w:val="20"/>
              </w:rPr>
            </w:pPr>
          </w:p>
        </w:tc>
        <w:tc>
          <w:tcPr>
            <w:tcW w:w="829" w:type="pct"/>
            <w:tcBorders>
              <w:top w:val="nil"/>
              <w:left w:val="nil"/>
              <w:bottom w:val="nil"/>
              <w:right w:val="nil"/>
            </w:tcBorders>
            <w:noWrap/>
            <w:vAlign w:val="bottom"/>
          </w:tcPr>
          <w:p w:rsidR="009B6289" w:rsidRDefault="009B6289">
            <w:pPr>
              <w:jc w:val="right"/>
              <w:rPr>
                <w:b/>
                <w:bCs/>
                <w:color w:val="000000"/>
                <w:sz w:val="20"/>
                <w:szCs w:val="20"/>
              </w:rPr>
            </w:pPr>
            <w:r>
              <w:rPr>
                <w:b/>
                <w:bCs/>
                <w:color w:val="000000"/>
                <w:sz w:val="20"/>
                <w:szCs w:val="20"/>
              </w:rPr>
              <w:t xml:space="preserve">4,896,922 </w:t>
            </w:r>
          </w:p>
        </w:tc>
        <w:tc>
          <w:tcPr>
            <w:tcW w:w="150" w:type="pct"/>
            <w:tcBorders>
              <w:top w:val="nil"/>
              <w:left w:val="nil"/>
              <w:bottom w:val="nil"/>
              <w:right w:val="nil"/>
            </w:tcBorders>
            <w:noWrap/>
            <w:vAlign w:val="bottom"/>
          </w:tcPr>
          <w:p w:rsidR="009B6289" w:rsidRDefault="009B6289">
            <w:pPr>
              <w:jc w:val="right"/>
              <w:rPr>
                <w:color w:val="000000"/>
                <w:sz w:val="20"/>
                <w:szCs w:val="20"/>
              </w:rPr>
            </w:pPr>
          </w:p>
        </w:tc>
        <w:tc>
          <w:tcPr>
            <w:tcW w:w="828" w:type="pct"/>
            <w:tcBorders>
              <w:top w:val="nil"/>
              <w:left w:val="nil"/>
              <w:bottom w:val="nil"/>
              <w:right w:val="nil"/>
            </w:tcBorders>
            <w:noWrap/>
            <w:vAlign w:val="bottom"/>
          </w:tcPr>
          <w:p w:rsidR="009B6289" w:rsidRDefault="009B6289">
            <w:pPr>
              <w:jc w:val="right"/>
              <w:rPr>
                <w:color w:val="000000"/>
                <w:sz w:val="20"/>
                <w:szCs w:val="20"/>
              </w:rPr>
            </w:pPr>
            <w:r>
              <w:rPr>
                <w:color w:val="000000"/>
                <w:sz w:val="20"/>
                <w:szCs w:val="20"/>
              </w:rPr>
              <w:t xml:space="preserve">4,835,478 </w:t>
            </w:r>
          </w:p>
        </w:tc>
      </w:tr>
      <w:tr w:rsidR="009B6289">
        <w:trPr>
          <w:trHeight w:val="255"/>
        </w:trPr>
        <w:tc>
          <w:tcPr>
            <w:tcW w:w="3043" w:type="pct"/>
            <w:tcBorders>
              <w:top w:val="nil"/>
              <w:left w:val="nil"/>
              <w:bottom w:val="nil"/>
              <w:right w:val="nil"/>
            </w:tcBorders>
            <w:noWrap/>
            <w:vAlign w:val="bottom"/>
          </w:tcPr>
          <w:p w:rsidR="009B6289" w:rsidRDefault="009B6289">
            <w:pPr>
              <w:rPr>
                <w:color w:val="000000"/>
                <w:sz w:val="20"/>
                <w:szCs w:val="20"/>
              </w:rPr>
            </w:pPr>
            <w:r>
              <w:rPr>
                <w:color w:val="000000"/>
                <w:sz w:val="20"/>
                <w:szCs w:val="20"/>
              </w:rPr>
              <w:t>Diluted</w:t>
            </w:r>
          </w:p>
        </w:tc>
        <w:tc>
          <w:tcPr>
            <w:tcW w:w="150" w:type="pct"/>
            <w:tcBorders>
              <w:top w:val="nil"/>
              <w:left w:val="nil"/>
              <w:bottom w:val="nil"/>
              <w:right w:val="nil"/>
            </w:tcBorders>
            <w:noWrap/>
            <w:vAlign w:val="bottom"/>
          </w:tcPr>
          <w:p w:rsidR="009B6289" w:rsidRDefault="009B6289">
            <w:pPr>
              <w:rPr>
                <w:sz w:val="20"/>
                <w:szCs w:val="20"/>
              </w:rPr>
            </w:pPr>
          </w:p>
        </w:tc>
        <w:tc>
          <w:tcPr>
            <w:tcW w:w="829" w:type="pct"/>
            <w:tcBorders>
              <w:top w:val="nil"/>
              <w:left w:val="nil"/>
              <w:bottom w:val="nil"/>
              <w:right w:val="nil"/>
            </w:tcBorders>
            <w:noWrap/>
            <w:vAlign w:val="bottom"/>
          </w:tcPr>
          <w:p w:rsidR="009B6289" w:rsidRDefault="009B6289">
            <w:pPr>
              <w:jc w:val="right"/>
              <w:rPr>
                <w:b/>
                <w:bCs/>
                <w:color w:val="000000"/>
                <w:sz w:val="20"/>
                <w:szCs w:val="20"/>
              </w:rPr>
            </w:pPr>
            <w:r>
              <w:rPr>
                <w:b/>
                <w:bCs/>
                <w:color w:val="000000"/>
                <w:sz w:val="20"/>
                <w:szCs w:val="20"/>
              </w:rPr>
              <w:t xml:space="preserve">4,917,557 </w:t>
            </w:r>
          </w:p>
        </w:tc>
        <w:tc>
          <w:tcPr>
            <w:tcW w:w="150" w:type="pct"/>
            <w:tcBorders>
              <w:top w:val="nil"/>
              <w:left w:val="nil"/>
              <w:bottom w:val="nil"/>
              <w:right w:val="nil"/>
            </w:tcBorders>
            <w:noWrap/>
            <w:vAlign w:val="bottom"/>
          </w:tcPr>
          <w:p w:rsidR="009B6289" w:rsidRDefault="009B6289">
            <w:pPr>
              <w:jc w:val="right"/>
              <w:rPr>
                <w:color w:val="000000"/>
                <w:sz w:val="20"/>
                <w:szCs w:val="20"/>
              </w:rPr>
            </w:pPr>
          </w:p>
        </w:tc>
        <w:tc>
          <w:tcPr>
            <w:tcW w:w="828" w:type="pct"/>
            <w:tcBorders>
              <w:top w:val="nil"/>
              <w:left w:val="nil"/>
              <w:bottom w:val="nil"/>
              <w:right w:val="nil"/>
            </w:tcBorders>
            <w:noWrap/>
            <w:vAlign w:val="bottom"/>
          </w:tcPr>
          <w:p w:rsidR="009B6289" w:rsidRDefault="009B6289">
            <w:pPr>
              <w:jc w:val="right"/>
              <w:rPr>
                <w:color w:val="000000"/>
                <w:sz w:val="20"/>
                <w:szCs w:val="20"/>
              </w:rPr>
            </w:pPr>
            <w:r>
              <w:rPr>
                <w:color w:val="000000"/>
                <w:sz w:val="20"/>
                <w:szCs w:val="20"/>
              </w:rPr>
              <w:t xml:space="preserve">4,913,887 </w:t>
            </w:r>
          </w:p>
        </w:tc>
      </w:tr>
    </w:tbl>
    <w:p w:rsidR="004851D7" w:rsidRDefault="004851D7">
      <w:pPr>
        <w:jc w:val="center"/>
        <w:rPr>
          <w:color w:val="000000"/>
          <w:sz w:val="20"/>
          <w:szCs w:val="20"/>
        </w:rPr>
      </w:pPr>
    </w:p>
    <w:p w:rsidR="004851D7" w:rsidRDefault="004851D7">
      <w:pPr>
        <w:rPr>
          <w:i/>
          <w:iCs/>
          <w:color w:val="000000"/>
          <w:sz w:val="20"/>
        </w:rPr>
      </w:pPr>
      <w:r>
        <w:rPr>
          <w:i/>
          <w:iCs/>
          <w:color w:val="000000"/>
          <w:sz w:val="20"/>
        </w:rPr>
        <w:t>See accompanying notes.</w:t>
      </w:r>
    </w:p>
    <w:p w:rsidR="004851D7" w:rsidRDefault="004851D7">
      <w:pPr>
        <w:jc w:val="center"/>
        <w:rPr>
          <w:b/>
          <w:color w:val="000000"/>
          <w:sz w:val="22"/>
          <w:szCs w:val="22"/>
        </w:rPr>
      </w:pPr>
    </w:p>
    <w:p w:rsidR="004851D7" w:rsidRDefault="004851D7">
      <w:pPr>
        <w:jc w:val="center"/>
        <w:rPr>
          <w:b/>
          <w:color w:val="000000"/>
          <w:sz w:val="22"/>
          <w:szCs w:val="22"/>
        </w:rPr>
      </w:pPr>
    </w:p>
    <w:p w:rsidR="00E76F80" w:rsidRDefault="00E76F80">
      <w:pPr>
        <w:jc w:val="center"/>
        <w:rPr>
          <w:b/>
          <w:color w:val="000000"/>
          <w:sz w:val="22"/>
          <w:szCs w:val="22"/>
        </w:rPr>
      </w:pPr>
    </w:p>
    <w:p w:rsidR="004851D7" w:rsidRDefault="004851D7">
      <w:pPr>
        <w:jc w:val="center"/>
        <w:rPr>
          <w:b/>
          <w:color w:val="000000"/>
          <w:sz w:val="22"/>
          <w:szCs w:val="22"/>
        </w:rPr>
      </w:pPr>
    </w:p>
    <w:p w:rsidR="004851D7" w:rsidRDefault="004851D7">
      <w:pPr>
        <w:jc w:val="center"/>
        <w:rPr>
          <w:b/>
          <w:color w:val="000000"/>
          <w:sz w:val="22"/>
          <w:szCs w:val="22"/>
        </w:rPr>
      </w:pPr>
      <w:proofErr w:type="spellStart"/>
      <w:r>
        <w:rPr>
          <w:b/>
          <w:color w:val="000000"/>
          <w:sz w:val="22"/>
          <w:szCs w:val="22"/>
        </w:rPr>
        <w:t>MakeMusic</w:t>
      </w:r>
      <w:proofErr w:type="spellEnd"/>
      <w:r>
        <w:rPr>
          <w:b/>
          <w:color w:val="000000"/>
          <w:sz w:val="22"/>
          <w:szCs w:val="22"/>
        </w:rPr>
        <w:t>, Inc.</w:t>
      </w:r>
    </w:p>
    <w:p w:rsidR="004851D7" w:rsidRDefault="004851D7">
      <w:pPr>
        <w:jc w:val="center"/>
        <w:rPr>
          <w:b/>
          <w:color w:val="000000"/>
          <w:sz w:val="22"/>
          <w:szCs w:val="22"/>
        </w:rPr>
      </w:pPr>
      <w:r>
        <w:rPr>
          <w:b/>
          <w:color w:val="000000"/>
          <w:sz w:val="22"/>
          <w:szCs w:val="22"/>
        </w:rPr>
        <w:t>Statement of Shareholders’ Equity</w:t>
      </w:r>
    </w:p>
    <w:p w:rsidR="004851D7" w:rsidRDefault="004851D7">
      <w:pPr>
        <w:jc w:val="center"/>
        <w:rPr>
          <w:i/>
          <w:iCs/>
          <w:color w:val="000000"/>
          <w:sz w:val="22"/>
          <w:szCs w:val="22"/>
        </w:rPr>
      </w:pPr>
      <w:r>
        <w:rPr>
          <w:i/>
          <w:iCs/>
          <w:color w:val="000000"/>
          <w:sz w:val="22"/>
          <w:szCs w:val="22"/>
        </w:rPr>
        <w:t>(In thousands of U.S. dollars, except shares)</w:t>
      </w:r>
    </w:p>
    <w:p w:rsidR="004851D7" w:rsidRDefault="004851D7">
      <w:pPr>
        <w:pStyle w:val="heading"/>
        <w:spacing w:line="240" w:lineRule="auto"/>
        <w:rPr>
          <w:i/>
          <w:iCs/>
          <w:color w:val="000000"/>
          <w:sz w:val="22"/>
          <w:szCs w:val="22"/>
        </w:rPr>
      </w:pPr>
    </w:p>
    <w:p w:rsidR="004851D7" w:rsidRDefault="004851D7">
      <w:pPr>
        <w:pStyle w:val="List"/>
        <w:ind w:left="0" w:firstLine="0"/>
        <w:rPr>
          <w:rFonts w:ascii="Times New Roman" w:hAnsi="Times New Roman" w:cs="Times New Roman"/>
          <w:iCs/>
          <w:color w:val="000000"/>
          <w:sz w:val="20"/>
          <w:szCs w:val="20"/>
        </w:rPr>
      </w:pPr>
    </w:p>
    <w:tbl>
      <w:tblPr>
        <w:tblW w:w="11496" w:type="dxa"/>
        <w:tblInd w:w="-923" w:type="dxa"/>
        <w:tblLayout w:type="fixed"/>
        <w:tblLook w:val="00A0" w:firstRow="1" w:lastRow="0" w:firstColumn="1" w:lastColumn="0" w:noHBand="0" w:noVBand="0"/>
      </w:tblPr>
      <w:tblGrid>
        <w:gridCol w:w="3996"/>
        <w:gridCol w:w="1371"/>
        <w:gridCol w:w="1146"/>
        <w:gridCol w:w="1461"/>
        <w:gridCol w:w="1656"/>
        <w:gridCol w:w="1866"/>
      </w:tblGrid>
      <w:tr w:rsidR="00B63584" w:rsidTr="000D4CCB">
        <w:trPr>
          <w:trHeight w:val="251"/>
        </w:trPr>
        <w:tc>
          <w:tcPr>
            <w:tcW w:w="3996" w:type="dxa"/>
            <w:tcBorders>
              <w:top w:val="nil"/>
              <w:left w:val="nil"/>
              <w:bottom w:val="nil"/>
              <w:right w:val="nil"/>
            </w:tcBorders>
            <w:noWrap/>
          </w:tcPr>
          <w:p w:rsidR="00B63584" w:rsidRDefault="00B63584" w:rsidP="00B63584">
            <w:pPr>
              <w:rPr>
                <w:sz w:val="18"/>
                <w:szCs w:val="18"/>
              </w:rPr>
            </w:pPr>
          </w:p>
        </w:tc>
        <w:tc>
          <w:tcPr>
            <w:tcW w:w="1371" w:type="dxa"/>
            <w:tcBorders>
              <w:top w:val="nil"/>
              <w:left w:val="nil"/>
              <w:bottom w:val="nil"/>
              <w:right w:val="nil"/>
            </w:tcBorders>
            <w:noWrap/>
          </w:tcPr>
          <w:p w:rsidR="00B63584" w:rsidRDefault="00B63584" w:rsidP="00B63584">
            <w:pPr>
              <w:jc w:val="center"/>
              <w:rPr>
                <w:b/>
                <w:bCs/>
                <w:sz w:val="18"/>
                <w:szCs w:val="18"/>
              </w:rPr>
            </w:pPr>
          </w:p>
        </w:tc>
        <w:tc>
          <w:tcPr>
            <w:tcW w:w="1146" w:type="dxa"/>
            <w:tcBorders>
              <w:top w:val="nil"/>
              <w:left w:val="nil"/>
              <w:bottom w:val="nil"/>
              <w:right w:val="nil"/>
            </w:tcBorders>
            <w:noWrap/>
          </w:tcPr>
          <w:p w:rsidR="00B63584" w:rsidRDefault="00B63584" w:rsidP="00B63584">
            <w:pPr>
              <w:jc w:val="center"/>
              <w:rPr>
                <w:b/>
                <w:bCs/>
                <w:sz w:val="18"/>
                <w:szCs w:val="18"/>
              </w:rPr>
            </w:pPr>
          </w:p>
        </w:tc>
        <w:tc>
          <w:tcPr>
            <w:tcW w:w="1461" w:type="dxa"/>
            <w:tcBorders>
              <w:top w:val="nil"/>
              <w:left w:val="nil"/>
              <w:bottom w:val="nil"/>
              <w:right w:val="nil"/>
            </w:tcBorders>
          </w:tcPr>
          <w:p w:rsidR="00B63584" w:rsidRDefault="00B63584" w:rsidP="00B63584">
            <w:pPr>
              <w:jc w:val="center"/>
              <w:rPr>
                <w:b/>
                <w:bCs/>
                <w:sz w:val="18"/>
                <w:szCs w:val="18"/>
              </w:rPr>
            </w:pPr>
            <w:r>
              <w:rPr>
                <w:b/>
                <w:bCs/>
                <w:sz w:val="18"/>
                <w:szCs w:val="18"/>
              </w:rPr>
              <w:t xml:space="preserve"> Additional </w:t>
            </w:r>
          </w:p>
        </w:tc>
        <w:tc>
          <w:tcPr>
            <w:tcW w:w="1656" w:type="dxa"/>
            <w:tcBorders>
              <w:top w:val="nil"/>
              <w:left w:val="nil"/>
              <w:bottom w:val="nil"/>
              <w:right w:val="nil"/>
            </w:tcBorders>
            <w:noWrap/>
          </w:tcPr>
          <w:p w:rsidR="00B63584" w:rsidRDefault="00B63584" w:rsidP="00B63584">
            <w:pPr>
              <w:jc w:val="center"/>
              <w:rPr>
                <w:sz w:val="18"/>
                <w:szCs w:val="18"/>
              </w:rPr>
            </w:pPr>
          </w:p>
        </w:tc>
        <w:tc>
          <w:tcPr>
            <w:tcW w:w="1866" w:type="dxa"/>
            <w:tcBorders>
              <w:top w:val="nil"/>
              <w:left w:val="nil"/>
              <w:bottom w:val="nil"/>
              <w:right w:val="nil"/>
            </w:tcBorders>
            <w:noWrap/>
            <w:vAlign w:val="bottom"/>
          </w:tcPr>
          <w:p w:rsidR="00B63584" w:rsidRDefault="00B63584" w:rsidP="00B63584">
            <w:pPr>
              <w:rPr>
                <w:sz w:val="18"/>
                <w:szCs w:val="18"/>
              </w:rPr>
            </w:pPr>
          </w:p>
        </w:tc>
      </w:tr>
      <w:tr w:rsidR="00B63584" w:rsidTr="000D4CCB">
        <w:trPr>
          <w:trHeight w:val="251"/>
        </w:trPr>
        <w:tc>
          <w:tcPr>
            <w:tcW w:w="3996" w:type="dxa"/>
            <w:tcBorders>
              <w:top w:val="nil"/>
              <w:left w:val="nil"/>
              <w:bottom w:val="nil"/>
              <w:right w:val="nil"/>
            </w:tcBorders>
            <w:noWrap/>
          </w:tcPr>
          <w:p w:rsidR="00B63584" w:rsidRDefault="00B63584" w:rsidP="00B63584">
            <w:pPr>
              <w:rPr>
                <w:sz w:val="18"/>
                <w:szCs w:val="18"/>
              </w:rPr>
            </w:pPr>
          </w:p>
        </w:tc>
        <w:tc>
          <w:tcPr>
            <w:tcW w:w="2517" w:type="dxa"/>
            <w:gridSpan w:val="2"/>
            <w:tcBorders>
              <w:top w:val="nil"/>
              <w:left w:val="nil"/>
              <w:bottom w:val="nil"/>
              <w:right w:val="nil"/>
            </w:tcBorders>
          </w:tcPr>
          <w:p w:rsidR="00B63584" w:rsidRDefault="00B63584" w:rsidP="00B63584">
            <w:pPr>
              <w:jc w:val="center"/>
              <w:rPr>
                <w:b/>
                <w:bCs/>
                <w:sz w:val="18"/>
                <w:szCs w:val="18"/>
              </w:rPr>
            </w:pPr>
            <w:r>
              <w:rPr>
                <w:b/>
                <w:bCs/>
                <w:sz w:val="18"/>
                <w:szCs w:val="18"/>
              </w:rPr>
              <w:t xml:space="preserve"> Common Stock </w:t>
            </w:r>
          </w:p>
        </w:tc>
        <w:tc>
          <w:tcPr>
            <w:tcW w:w="1461" w:type="dxa"/>
            <w:tcBorders>
              <w:top w:val="nil"/>
              <w:left w:val="nil"/>
              <w:bottom w:val="nil"/>
              <w:right w:val="nil"/>
            </w:tcBorders>
          </w:tcPr>
          <w:p w:rsidR="00B63584" w:rsidRDefault="00B63584" w:rsidP="00B63584">
            <w:pPr>
              <w:jc w:val="center"/>
              <w:rPr>
                <w:b/>
                <w:bCs/>
                <w:sz w:val="18"/>
                <w:szCs w:val="18"/>
              </w:rPr>
            </w:pPr>
            <w:r>
              <w:rPr>
                <w:b/>
                <w:bCs/>
                <w:sz w:val="18"/>
                <w:szCs w:val="18"/>
              </w:rPr>
              <w:t xml:space="preserve"> Paid-In </w:t>
            </w:r>
          </w:p>
        </w:tc>
        <w:tc>
          <w:tcPr>
            <w:tcW w:w="1656" w:type="dxa"/>
            <w:tcBorders>
              <w:top w:val="nil"/>
              <w:left w:val="nil"/>
              <w:bottom w:val="nil"/>
              <w:right w:val="nil"/>
            </w:tcBorders>
          </w:tcPr>
          <w:p w:rsidR="00B63584" w:rsidRDefault="00B63584" w:rsidP="00B63584">
            <w:pPr>
              <w:jc w:val="center"/>
              <w:rPr>
                <w:b/>
                <w:bCs/>
                <w:sz w:val="18"/>
                <w:szCs w:val="18"/>
              </w:rPr>
            </w:pPr>
            <w:r>
              <w:rPr>
                <w:b/>
                <w:bCs/>
                <w:sz w:val="18"/>
                <w:szCs w:val="18"/>
              </w:rPr>
              <w:t xml:space="preserve"> Accumulated </w:t>
            </w:r>
          </w:p>
        </w:tc>
        <w:tc>
          <w:tcPr>
            <w:tcW w:w="1866" w:type="dxa"/>
            <w:tcBorders>
              <w:top w:val="nil"/>
              <w:left w:val="nil"/>
              <w:bottom w:val="nil"/>
              <w:right w:val="nil"/>
            </w:tcBorders>
          </w:tcPr>
          <w:p w:rsidR="00B63584" w:rsidRDefault="00B63584" w:rsidP="00B63584">
            <w:pPr>
              <w:jc w:val="center"/>
              <w:rPr>
                <w:b/>
                <w:bCs/>
                <w:sz w:val="18"/>
                <w:szCs w:val="18"/>
              </w:rPr>
            </w:pPr>
            <w:r>
              <w:rPr>
                <w:b/>
                <w:bCs/>
                <w:sz w:val="18"/>
                <w:szCs w:val="18"/>
              </w:rPr>
              <w:t xml:space="preserve"> Shareholders’ </w:t>
            </w:r>
          </w:p>
        </w:tc>
      </w:tr>
      <w:tr w:rsidR="00B63584" w:rsidTr="000D4CCB">
        <w:trPr>
          <w:trHeight w:val="251"/>
        </w:trPr>
        <w:tc>
          <w:tcPr>
            <w:tcW w:w="3996" w:type="dxa"/>
            <w:tcBorders>
              <w:top w:val="nil"/>
              <w:left w:val="nil"/>
              <w:bottom w:val="nil"/>
              <w:right w:val="nil"/>
            </w:tcBorders>
            <w:noWrap/>
          </w:tcPr>
          <w:p w:rsidR="00B63584" w:rsidRDefault="00B63584" w:rsidP="00B63584">
            <w:pPr>
              <w:rPr>
                <w:sz w:val="18"/>
                <w:szCs w:val="18"/>
              </w:rPr>
            </w:pPr>
          </w:p>
        </w:tc>
        <w:tc>
          <w:tcPr>
            <w:tcW w:w="1371" w:type="dxa"/>
            <w:tcBorders>
              <w:top w:val="nil"/>
              <w:left w:val="nil"/>
              <w:bottom w:val="single" w:sz="4" w:space="0" w:color="auto"/>
              <w:right w:val="nil"/>
            </w:tcBorders>
          </w:tcPr>
          <w:p w:rsidR="00B63584" w:rsidRDefault="00B63584" w:rsidP="00B63584">
            <w:pPr>
              <w:jc w:val="center"/>
              <w:rPr>
                <w:b/>
                <w:bCs/>
                <w:sz w:val="18"/>
                <w:szCs w:val="18"/>
              </w:rPr>
            </w:pPr>
            <w:r>
              <w:rPr>
                <w:b/>
                <w:bCs/>
                <w:sz w:val="18"/>
                <w:szCs w:val="18"/>
              </w:rPr>
              <w:t xml:space="preserve"> Shares </w:t>
            </w:r>
          </w:p>
        </w:tc>
        <w:tc>
          <w:tcPr>
            <w:tcW w:w="1146" w:type="dxa"/>
            <w:tcBorders>
              <w:top w:val="nil"/>
              <w:left w:val="nil"/>
              <w:bottom w:val="single" w:sz="4" w:space="0" w:color="auto"/>
              <w:right w:val="nil"/>
            </w:tcBorders>
          </w:tcPr>
          <w:p w:rsidR="00B63584" w:rsidRDefault="00B63584" w:rsidP="00B63584">
            <w:pPr>
              <w:jc w:val="center"/>
              <w:rPr>
                <w:b/>
                <w:bCs/>
                <w:sz w:val="18"/>
                <w:szCs w:val="18"/>
              </w:rPr>
            </w:pPr>
            <w:r>
              <w:rPr>
                <w:b/>
                <w:bCs/>
                <w:sz w:val="18"/>
                <w:szCs w:val="18"/>
              </w:rPr>
              <w:t xml:space="preserve"> Amount </w:t>
            </w:r>
          </w:p>
        </w:tc>
        <w:tc>
          <w:tcPr>
            <w:tcW w:w="1461" w:type="dxa"/>
            <w:tcBorders>
              <w:top w:val="nil"/>
              <w:left w:val="nil"/>
              <w:bottom w:val="single" w:sz="4" w:space="0" w:color="auto"/>
              <w:right w:val="nil"/>
            </w:tcBorders>
          </w:tcPr>
          <w:p w:rsidR="00B63584" w:rsidRDefault="00B63584" w:rsidP="00B63584">
            <w:pPr>
              <w:jc w:val="center"/>
              <w:rPr>
                <w:b/>
                <w:bCs/>
                <w:sz w:val="18"/>
                <w:szCs w:val="18"/>
              </w:rPr>
            </w:pPr>
            <w:r>
              <w:rPr>
                <w:b/>
                <w:bCs/>
                <w:sz w:val="18"/>
                <w:szCs w:val="18"/>
              </w:rPr>
              <w:t xml:space="preserve"> Capital </w:t>
            </w:r>
          </w:p>
        </w:tc>
        <w:tc>
          <w:tcPr>
            <w:tcW w:w="1656" w:type="dxa"/>
            <w:tcBorders>
              <w:top w:val="nil"/>
              <w:left w:val="nil"/>
              <w:bottom w:val="single" w:sz="4" w:space="0" w:color="auto"/>
              <w:right w:val="nil"/>
            </w:tcBorders>
          </w:tcPr>
          <w:p w:rsidR="00B63584" w:rsidRDefault="00B63584" w:rsidP="00B63584">
            <w:pPr>
              <w:jc w:val="center"/>
              <w:rPr>
                <w:b/>
                <w:bCs/>
                <w:sz w:val="18"/>
                <w:szCs w:val="18"/>
              </w:rPr>
            </w:pPr>
            <w:r>
              <w:rPr>
                <w:b/>
                <w:bCs/>
                <w:sz w:val="18"/>
                <w:szCs w:val="18"/>
              </w:rPr>
              <w:t xml:space="preserve"> Deficit </w:t>
            </w:r>
          </w:p>
        </w:tc>
        <w:tc>
          <w:tcPr>
            <w:tcW w:w="1866" w:type="dxa"/>
            <w:tcBorders>
              <w:top w:val="nil"/>
              <w:left w:val="nil"/>
              <w:bottom w:val="single" w:sz="4" w:space="0" w:color="auto"/>
              <w:right w:val="nil"/>
            </w:tcBorders>
          </w:tcPr>
          <w:p w:rsidR="00B63584" w:rsidRDefault="00B63584" w:rsidP="00B63584">
            <w:pPr>
              <w:jc w:val="center"/>
              <w:rPr>
                <w:b/>
                <w:bCs/>
                <w:sz w:val="18"/>
                <w:szCs w:val="18"/>
              </w:rPr>
            </w:pPr>
            <w:r>
              <w:rPr>
                <w:b/>
                <w:bCs/>
                <w:sz w:val="18"/>
                <w:szCs w:val="18"/>
              </w:rPr>
              <w:t xml:space="preserve"> Equity  </w:t>
            </w:r>
          </w:p>
        </w:tc>
      </w:tr>
      <w:tr w:rsidR="00B63584" w:rsidTr="000D4CCB">
        <w:trPr>
          <w:trHeight w:val="251"/>
        </w:trPr>
        <w:tc>
          <w:tcPr>
            <w:tcW w:w="3996" w:type="dxa"/>
            <w:tcBorders>
              <w:top w:val="nil"/>
              <w:left w:val="nil"/>
              <w:bottom w:val="nil"/>
              <w:right w:val="nil"/>
            </w:tcBorders>
            <w:noWrap/>
          </w:tcPr>
          <w:p w:rsidR="00B63584" w:rsidRDefault="00B63584" w:rsidP="00163082">
            <w:pPr>
              <w:rPr>
                <w:b/>
                <w:bCs/>
                <w:sz w:val="18"/>
                <w:szCs w:val="18"/>
              </w:rPr>
            </w:pPr>
            <w:r>
              <w:rPr>
                <w:b/>
                <w:bCs/>
                <w:sz w:val="18"/>
                <w:szCs w:val="18"/>
              </w:rPr>
              <w:t xml:space="preserve">BALANCE AT DECEMBER 31, </w:t>
            </w:r>
            <w:r w:rsidR="00D62EB9">
              <w:rPr>
                <w:b/>
                <w:bCs/>
                <w:sz w:val="18"/>
                <w:szCs w:val="18"/>
              </w:rPr>
              <w:t>2009</w:t>
            </w:r>
          </w:p>
        </w:tc>
        <w:tc>
          <w:tcPr>
            <w:tcW w:w="1371" w:type="dxa"/>
            <w:tcBorders>
              <w:top w:val="nil"/>
              <w:left w:val="nil"/>
              <w:bottom w:val="nil"/>
              <w:right w:val="nil"/>
            </w:tcBorders>
            <w:noWrap/>
            <w:vAlign w:val="bottom"/>
          </w:tcPr>
          <w:p w:rsidR="00B63584" w:rsidRDefault="00B63584" w:rsidP="00B63584">
            <w:pPr>
              <w:rPr>
                <w:b/>
                <w:bCs/>
                <w:sz w:val="18"/>
                <w:szCs w:val="18"/>
              </w:rPr>
            </w:pPr>
            <w:r>
              <w:rPr>
                <w:b/>
                <w:bCs/>
                <w:sz w:val="18"/>
                <w:szCs w:val="18"/>
              </w:rPr>
              <w:t xml:space="preserve">       4,756,891 </w:t>
            </w:r>
          </w:p>
        </w:tc>
        <w:tc>
          <w:tcPr>
            <w:tcW w:w="1146" w:type="dxa"/>
            <w:tcBorders>
              <w:top w:val="nil"/>
              <w:left w:val="nil"/>
              <w:bottom w:val="nil"/>
              <w:right w:val="nil"/>
            </w:tcBorders>
            <w:noWrap/>
            <w:vAlign w:val="bottom"/>
          </w:tcPr>
          <w:p w:rsidR="00B63584" w:rsidRDefault="00B63584" w:rsidP="000553C5">
            <w:pPr>
              <w:rPr>
                <w:b/>
                <w:bCs/>
                <w:sz w:val="18"/>
                <w:szCs w:val="18"/>
              </w:rPr>
            </w:pPr>
            <w:r>
              <w:rPr>
                <w:b/>
                <w:bCs/>
                <w:sz w:val="18"/>
                <w:szCs w:val="18"/>
              </w:rPr>
              <w:t xml:space="preserve"> $            48 </w:t>
            </w:r>
          </w:p>
        </w:tc>
        <w:tc>
          <w:tcPr>
            <w:tcW w:w="1461" w:type="dxa"/>
            <w:tcBorders>
              <w:top w:val="nil"/>
              <w:left w:val="nil"/>
              <w:bottom w:val="nil"/>
              <w:right w:val="nil"/>
            </w:tcBorders>
            <w:noWrap/>
            <w:vAlign w:val="bottom"/>
          </w:tcPr>
          <w:p w:rsidR="00B63584" w:rsidRDefault="00B63584" w:rsidP="009C341B">
            <w:pPr>
              <w:jc w:val="right"/>
              <w:rPr>
                <w:b/>
                <w:bCs/>
                <w:sz w:val="18"/>
                <w:szCs w:val="18"/>
              </w:rPr>
            </w:pPr>
            <w:r>
              <w:rPr>
                <w:b/>
                <w:bCs/>
                <w:sz w:val="18"/>
                <w:szCs w:val="18"/>
              </w:rPr>
              <w:t xml:space="preserve"> $          65,980 </w:t>
            </w:r>
          </w:p>
        </w:tc>
        <w:tc>
          <w:tcPr>
            <w:tcW w:w="1656" w:type="dxa"/>
            <w:tcBorders>
              <w:top w:val="nil"/>
              <w:left w:val="nil"/>
              <w:bottom w:val="nil"/>
              <w:right w:val="nil"/>
            </w:tcBorders>
            <w:noWrap/>
            <w:vAlign w:val="bottom"/>
          </w:tcPr>
          <w:p w:rsidR="00B63584" w:rsidRDefault="00B63584" w:rsidP="00B63584">
            <w:pPr>
              <w:rPr>
                <w:b/>
                <w:bCs/>
                <w:sz w:val="18"/>
                <w:szCs w:val="18"/>
              </w:rPr>
            </w:pPr>
            <w:r>
              <w:rPr>
                <w:b/>
                <w:bCs/>
                <w:sz w:val="18"/>
                <w:szCs w:val="18"/>
              </w:rPr>
              <w:t xml:space="preserve"> $              (51,498)</w:t>
            </w:r>
          </w:p>
        </w:tc>
        <w:tc>
          <w:tcPr>
            <w:tcW w:w="1866" w:type="dxa"/>
            <w:tcBorders>
              <w:top w:val="nil"/>
              <w:left w:val="nil"/>
              <w:bottom w:val="nil"/>
              <w:right w:val="nil"/>
            </w:tcBorders>
            <w:noWrap/>
            <w:vAlign w:val="bottom"/>
          </w:tcPr>
          <w:p w:rsidR="00B63584" w:rsidRDefault="00B63584" w:rsidP="009C341B">
            <w:pPr>
              <w:jc w:val="right"/>
              <w:rPr>
                <w:b/>
                <w:bCs/>
                <w:sz w:val="18"/>
                <w:szCs w:val="18"/>
              </w:rPr>
            </w:pPr>
            <w:r>
              <w:rPr>
                <w:b/>
                <w:bCs/>
                <w:sz w:val="18"/>
                <w:szCs w:val="18"/>
              </w:rPr>
              <w:t xml:space="preserve"> $                  14,530</w:t>
            </w:r>
          </w:p>
        </w:tc>
      </w:tr>
      <w:tr w:rsidR="00B63584" w:rsidTr="000D4CCB">
        <w:trPr>
          <w:trHeight w:val="251"/>
        </w:trPr>
        <w:tc>
          <w:tcPr>
            <w:tcW w:w="3996" w:type="dxa"/>
            <w:tcBorders>
              <w:top w:val="nil"/>
              <w:left w:val="nil"/>
              <w:bottom w:val="nil"/>
              <w:right w:val="nil"/>
            </w:tcBorders>
            <w:noWrap/>
          </w:tcPr>
          <w:p w:rsidR="00B63584" w:rsidRDefault="00B63584" w:rsidP="00B63584">
            <w:pPr>
              <w:rPr>
                <w:b/>
                <w:bCs/>
                <w:sz w:val="18"/>
                <w:szCs w:val="18"/>
              </w:rPr>
            </w:pPr>
          </w:p>
        </w:tc>
        <w:tc>
          <w:tcPr>
            <w:tcW w:w="1371" w:type="dxa"/>
            <w:tcBorders>
              <w:top w:val="nil"/>
              <w:left w:val="nil"/>
              <w:bottom w:val="nil"/>
              <w:right w:val="nil"/>
            </w:tcBorders>
            <w:noWrap/>
            <w:vAlign w:val="bottom"/>
          </w:tcPr>
          <w:p w:rsidR="00B63584" w:rsidRDefault="00B63584" w:rsidP="00B63584">
            <w:pPr>
              <w:rPr>
                <w:b/>
                <w:bCs/>
                <w:sz w:val="18"/>
                <w:szCs w:val="18"/>
              </w:rPr>
            </w:pPr>
          </w:p>
        </w:tc>
        <w:tc>
          <w:tcPr>
            <w:tcW w:w="1146" w:type="dxa"/>
            <w:tcBorders>
              <w:top w:val="nil"/>
              <w:left w:val="nil"/>
              <w:bottom w:val="nil"/>
              <w:right w:val="nil"/>
            </w:tcBorders>
            <w:noWrap/>
            <w:vAlign w:val="bottom"/>
          </w:tcPr>
          <w:p w:rsidR="00B63584" w:rsidRDefault="00B63584" w:rsidP="00B63584">
            <w:pPr>
              <w:rPr>
                <w:b/>
                <w:bCs/>
                <w:sz w:val="18"/>
                <w:szCs w:val="18"/>
              </w:rPr>
            </w:pPr>
          </w:p>
        </w:tc>
        <w:tc>
          <w:tcPr>
            <w:tcW w:w="1461" w:type="dxa"/>
            <w:tcBorders>
              <w:top w:val="nil"/>
              <w:left w:val="nil"/>
              <w:bottom w:val="nil"/>
              <w:right w:val="nil"/>
            </w:tcBorders>
            <w:noWrap/>
            <w:vAlign w:val="bottom"/>
          </w:tcPr>
          <w:p w:rsidR="00B63584" w:rsidRDefault="00B63584" w:rsidP="009C341B">
            <w:pPr>
              <w:jc w:val="right"/>
              <w:rPr>
                <w:b/>
                <w:bCs/>
                <w:sz w:val="18"/>
                <w:szCs w:val="18"/>
              </w:rPr>
            </w:pPr>
          </w:p>
        </w:tc>
        <w:tc>
          <w:tcPr>
            <w:tcW w:w="1656" w:type="dxa"/>
            <w:tcBorders>
              <w:top w:val="nil"/>
              <w:left w:val="nil"/>
              <w:bottom w:val="nil"/>
              <w:right w:val="nil"/>
            </w:tcBorders>
            <w:noWrap/>
            <w:vAlign w:val="bottom"/>
          </w:tcPr>
          <w:p w:rsidR="00B63584" w:rsidRDefault="00B63584" w:rsidP="00B63584">
            <w:pPr>
              <w:rPr>
                <w:b/>
                <w:bCs/>
                <w:sz w:val="18"/>
                <w:szCs w:val="18"/>
              </w:rPr>
            </w:pPr>
          </w:p>
        </w:tc>
        <w:tc>
          <w:tcPr>
            <w:tcW w:w="1866" w:type="dxa"/>
            <w:tcBorders>
              <w:top w:val="nil"/>
              <w:left w:val="nil"/>
              <w:bottom w:val="nil"/>
              <w:right w:val="nil"/>
            </w:tcBorders>
            <w:noWrap/>
            <w:vAlign w:val="bottom"/>
          </w:tcPr>
          <w:p w:rsidR="00B63584" w:rsidRDefault="00B63584" w:rsidP="009C341B">
            <w:pPr>
              <w:jc w:val="right"/>
              <w:rPr>
                <w:b/>
                <w:bCs/>
                <w:sz w:val="18"/>
                <w:szCs w:val="18"/>
              </w:rPr>
            </w:pPr>
          </w:p>
        </w:tc>
      </w:tr>
      <w:tr w:rsidR="00971F03" w:rsidTr="000D4CCB">
        <w:trPr>
          <w:trHeight w:val="251"/>
        </w:trPr>
        <w:tc>
          <w:tcPr>
            <w:tcW w:w="3996" w:type="dxa"/>
            <w:tcBorders>
              <w:top w:val="nil"/>
              <w:left w:val="nil"/>
              <w:bottom w:val="nil"/>
              <w:right w:val="nil"/>
            </w:tcBorders>
            <w:noWrap/>
          </w:tcPr>
          <w:p w:rsidR="00971F03" w:rsidRDefault="00971F03" w:rsidP="00B63584">
            <w:pPr>
              <w:rPr>
                <w:sz w:val="18"/>
                <w:szCs w:val="18"/>
              </w:rPr>
            </w:pPr>
            <w:r>
              <w:rPr>
                <w:sz w:val="18"/>
                <w:szCs w:val="18"/>
              </w:rPr>
              <w:t>Exercise of stock options and warrants</w:t>
            </w:r>
          </w:p>
        </w:tc>
        <w:tc>
          <w:tcPr>
            <w:tcW w:w="1371" w:type="dxa"/>
            <w:tcBorders>
              <w:top w:val="nil"/>
              <w:left w:val="nil"/>
              <w:bottom w:val="nil"/>
              <w:right w:val="nil"/>
            </w:tcBorders>
            <w:noWrap/>
            <w:vAlign w:val="bottom"/>
          </w:tcPr>
          <w:p w:rsidR="00971F03" w:rsidRDefault="00971F03" w:rsidP="00B63584">
            <w:pPr>
              <w:rPr>
                <w:sz w:val="18"/>
                <w:szCs w:val="18"/>
              </w:rPr>
            </w:pPr>
            <w:r>
              <w:rPr>
                <w:sz w:val="18"/>
                <w:szCs w:val="18"/>
              </w:rPr>
              <w:t xml:space="preserve">            76,179 </w:t>
            </w:r>
          </w:p>
        </w:tc>
        <w:tc>
          <w:tcPr>
            <w:tcW w:w="1146" w:type="dxa"/>
            <w:tcBorders>
              <w:top w:val="nil"/>
              <w:left w:val="nil"/>
              <w:bottom w:val="nil"/>
              <w:right w:val="nil"/>
            </w:tcBorders>
            <w:noWrap/>
            <w:vAlign w:val="bottom"/>
          </w:tcPr>
          <w:p w:rsidR="00971F03" w:rsidRDefault="00971F03" w:rsidP="00B63584">
            <w:pPr>
              <w:rPr>
                <w:sz w:val="18"/>
                <w:szCs w:val="18"/>
              </w:rPr>
            </w:pPr>
            <w:r>
              <w:rPr>
                <w:sz w:val="18"/>
                <w:szCs w:val="18"/>
              </w:rPr>
              <w:t xml:space="preserve">                 1 </w:t>
            </w:r>
          </w:p>
        </w:tc>
        <w:tc>
          <w:tcPr>
            <w:tcW w:w="1461" w:type="dxa"/>
            <w:tcBorders>
              <w:top w:val="nil"/>
              <w:left w:val="nil"/>
              <w:bottom w:val="nil"/>
              <w:right w:val="nil"/>
            </w:tcBorders>
            <w:noWrap/>
            <w:vAlign w:val="bottom"/>
          </w:tcPr>
          <w:p w:rsidR="00971F03" w:rsidRDefault="00971F03" w:rsidP="009C341B">
            <w:pPr>
              <w:jc w:val="right"/>
              <w:rPr>
                <w:sz w:val="18"/>
                <w:szCs w:val="18"/>
              </w:rPr>
            </w:pPr>
            <w:r>
              <w:rPr>
                <w:sz w:val="18"/>
                <w:szCs w:val="18"/>
              </w:rPr>
              <w:t xml:space="preserve">                  180 </w:t>
            </w:r>
          </w:p>
        </w:tc>
        <w:tc>
          <w:tcPr>
            <w:tcW w:w="1656" w:type="dxa"/>
            <w:tcBorders>
              <w:top w:val="nil"/>
              <w:left w:val="nil"/>
              <w:bottom w:val="nil"/>
              <w:right w:val="nil"/>
            </w:tcBorders>
            <w:noWrap/>
            <w:vAlign w:val="bottom"/>
          </w:tcPr>
          <w:p w:rsidR="00971F03" w:rsidRDefault="00971F03" w:rsidP="00B63584">
            <w:pPr>
              <w:rPr>
                <w:sz w:val="18"/>
                <w:szCs w:val="18"/>
              </w:rPr>
            </w:pPr>
            <w:r>
              <w:rPr>
                <w:sz w:val="18"/>
                <w:szCs w:val="18"/>
              </w:rPr>
              <w:t xml:space="preserve">                            - </w:t>
            </w:r>
          </w:p>
        </w:tc>
        <w:tc>
          <w:tcPr>
            <w:tcW w:w="1866" w:type="dxa"/>
            <w:tcBorders>
              <w:top w:val="nil"/>
              <w:left w:val="nil"/>
              <w:bottom w:val="nil"/>
              <w:right w:val="nil"/>
            </w:tcBorders>
            <w:noWrap/>
            <w:vAlign w:val="bottom"/>
          </w:tcPr>
          <w:p w:rsidR="00971F03" w:rsidRDefault="00971F03" w:rsidP="009C341B">
            <w:pPr>
              <w:jc w:val="right"/>
              <w:rPr>
                <w:sz w:val="18"/>
                <w:szCs w:val="18"/>
              </w:rPr>
            </w:pPr>
            <w:r>
              <w:rPr>
                <w:sz w:val="18"/>
                <w:szCs w:val="18"/>
              </w:rPr>
              <w:t xml:space="preserve">                          181 </w:t>
            </w:r>
          </w:p>
        </w:tc>
      </w:tr>
      <w:tr w:rsidR="00971F03" w:rsidTr="000D4CCB">
        <w:trPr>
          <w:trHeight w:val="251"/>
        </w:trPr>
        <w:tc>
          <w:tcPr>
            <w:tcW w:w="3996" w:type="dxa"/>
            <w:tcBorders>
              <w:top w:val="nil"/>
              <w:left w:val="nil"/>
              <w:bottom w:val="nil"/>
              <w:right w:val="nil"/>
            </w:tcBorders>
            <w:noWrap/>
          </w:tcPr>
          <w:p w:rsidR="00971F03" w:rsidRDefault="00971F03" w:rsidP="00B63584">
            <w:pPr>
              <w:rPr>
                <w:sz w:val="18"/>
                <w:szCs w:val="18"/>
              </w:rPr>
            </w:pPr>
          </w:p>
        </w:tc>
        <w:tc>
          <w:tcPr>
            <w:tcW w:w="1371" w:type="dxa"/>
            <w:tcBorders>
              <w:top w:val="nil"/>
              <w:left w:val="nil"/>
              <w:bottom w:val="nil"/>
              <w:right w:val="nil"/>
            </w:tcBorders>
            <w:noWrap/>
            <w:vAlign w:val="bottom"/>
          </w:tcPr>
          <w:p w:rsidR="00971F03" w:rsidRDefault="00971F03" w:rsidP="00B63584">
            <w:pPr>
              <w:rPr>
                <w:sz w:val="18"/>
                <w:szCs w:val="18"/>
              </w:rPr>
            </w:pPr>
          </w:p>
        </w:tc>
        <w:tc>
          <w:tcPr>
            <w:tcW w:w="1146" w:type="dxa"/>
            <w:tcBorders>
              <w:top w:val="nil"/>
              <w:left w:val="nil"/>
              <w:bottom w:val="nil"/>
              <w:right w:val="nil"/>
            </w:tcBorders>
            <w:noWrap/>
            <w:vAlign w:val="bottom"/>
          </w:tcPr>
          <w:p w:rsidR="00971F03" w:rsidRDefault="00971F03" w:rsidP="00B63584">
            <w:pPr>
              <w:rPr>
                <w:sz w:val="18"/>
                <w:szCs w:val="18"/>
              </w:rPr>
            </w:pPr>
          </w:p>
        </w:tc>
        <w:tc>
          <w:tcPr>
            <w:tcW w:w="1461" w:type="dxa"/>
            <w:tcBorders>
              <w:top w:val="nil"/>
              <w:left w:val="nil"/>
              <w:bottom w:val="nil"/>
              <w:right w:val="nil"/>
            </w:tcBorders>
            <w:noWrap/>
            <w:vAlign w:val="bottom"/>
          </w:tcPr>
          <w:p w:rsidR="00971F03" w:rsidRDefault="00971F03" w:rsidP="009C341B">
            <w:pPr>
              <w:jc w:val="right"/>
              <w:rPr>
                <w:sz w:val="18"/>
                <w:szCs w:val="18"/>
              </w:rPr>
            </w:pPr>
          </w:p>
        </w:tc>
        <w:tc>
          <w:tcPr>
            <w:tcW w:w="1656" w:type="dxa"/>
            <w:tcBorders>
              <w:top w:val="nil"/>
              <w:left w:val="nil"/>
              <w:bottom w:val="nil"/>
              <w:right w:val="nil"/>
            </w:tcBorders>
            <w:noWrap/>
            <w:vAlign w:val="bottom"/>
          </w:tcPr>
          <w:p w:rsidR="00971F03" w:rsidRDefault="00971F03" w:rsidP="00B63584">
            <w:pPr>
              <w:rPr>
                <w:sz w:val="18"/>
                <w:szCs w:val="18"/>
              </w:rPr>
            </w:pPr>
          </w:p>
        </w:tc>
        <w:tc>
          <w:tcPr>
            <w:tcW w:w="1866" w:type="dxa"/>
            <w:tcBorders>
              <w:top w:val="nil"/>
              <w:left w:val="nil"/>
              <w:bottom w:val="nil"/>
              <w:right w:val="nil"/>
            </w:tcBorders>
            <w:noWrap/>
            <w:vAlign w:val="bottom"/>
          </w:tcPr>
          <w:p w:rsidR="00971F03" w:rsidRDefault="00971F03" w:rsidP="009C341B">
            <w:pPr>
              <w:jc w:val="right"/>
              <w:rPr>
                <w:sz w:val="18"/>
                <w:szCs w:val="18"/>
              </w:rPr>
            </w:pPr>
          </w:p>
        </w:tc>
      </w:tr>
      <w:tr w:rsidR="00971F03" w:rsidTr="000D4CCB">
        <w:trPr>
          <w:trHeight w:val="251"/>
        </w:trPr>
        <w:tc>
          <w:tcPr>
            <w:tcW w:w="3996" w:type="dxa"/>
            <w:tcBorders>
              <w:top w:val="nil"/>
              <w:left w:val="nil"/>
              <w:bottom w:val="nil"/>
              <w:right w:val="nil"/>
            </w:tcBorders>
            <w:noWrap/>
          </w:tcPr>
          <w:p w:rsidR="00971F03" w:rsidRDefault="00971F03" w:rsidP="00B63584">
            <w:pPr>
              <w:rPr>
                <w:sz w:val="18"/>
                <w:szCs w:val="18"/>
              </w:rPr>
            </w:pPr>
            <w:r>
              <w:rPr>
                <w:sz w:val="18"/>
                <w:szCs w:val="18"/>
              </w:rPr>
              <w:t>Redemption of stock, net of cashless option exercise</w:t>
            </w:r>
          </w:p>
        </w:tc>
        <w:tc>
          <w:tcPr>
            <w:tcW w:w="1371" w:type="dxa"/>
            <w:tcBorders>
              <w:top w:val="nil"/>
              <w:left w:val="nil"/>
              <w:bottom w:val="nil"/>
              <w:right w:val="nil"/>
            </w:tcBorders>
            <w:noWrap/>
            <w:vAlign w:val="bottom"/>
          </w:tcPr>
          <w:p w:rsidR="00971F03" w:rsidRDefault="00971F03" w:rsidP="00B63584">
            <w:pPr>
              <w:rPr>
                <w:sz w:val="18"/>
                <w:szCs w:val="18"/>
              </w:rPr>
            </w:pPr>
            <w:r>
              <w:rPr>
                <w:sz w:val="18"/>
                <w:szCs w:val="18"/>
              </w:rPr>
              <w:t xml:space="preserve">              6,980 </w:t>
            </w:r>
          </w:p>
        </w:tc>
        <w:tc>
          <w:tcPr>
            <w:tcW w:w="1146" w:type="dxa"/>
            <w:tcBorders>
              <w:top w:val="nil"/>
              <w:left w:val="nil"/>
              <w:bottom w:val="nil"/>
              <w:right w:val="nil"/>
            </w:tcBorders>
            <w:noWrap/>
            <w:vAlign w:val="bottom"/>
          </w:tcPr>
          <w:p w:rsidR="00971F03" w:rsidRDefault="00971F03" w:rsidP="00B63584">
            <w:pPr>
              <w:rPr>
                <w:sz w:val="18"/>
                <w:szCs w:val="18"/>
              </w:rPr>
            </w:pPr>
            <w:r>
              <w:rPr>
                <w:sz w:val="18"/>
                <w:szCs w:val="18"/>
              </w:rPr>
              <w:t xml:space="preserve">                 - </w:t>
            </w:r>
          </w:p>
        </w:tc>
        <w:tc>
          <w:tcPr>
            <w:tcW w:w="1461" w:type="dxa"/>
            <w:tcBorders>
              <w:top w:val="nil"/>
              <w:left w:val="nil"/>
              <w:bottom w:val="nil"/>
              <w:right w:val="nil"/>
            </w:tcBorders>
            <w:noWrap/>
            <w:vAlign w:val="bottom"/>
          </w:tcPr>
          <w:p w:rsidR="00971F03" w:rsidRDefault="00971F03" w:rsidP="009C341B">
            <w:pPr>
              <w:jc w:val="right"/>
              <w:rPr>
                <w:sz w:val="18"/>
                <w:szCs w:val="18"/>
              </w:rPr>
            </w:pPr>
            <w:r>
              <w:rPr>
                <w:sz w:val="18"/>
                <w:szCs w:val="18"/>
              </w:rPr>
              <w:t xml:space="preserve">                  (18)</w:t>
            </w:r>
          </w:p>
        </w:tc>
        <w:tc>
          <w:tcPr>
            <w:tcW w:w="1656" w:type="dxa"/>
            <w:tcBorders>
              <w:top w:val="nil"/>
              <w:left w:val="nil"/>
              <w:bottom w:val="nil"/>
              <w:right w:val="nil"/>
            </w:tcBorders>
            <w:noWrap/>
            <w:vAlign w:val="bottom"/>
          </w:tcPr>
          <w:p w:rsidR="00971F03" w:rsidRDefault="009114EA" w:rsidP="00B63584">
            <w:pPr>
              <w:rPr>
                <w:sz w:val="18"/>
                <w:szCs w:val="18"/>
              </w:rPr>
            </w:pPr>
            <w:r>
              <w:rPr>
                <w:sz w:val="18"/>
                <w:szCs w:val="18"/>
              </w:rPr>
              <w:t xml:space="preserve">                            -</w:t>
            </w:r>
          </w:p>
        </w:tc>
        <w:tc>
          <w:tcPr>
            <w:tcW w:w="1866" w:type="dxa"/>
            <w:tcBorders>
              <w:top w:val="nil"/>
              <w:left w:val="nil"/>
              <w:bottom w:val="nil"/>
              <w:right w:val="nil"/>
            </w:tcBorders>
            <w:noWrap/>
            <w:vAlign w:val="bottom"/>
          </w:tcPr>
          <w:p w:rsidR="00971F03" w:rsidRDefault="00971F03" w:rsidP="009C341B">
            <w:pPr>
              <w:jc w:val="right"/>
              <w:rPr>
                <w:sz w:val="18"/>
                <w:szCs w:val="18"/>
              </w:rPr>
            </w:pPr>
            <w:r>
              <w:rPr>
                <w:sz w:val="18"/>
                <w:szCs w:val="18"/>
              </w:rPr>
              <w:t xml:space="preserve">                          (18)</w:t>
            </w:r>
          </w:p>
        </w:tc>
      </w:tr>
      <w:tr w:rsidR="00971F03" w:rsidTr="000D4CCB">
        <w:trPr>
          <w:trHeight w:val="251"/>
        </w:trPr>
        <w:tc>
          <w:tcPr>
            <w:tcW w:w="3996" w:type="dxa"/>
            <w:tcBorders>
              <w:top w:val="nil"/>
              <w:left w:val="nil"/>
              <w:bottom w:val="nil"/>
              <w:right w:val="nil"/>
            </w:tcBorders>
            <w:noWrap/>
          </w:tcPr>
          <w:p w:rsidR="00971F03" w:rsidRDefault="00971F03" w:rsidP="00B63584">
            <w:pPr>
              <w:rPr>
                <w:sz w:val="18"/>
                <w:szCs w:val="18"/>
              </w:rPr>
            </w:pPr>
          </w:p>
        </w:tc>
        <w:tc>
          <w:tcPr>
            <w:tcW w:w="1371" w:type="dxa"/>
            <w:tcBorders>
              <w:top w:val="nil"/>
              <w:left w:val="nil"/>
              <w:bottom w:val="nil"/>
              <w:right w:val="nil"/>
            </w:tcBorders>
            <w:noWrap/>
            <w:vAlign w:val="bottom"/>
          </w:tcPr>
          <w:p w:rsidR="00971F03" w:rsidRDefault="00971F03" w:rsidP="00B63584">
            <w:pPr>
              <w:rPr>
                <w:sz w:val="18"/>
                <w:szCs w:val="18"/>
              </w:rPr>
            </w:pPr>
          </w:p>
        </w:tc>
        <w:tc>
          <w:tcPr>
            <w:tcW w:w="1146" w:type="dxa"/>
            <w:tcBorders>
              <w:top w:val="nil"/>
              <w:left w:val="nil"/>
              <w:bottom w:val="nil"/>
              <w:right w:val="nil"/>
            </w:tcBorders>
            <w:noWrap/>
            <w:vAlign w:val="bottom"/>
          </w:tcPr>
          <w:p w:rsidR="00971F03" w:rsidRDefault="00971F03" w:rsidP="00B63584">
            <w:pPr>
              <w:rPr>
                <w:sz w:val="18"/>
                <w:szCs w:val="18"/>
              </w:rPr>
            </w:pPr>
          </w:p>
        </w:tc>
        <w:tc>
          <w:tcPr>
            <w:tcW w:w="1461" w:type="dxa"/>
            <w:tcBorders>
              <w:top w:val="nil"/>
              <w:left w:val="nil"/>
              <w:bottom w:val="nil"/>
              <w:right w:val="nil"/>
            </w:tcBorders>
            <w:noWrap/>
            <w:vAlign w:val="bottom"/>
          </w:tcPr>
          <w:p w:rsidR="00971F03" w:rsidRDefault="00971F03" w:rsidP="009C341B">
            <w:pPr>
              <w:jc w:val="right"/>
              <w:rPr>
                <w:sz w:val="18"/>
                <w:szCs w:val="18"/>
              </w:rPr>
            </w:pPr>
          </w:p>
        </w:tc>
        <w:tc>
          <w:tcPr>
            <w:tcW w:w="1656" w:type="dxa"/>
            <w:tcBorders>
              <w:top w:val="nil"/>
              <w:left w:val="nil"/>
              <w:bottom w:val="nil"/>
              <w:right w:val="nil"/>
            </w:tcBorders>
            <w:noWrap/>
            <w:vAlign w:val="bottom"/>
          </w:tcPr>
          <w:p w:rsidR="00971F03" w:rsidRDefault="00971F03" w:rsidP="00B63584">
            <w:pPr>
              <w:rPr>
                <w:sz w:val="18"/>
                <w:szCs w:val="18"/>
              </w:rPr>
            </w:pPr>
          </w:p>
        </w:tc>
        <w:tc>
          <w:tcPr>
            <w:tcW w:w="1866" w:type="dxa"/>
            <w:tcBorders>
              <w:top w:val="nil"/>
              <w:left w:val="nil"/>
              <w:bottom w:val="nil"/>
              <w:right w:val="nil"/>
            </w:tcBorders>
            <w:noWrap/>
            <w:vAlign w:val="bottom"/>
          </w:tcPr>
          <w:p w:rsidR="00971F03" w:rsidRDefault="00971F03" w:rsidP="009C341B">
            <w:pPr>
              <w:jc w:val="right"/>
              <w:rPr>
                <w:sz w:val="18"/>
                <w:szCs w:val="18"/>
              </w:rPr>
            </w:pPr>
          </w:p>
        </w:tc>
      </w:tr>
      <w:tr w:rsidR="00971F03" w:rsidTr="000D4CCB">
        <w:trPr>
          <w:trHeight w:val="251"/>
        </w:trPr>
        <w:tc>
          <w:tcPr>
            <w:tcW w:w="3996" w:type="dxa"/>
            <w:tcBorders>
              <w:top w:val="nil"/>
              <w:left w:val="nil"/>
              <w:bottom w:val="nil"/>
              <w:right w:val="nil"/>
            </w:tcBorders>
            <w:noWrap/>
          </w:tcPr>
          <w:p w:rsidR="00971F03" w:rsidRDefault="00971F03" w:rsidP="000553C5">
            <w:pPr>
              <w:rPr>
                <w:sz w:val="18"/>
                <w:szCs w:val="18"/>
              </w:rPr>
            </w:pPr>
            <w:r>
              <w:rPr>
                <w:sz w:val="18"/>
                <w:szCs w:val="18"/>
              </w:rPr>
              <w:t>Issuance of restricted shares</w:t>
            </w:r>
          </w:p>
        </w:tc>
        <w:tc>
          <w:tcPr>
            <w:tcW w:w="1371" w:type="dxa"/>
            <w:tcBorders>
              <w:top w:val="nil"/>
              <w:left w:val="nil"/>
              <w:bottom w:val="nil"/>
              <w:right w:val="nil"/>
            </w:tcBorders>
            <w:noWrap/>
            <w:vAlign w:val="bottom"/>
          </w:tcPr>
          <w:p w:rsidR="00971F03" w:rsidRDefault="00971F03" w:rsidP="00B63584">
            <w:pPr>
              <w:rPr>
                <w:sz w:val="18"/>
                <w:szCs w:val="18"/>
              </w:rPr>
            </w:pPr>
            <w:r>
              <w:rPr>
                <w:sz w:val="18"/>
                <w:szCs w:val="18"/>
              </w:rPr>
              <w:t xml:space="preserve">            55,933 </w:t>
            </w:r>
          </w:p>
        </w:tc>
        <w:tc>
          <w:tcPr>
            <w:tcW w:w="1146" w:type="dxa"/>
            <w:tcBorders>
              <w:top w:val="nil"/>
              <w:left w:val="nil"/>
              <w:bottom w:val="nil"/>
              <w:right w:val="nil"/>
            </w:tcBorders>
            <w:noWrap/>
            <w:vAlign w:val="bottom"/>
          </w:tcPr>
          <w:p w:rsidR="00971F03" w:rsidRDefault="00971F03" w:rsidP="00B63584">
            <w:pPr>
              <w:rPr>
                <w:sz w:val="18"/>
                <w:szCs w:val="18"/>
              </w:rPr>
            </w:pPr>
            <w:r>
              <w:rPr>
                <w:sz w:val="18"/>
                <w:szCs w:val="18"/>
              </w:rPr>
              <w:t xml:space="preserve">                 - </w:t>
            </w:r>
          </w:p>
        </w:tc>
        <w:tc>
          <w:tcPr>
            <w:tcW w:w="1461" w:type="dxa"/>
            <w:tcBorders>
              <w:top w:val="nil"/>
              <w:left w:val="nil"/>
              <w:bottom w:val="nil"/>
              <w:right w:val="nil"/>
            </w:tcBorders>
            <w:noWrap/>
            <w:vAlign w:val="bottom"/>
          </w:tcPr>
          <w:p w:rsidR="00971F03" w:rsidRDefault="00971F03" w:rsidP="009C341B">
            <w:pPr>
              <w:jc w:val="right"/>
              <w:rPr>
                <w:sz w:val="18"/>
                <w:szCs w:val="18"/>
              </w:rPr>
            </w:pPr>
            <w:r>
              <w:rPr>
                <w:sz w:val="18"/>
                <w:szCs w:val="18"/>
              </w:rPr>
              <w:t xml:space="preserve">                    52 </w:t>
            </w:r>
          </w:p>
        </w:tc>
        <w:tc>
          <w:tcPr>
            <w:tcW w:w="1656" w:type="dxa"/>
            <w:tcBorders>
              <w:top w:val="nil"/>
              <w:left w:val="nil"/>
              <w:bottom w:val="nil"/>
              <w:right w:val="nil"/>
            </w:tcBorders>
            <w:noWrap/>
            <w:vAlign w:val="bottom"/>
          </w:tcPr>
          <w:p w:rsidR="00971F03" w:rsidRDefault="00971F03" w:rsidP="00B63584">
            <w:pPr>
              <w:rPr>
                <w:sz w:val="18"/>
                <w:szCs w:val="18"/>
              </w:rPr>
            </w:pPr>
            <w:r>
              <w:rPr>
                <w:sz w:val="18"/>
                <w:szCs w:val="18"/>
              </w:rPr>
              <w:t xml:space="preserve">                            - </w:t>
            </w:r>
          </w:p>
        </w:tc>
        <w:tc>
          <w:tcPr>
            <w:tcW w:w="1866" w:type="dxa"/>
            <w:tcBorders>
              <w:top w:val="nil"/>
              <w:left w:val="nil"/>
              <w:bottom w:val="nil"/>
              <w:right w:val="nil"/>
            </w:tcBorders>
            <w:noWrap/>
            <w:vAlign w:val="bottom"/>
          </w:tcPr>
          <w:p w:rsidR="00971F03" w:rsidRDefault="00971F03" w:rsidP="009C341B">
            <w:pPr>
              <w:jc w:val="right"/>
              <w:rPr>
                <w:sz w:val="18"/>
                <w:szCs w:val="18"/>
              </w:rPr>
            </w:pPr>
            <w:r>
              <w:rPr>
                <w:sz w:val="18"/>
                <w:szCs w:val="18"/>
              </w:rPr>
              <w:t xml:space="preserve">                            52 </w:t>
            </w:r>
          </w:p>
        </w:tc>
      </w:tr>
      <w:tr w:rsidR="00971F03" w:rsidTr="000D4CCB">
        <w:trPr>
          <w:trHeight w:val="251"/>
        </w:trPr>
        <w:tc>
          <w:tcPr>
            <w:tcW w:w="3996" w:type="dxa"/>
            <w:tcBorders>
              <w:top w:val="nil"/>
              <w:left w:val="nil"/>
              <w:bottom w:val="nil"/>
              <w:right w:val="nil"/>
            </w:tcBorders>
            <w:noWrap/>
          </w:tcPr>
          <w:p w:rsidR="00971F03" w:rsidRDefault="00971F03" w:rsidP="00B63584">
            <w:pPr>
              <w:rPr>
                <w:sz w:val="18"/>
                <w:szCs w:val="18"/>
              </w:rPr>
            </w:pPr>
          </w:p>
        </w:tc>
        <w:tc>
          <w:tcPr>
            <w:tcW w:w="1371" w:type="dxa"/>
            <w:tcBorders>
              <w:top w:val="nil"/>
              <w:left w:val="nil"/>
              <w:bottom w:val="nil"/>
              <w:right w:val="nil"/>
            </w:tcBorders>
            <w:noWrap/>
            <w:vAlign w:val="bottom"/>
          </w:tcPr>
          <w:p w:rsidR="00971F03" w:rsidRDefault="00971F03" w:rsidP="00B63584">
            <w:pPr>
              <w:rPr>
                <w:sz w:val="18"/>
                <w:szCs w:val="18"/>
              </w:rPr>
            </w:pPr>
          </w:p>
        </w:tc>
        <w:tc>
          <w:tcPr>
            <w:tcW w:w="1146" w:type="dxa"/>
            <w:tcBorders>
              <w:top w:val="nil"/>
              <w:left w:val="nil"/>
              <w:bottom w:val="nil"/>
              <w:right w:val="nil"/>
            </w:tcBorders>
            <w:noWrap/>
            <w:vAlign w:val="bottom"/>
          </w:tcPr>
          <w:p w:rsidR="00971F03" w:rsidRDefault="00971F03" w:rsidP="00B63584">
            <w:pPr>
              <w:rPr>
                <w:sz w:val="18"/>
                <w:szCs w:val="18"/>
              </w:rPr>
            </w:pPr>
          </w:p>
        </w:tc>
        <w:tc>
          <w:tcPr>
            <w:tcW w:w="1461" w:type="dxa"/>
            <w:tcBorders>
              <w:top w:val="nil"/>
              <w:left w:val="nil"/>
              <w:bottom w:val="nil"/>
              <w:right w:val="nil"/>
            </w:tcBorders>
            <w:noWrap/>
            <w:vAlign w:val="bottom"/>
          </w:tcPr>
          <w:p w:rsidR="00971F03" w:rsidRDefault="00971F03" w:rsidP="009C341B">
            <w:pPr>
              <w:jc w:val="right"/>
              <w:rPr>
                <w:sz w:val="18"/>
                <w:szCs w:val="18"/>
              </w:rPr>
            </w:pPr>
          </w:p>
        </w:tc>
        <w:tc>
          <w:tcPr>
            <w:tcW w:w="1656" w:type="dxa"/>
            <w:tcBorders>
              <w:top w:val="nil"/>
              <w:left w:val="nil"/>
              <w:bottom w:val="nil"/>
              <w:right w:val="nil"/>
            </w:tcBorders>
            <w:noWrap/>
            <w:vAlign w:val="bottom"/>
          </w:tcPr>
          <w:p w:rsidR="00971F03" w:rsidRDefault="00971F03" w:rsidP="00B63584">
            <w:pPr>
              <w:rPr>
                <w:sz w:val="18"/>
                <w:szCs w:val="18"/>
              </w:rPr>
            </w:pPr>
          </w:p>
        </w:tc>
        <w:tc>
          <w:tcPr>
            <w:tcW w:w="1866" w:type="dxa"/>
            <w:tcBorders>
              <w:top w:val="nil"/>
              <w:left w:val="nil"/>
              <w:bottom w:val="nil"/>
              <w:right w:val="nil"/>
            </w:tcBorders>
            <w:noWrap/>
            <w:vAlign w:val="bottom"/>
          </w:tcPr>
          <w:p w:rsidR="00971F03" w:rsidRDefault="00971F03" w:rsidP="009C341B">
            <w:pPr>
              <w:jc w:val="right"/>
              <w:rPr>
                <w:sz w:val="18"/>
                <w:szCs w:val="18"/>
              </w:rPr>
            </w:pPr>
          </w:p>
        </w:tc>
      </w:tr>
      <w:tr w:rsidR="00971F03" w:rsidTr="000D4CCB">
        <w:trPr>
          <w:trHeight w:val="251"/>
        </w:trPr>
        <w:tc>
          <w:tcPr>
            <w:tcW w:w="3996" w:type="dxa"/>
            <w:tcBorders>
              <w:top w:val="nil"/>
              <w:left w:val="nil"/>
              <w:bottom w:val="nil"/>
              <w:right w:val="nil"/>
            </w:tcBorders>
            <w:noWrap/>
            <w:vAlign w:val="bottom"/>
          </w:tcPr>
          <w:p w:rsidR="00971F03" w:rsidRDefault="00971F03" w:rsidP="00B63584">
            <w:pPr>
              <w:rPr>
                <w:color w:val="000000"/>
                <w:sz w:val="18"/>
                <w:szCs w:val="18"/>
              </w:rPr>
            </w:pPr>
            <w:r>
              <w:rPr>
                <w:color w:val="000000"/>
                <w:sz w:val="18"/>
                <w:szCs w:val="18"/>
              </w:rPr>
              <w:t>Share based compensation</w:t>
            </w:r>
          </w:p>
        </w:tc>
        <w:tc>
          <w:tcPr>
            <w:tcW w:w="1371" w:type="dxa"/>
            <w:tcBorders>
              <w:top w:val="nil"/>
              <w:left w:val="nil"/>
              <w:bottom w:val="nil"/>
              <w:right w:val="nil"/>
            </w:tcBorders>
            <w:noWrap/>
            <w:vAlign w:val="bottom"/>
          </w:tcPr>
          <w:p w:rsidR="00971F03" w:rsidRDefault="00971F03" w:rsidP="00B63584">
            <w:pPr>
              <w:rPr>
                <w:sz w:val="18"/>
                <w:szCs w:val="18"/>
              </w:rPr>
            </w:pPr>
            <w:r>
              <w:rPr>
                <w:sz w:val="18"/>
                <w:szCs w:val="18"/>
              </w:rPr>
              <w:t xml:space="preserve">                      - </w:t>
            </w:r>
          </w:p>
        </w:tc>
        <w:tc>
          <w:tcPr>
            <w:tcW w:w="1146" w:type="dxa"/>
            <w:tcBorders>
              <w:top w:val="nil"/>
              <w:left w:val="nil"/>
              <w:bottom w:val="nil"/>
              <w:right w:val="nil"/>
            </w:tcBorders>
            <w:noWrap/>
            <w:vAlign w:val="bottom"/>
          </w:tcPr>
          <w:p w:rsidR="00971F03" w:rsidRDefault="00971F03" w:rsidP="00B63584">
            <w:pPr>
              <w:rPr>
                <w:sz w:val="18"/>
                <w:szCs w:val="18"/>
              </w:rPr>
            </w:pPr>
            <w:r>
              <w:rPr>
                <w:sz w:val="18"/>
                <w:szCs w:val="18"/>
              </w:rPr>
              <w:t xml:space="preserve">                 - </w:t>
            </w:r>
          </w:p>
        </w:tc>
        <w:tc>
          <w:tcPr>
            <w:tcW w:w="1461" w:type="dxa"/>
            <w:tcBorders>
              <w:top w:val="nil"/>
              <w:left w:val="nil"/>
              <w:bottom w:val="nil"/>
              <w:right w:val="nil"/>
            </w:tcBorders>
            <w:noWrap/>
            <w:vAlign w:val="bottom"/>
          </w:tcPr>
          <w:p w:rsidR="00971F03" w:rsidRDefault="00971F03" w:rsidP="009C341B">
            <w:pPr>
              <w:jc w:val="right"/>
              <w:rPr>
                <w:sz w:val="18"/>
                <w:szCs w:val="18"/>
              </w:rPr>
            </w:pPr>
            <w:r>
              <w:rPr>
                <w:sz w:val="18"/>
                <w:szCs w:val="18"/>
              </w:rPr>
              <w:t xml:space="preserve">                  438</w:t>
            </w:r>
          </w:p>
        </w:tc>
        <w:tc>
          <w:tcPr>
            <w:tcW w:w="1656" w:type="dxa"/>
            <w:tcBorders>
              <w:top w:val="nil"/>
              <w:left w:val="nil"/>
              <w:bottom w:val="nil"/>
              <w:right w:val="nil"/>
            </w:tcBorders>
            <w:noWrap/>
            <w:vAlign w:val="bottom"/>
          </w:tcPr>
          <w:p w:rsidR="00971F03" w:rsidRDefault="00971F03" w:rsidP="00B63584">
            <w:pPr>
              <w:rPr>
                <w:sz w:val="18"/>
                <w:szCs w:val="18"/>
              </w:rPr>
            </w:pPr>
            <w:r>
              <w:rPr>
                <w:sz w:val="18"/>
                <w:szCs w:val="18"/>
              </w:rPr>
              <w:t xml:space="preserve">                            - </w:t>
            </w:r>
          </w:p>
        </w:tc>
        <w:tc>
          <w:tcPr>
            <w:tcW w:w="1866" w:type="dxa"/>
            <w:tcBorders>
              <w:top w:val="nil"/>
              <w:left w:val="nil"/>
              <w:bottom w:val="nil"/>
              <w:right w:val="nil"/>
            </w:tcBorders>
            <w:noWrap/>
            <w:vAlign w:val="bottom"/>
          </w:tcPr>
          <w:p w:rsidR="00971F03" w:rsidRDefault="00971F03" w:rsidP="009C341B">
            <w:pPr>
              <w:jc w:val="right"/>
              <w:rPr>
                <w:sz w:val="18"/>
                <w:szCs w:val="18"/>
              </w:rPr>
            </w:pPr>
            <w:r>
              <w:rPr>
                <w:sz w:val="18"/>
                <w:szCs w:val="18"/>
              </w:rPr>
              <w:t xml:space="preserve">                          438 </w:t>
            </w:r>
          </w:p>
        </w:tc>
      </w:tr>
      <w:tr w:rsidR="00971F03" w:rsidTr="000D4CCB">
        <w:trPr>
          <w:trHeight w:val="266"/>
        </w:trPr>
        <w:tc>
          <w:tcPr>
            <w:tcW w:w="3996" w:type="dxa"/>
            <w:tcBorders>
              <w:top w:val="nil"/>
              <w:left w:val="nil"/>
              <w:bottom w:val="nil"/>
              <w:right w:val="nil"/>
            </w:tcBorders>
            <w:noWrap/>
            <w:vAlign w:val="bottom"/>
          </w:tcPr>
          <w:p w:rsidR="00971F03" w:rsidRDefault="00971F03" w:rsidP="00B63584">
            <w:pPr>
              <w:rPr>
                <w:color w:val="000000"/>
                <w:sz w:val="18"/>
                <w:szCs w:val="18"/>
              </w:rPr>
            </w:pPr>
          </w:p>
        </w:tc>
        <w:tc>
          <w:tcPr>
            <w:tcW w:w="1371" w:type="dxa"/>
            <w:tcBorders>
              <w:top w:val="nil"/>
              <w:left w:val="nil"/>
              <w:bottom w:val="nil"/>
              <w:right w:val="nil"/>
            </w:tcBorders>
            <w:noWrap/>
            <w:vAlign w:val="bottom"/>
          </w:tcPr>
          <w:p w:rsidR="00971F03" w:rsidRDefault="00971F03" w:rsidP="00B63584">
            <w:pPr>
              <w:rPr>
                <w:sz w:val="18"/>
                <w:szCs w:val="18"/>
              </w:rPr>
            </w:pPr>
          </w:p>
        </w:tc>
        <w:tc>
          <w:tcPr>
            <w:tcW w:w="1146" w:type="dxa"/>
            <w:tcBorders>
              <w:top w:val="nil"/>
              <w:left w:val="nil"/>
              <w:bottom w:val="nil"/>
              <w:right w:val="nil"/>
            </w:tcBorders>
            <w:noWrap/>
            <w:vAlign w:val="bottom"/>
          </w:tcPr>
          <w:p w:rsidR="00971F03" w:rsidRDefault="00971F03" w:rsidP="00B63584">
            <w:pPr>
              <w:rPr>
                <w:sz w:val="18"/>
                <w:szCs w:val="18"/>
              </w:rPr>
            </w:pPr>
          </w:p>
        </w:tc>
        <w:tc>
          <w:tcPr>
            <w:tcW w:w="1461" w:type="dxa"/>
            <w:tcBorders>
              <w:top w:val="nil"/>
              <w:left w:val="nil"/>
              <w:bottom w:val="nil"/>
              <w:right w:val="nil"/>
            </w:tcBorders>
            <w:noWrap/>
            <w:vAlign w:val="bottom"/>
          </w:tcPr>
          <w:p w:rsidR="00971F03" w:rsidRDefault="00971F03" w:rsidP="009C341B">
            <w:pPr>
              <w:jc w:val="right"/>
              <w:rPr>
                <w:sz w:val="18"/>
                <w:szCs w:val="18"/>
              </w:rPr>
            </w:pPr>
          </w:p>
        </w:tc>
        <w:tc>
          <w:tcPr>
            <w:tcW w:w="1656" w:type="dxa"/>
            <w:tcBorders>
              <w:top w:val="nil"/>
              <w:left w:val="nil"/>
              <w:bottom w:val="nil"/>
              <w:right w:val="nil"/>
            </w:tcBorders>
            <w:noWrap/>
            <w:vAlign w:val="bottom"/>
          </w:tcPr>
          <w:p w:rsidR="00971F03" w:rsidRDefault="00971F03" w:rsidP="00B63584">
            <w:pPr>
              <w:rPr>
                <w:sz w:val="18"/>
                <w:szCs w:val="18"/>
              </w:rPr>
            </w:pPr>
          </w:p>
        </w:tc>
        <w:tc>
          <w:tcPr>
            <w:tcW w:w="1866" w:type="dxa"/>
            <w:tcBorders>
              <w:top w:val="nil"/>
              <w:left w:val="nil"/>
              <w:bottom w:val="nil"/>
              <w:right w:val="nil"/>
            </w:tcBorders>
            <w:noWrap/>
            <w:vAlign w:val="bottom"/>
          </w:tcPr>
          <w:p w:rsidR="00971F03" w:rsidRDefault="00971F03" w:rsidP="009C341B">
            <w:pPr>
              <w:jc w:val="right"/>
              <w:rPr>
                <w:sz w:val="18"/>
                <w:szCs w:val="18"/>
              </w:rPr>
            </w:pPr>
          </w:p>
        </w:tc>
      </w:tr>
      <w:tr w:rsidR="00971F03" w:rsidTr="000D4CCB">
        <w:trPr>
          <w:trHeight w:val="251"/>
        </w:trPr>
        <w:tc>
          <w:tcPr>
            <w:tcW w:w="3996" w:type="dxa"/>
            <w:tcBorders>
              <w:top w:val="nil"/>
              <w:left w:val="nil"/>
              <w:bottom w:val="nil"/>
              <w:right w:val="nil"/>
            </w:tcBorders>
            <w:noWrap/>
          </w:tcPr>
          <w:p w:rsidR="00971F03" w:rsidRDefault="00971F03" w:rsidP="00B63584">
            <w:pPr>
              <w:rPr>
                <w:sz w:val="18"/>
                <w:szCs w:val="18"/>
              </w:rPr>
            </w:pPr>
            <w:r>
              <w:rPr>
                <w:sz w:val="18"/>
                <w:szCs w:val="18"/>
              </w:rPr>
              <w:t xml:space="preserve">Net income </w:t>
            </w:r>
          </w:p>
        </w:tc>
        <w:tc>
          <w:tcPr>
            <w:tcW w:w="1371" w:type="dxa"/>
            <w:tcBorders>
              <w:top w:val="nil"/>
              <w:left w:val="nil"/>
              <w:bottom w:val="nil"/>
              <w:right w:val="nil"/>
            </w:tcBorders>
            <w:noWrap/>
            <w:vAlign w:val="bottom"/>
          </w:tcPr>
          <w:p w:rsidR="00971F03" w:rsidRDefault="00971F03" w:rsidP="00B63584">
            <w:pPr>
              <w:rPr>
                <w:sz w:val="18"/>
                <w:szCs w:val="18"/>
              </w:rPr>
            </w:pPr>
            <w:r>
              <w:rPr>
                <w:sz w:val="18"/>
                <w:szCs w:val="18"/>
              </w:rPr>
              <w:t xml:space="preserve">                      - </w:t>
            </w:r>
          </w:p>
        </w:tc>
        <w:tc>
          <w:tcPr>
            <w:tcW w:w="1146" w:type="dxa"/>
            <w:tcBorders>
              <w:top w:val="nil"/>
              <w:left w:val="nil"/>
              <w:bottom w:val="nil"/>
              <w:right w:val="nil"/>
            </w:tcBorders>
            <w:noWrap/>
            <w:vAlign w:val="bottom"/>
          </w:tcPr>
          <w:p w:rsidR="00971F03" w:rsidRDefault="00971F03" w:rsidP="00B63584">
            <w:pPr>
              <w:rPr>
                <w:sz w:val="18"/>
                <w:szCs w:val="18"/>
              </w:rPr>
            </w:pPr>
            <w:r>
              <w:rPr>
                <w:sz w:val="18"/>
                <w:szCs w:val="18"/>
              </w:rPr>
              <w:t xml:space="preserve">                 - </w:t>
            </w:r>
          </w:p>
        </w:tc>
        <w:tc>
          <w:tcPr>
            <w:tcW w:w="1461" w:type="dxa"/>
            <w:tcBorders>
              <w:top w:val="nil"/>
              <w:left w:val="nil"/>
              <w:bottom w:val="nil"/>
              <w:right w:val="nil"/>
            </w:tcBorders>
            <w:noWrap/>
            <w:vAlign w:val="bottom"/>
          </w:tcPr>
          <w:p w:rsidR="00971F03" w:rsidRDefault="00971F03" w:rsidP="009C341B">
            <w:pPr>
              <w:jc w:val="right"/>
              <w:rPr>
                <w:sz w:val="18"/>
                <w:szCs w:val="18"/>
              </w:rPr>
            </w:pPr>
            <w:r>
              <w:rPr>
                <w:sz w:val="18"/>
                <w:szCs w:val="18"/>
              </w:rPr>
              <w:t xml:space="preserve">                      - </w:t>
            </w:r>
          </w:p>
        </w:tc>
        <w:tc>
          <w:tcPr>
            <w:tcW w:w="1656" w:type="dxa"/>
            <w:tcBorders>
              <w:top w:val="nil"/>
              <w:left w:val="nil"/>
              <w:bottom w:val="nil"/>
              <w:right w:val="nil"/>
            </w:tcBorders>
            <w:noWrap/>
            <w:vAlign w:val="bottom"/>
          </w:tcPr>
          <w:p w:rsidR="00971F03" w:rsidRDefault="00971F03" w:rsidP="00B63584">
            <w:pPr>
              <w:rPr>
                <w:sz w:val="18"/>
                <w:szCs w:val="18"/>
              </w:rPr>
            </w:pPr>
            <w:r>
              <w:rPr>
                <w:sz w:val="18"/>
                <w:szCs w:val="18"/>
              </w:rPr>
              <w:t xml:space="preserve">                    1,012</w:t>
            </w:r>
          </w:p>
        </w:tc>
        <w:tc>
          <w:tcPr>
            <w:tcW w:w="1866" w:type="dxa"/>
            <w:tcBorders>
              <w:top w:val="nil"/>
              <w:left w:val="nil"/>
              <w:bottom w:val="nil"/>
              <w:right w:val="nil"/>
            </w:tcBorders>
            <w:noWrap/>
            <w:vAlign w:val="bottom"/>
          </w:tcPr>
          <w:p w:rsidR="00971F03" w:rsidRDefault="00971F03" w:rsidP="009C341B">
            <w:pPr>
              <w:jc w:val="right"/>
              <w:rPr>
                <w:sz w:val="18"/>
                <w:szCs w:val="18"/>
              </w:rPr>
            </w:pPr>
            <w:r>
              <w:rPr>
                <w:sz w:val="18"/>
                <w:szCs w:val="18"/>
              </w:rPr>
              <w:t xml:space="preserve">                          1,012</w:t>
            </w:r>
          </w:p>
        </w:tc>
      </w:tr>
      <w:tr w:rsidR="00B63584" w:rsidTr="000D4CCB">
        <w:trPr>
          <w:trHeight w:val="251"/>
        </w:trPr>
        <w:tc>
          <w:tcPr>
            <w:tcW w:w="3996" w:type="dxa"/>
            <w:tcBorders>
              <w:top w:val="nil"/>
              <w:left w:val="nil"/>
              <w:bottom w:val="nil"/>
              <w:right w:val="nil"/>
            </w:tcBorders>
            <w:noWrap/>
          </w:tcPr>
          <w:p w:rsidR="00B63584" w:rsidRDefault="00B63584" w:rsidP="00B63584">
            <w:pPr>
              <w:rPr>
                <w:sz w:val="18"/>
                <w:szCs w:val="18"/>
              </w:rPr>
            </w:pPr>
          </w:p>
        </w:tc>
        <w:tc>
          <w:tcPr>
            <w:tcW w:w="1371" w:type="dxa"/>
            <w:tcBorders>
              <w:top w:val="nil"/>
              <w:left w:val="nil"/>
              <w:bottom w:val="nil"/>
              <w:right w:val="nil"/>
            </w:tcBorders>
            <w:noWrap/>
            <w:vAlign w:val="bottom"/>
          </w:tcPr>
          <w:p w:rsidR="00B63584" w:rsidRDefault="00B63584" w:rsidP="00B63584">
            <w:pPr>
              <w:rPr>
                <w:sz w:val="18"/>
                <w:szCs w:val="18"/>
              </w:rPr>
            </w:pPr>
          </w:p>
        </w:tc>
        <w:tc>
          <w:tcPr>
            <w:tcW w:w="1146" w:type="dxa"/>
            <w:tcBorders>
              <w:top w:val="nil"/>
              <w:left w:val="nil"/>
              <w:bottom w:val="nil"/>
              <w:right w:val="nil"/>
            </w:tcBorders>
            <w:noWrap/>
            <w:vAlign w:val="bottom"/>
          </w:tcPr>
          <w:p w:rsidR="00B63584" w:rsidRDefault="00B63584" w:rsidP="00B63584">
            <w:pPr>
              <w:rPr>
                <w:sz w:val="18"/>
                <w:szCs w:val="18"/>
              </w:rPr>
            </w:pPr>
          </w:p>
        </w:tc>
        <w:tc>
          <w:tcPr>
            <w:tcW w:w="1461" w:type="dxa"/>
            <w:tcBorders>
              <w:top w:val="nil"/>
              <w:left w:val="nil"/>
              <w:bottom w:val="nil"/>
              <w:right w:val="nil"/>
            </w:tcBorders>
            <w:noWrap/>
            <w:vAlign w:val="bottom"/>
          </w:tcPr>
          <w:p w:rsidR="00B63584" w:rsidRDefault="00B63584" w:rsidP="009C341B">
            <w:pPr>
              <w:jc w:val="right"/>
              <w:rPr>
                <w:sz w:val="18"/>
                <w:szCs w:val="18"/>
              </w:rPr>
            </w:pPr>
          </w:p>
        </w:tc>
        <w:tc>
          <w:tcPr>
            <w:tcW w:w="1656" w:type="dxa"/>
            <w:tcBorders>
              <w:top w:val="nil"/>
              <w:left w:val="nil"/>
              <w:bottom w:val="nil"/>
              <w:right w:val="nil"/>
            </w:tcBorders>
            <w:noWrap/>
            <w:vAlign w:val="bottom"/>
          </w:tcPr>
          <w:p w:rsidR="00B63584" w:rsidRDefault="00B63584" w:rsidP="00B63584">
            <w:pPr>
              <w:rPr>
                <w:sz w:val="18"/>
                <w:szCs w:val="18"/>
              </w:rPr>
            </w:pPr>
          </w:p>
        </w:tc>
        <w:tc>
          <w:tcPr>
            <w:tcW w:w="1866" w:type="dxa"/>
            <w:tcBorders>
              <w:top w:val="nil"/>
              <w:left w:val="nil"/>
              <w:bottom w:val="nil"/>
              <w:right w:val="nil"/>
            </w:tcBorders>
            <w:noWrap/>
            <w:vAlign w:val="bottom"/>
          </w:tcPr>
          <w:p w:rsidR="00B63584" w:rsidRDefault="00B63584" w:rsidP="009C341B">
            <w:pPr>
              <w:jc w:val="right"/>
              <w:rPr>
                <w:sz w:val="18"/>
                <w:szCs w:val="18"/>
              </w:rPr>
            </w:pPr>
          </w:p>
        </w:tc>
      </w:tr>
      <w:tr w:rsidR="00B63584" w:rsidTr="00F2275B">
        <w:trPr>
          <w:trHeight w:val="251"/>
        </w:trPr>
        <w:tc>
          <w:tcPr>
            <w:tcW w:w="3996" w:type="dxa"/>
            <w:tcBorders>
              <w:top w:val="nil"/>
              <w:left w:val="nil"/>
              <w:bottom w:val="nil"/>
              <w:right w:val="nil"/>
            </w:tcBorders>
            <w:noWrap/>
          </w:tcPr>
          <w:p w:rsidR="00B63584" w:rsidRDefault="00B63584" w:rsidP="00163082">
            <w:pPr>
              <w:rPr>
                <w:b/>
                <w:bCs/>
                <w:sz w:val="18"/>
                <w:szCs w:val="18"/>
              </w:rPr>
            </w:pPr>
            <w:r>
              <w:rPr>
                <w:b/>
                <w:bCs/>
                <w:sz w:val="18"/>
                <w:szCs w:val="18"/>
              </w:rPr>
              <w:t xml:space="preserve">BALANCE AT DECEMBER 31, </w:t>
            </w:r>
            <w:r w:rsidR="00D62EB9">
              <w:rPr>
                <w:b/>
                <w:bCs/>
                <w:sz w:val="18"/>
                <w:szCs w:val="18"/>
              </w:rPr>
              <w:t>2010</w:t>
            </w:r>
          </w:p>
        </w:tc>
        <w:tc>
          <w:tcPr>
            <w:tcW w:w="1371" w:type="dxa"/>
            <w:tcBorders>
              <w:top w:val="single" w:sz="4" w:space="0" w:color="auto"/>
              <w:left w:val="nil"/>
              <w:bottom w:val="nil"/>
              <w:right w:val="nil"/>
            </w:tcBorders>
            <w:noWrap/>
            <w:vAlign w:val="bottom"/>
          </w:tcPr>
          <w:p w:rsidR="00B63584" w:rsidRDefault="00B63584" w:rsidP="00B63584">
            <w:pPr>
              <w:rPr>
                <w:b/>
                <w:bCs/>
                <w:sz w:val="18"/>
                <w:szCs w:val="18"/>
              </w:rPr>
            </w:pPr>
            <w:r>
              <w:rPr>
                <w:b/>
                <w:bCs/>
                <w:sz w:val="18"/>
                <w:szCs w:val="18"/>
              </w:rPr>
              <w:t xml:space="preserve">       4,895,983</w:t>
            </w:r>
          </w:p>
        </w:tc>
        <w:tc>
          <w:tcPr>
            <w:tcW w:w="1146" w:type="dxa"/>
            <w:tcBorders>
              <w:top w:val="single" w:sz="4" w:space="0" w:color="auto"/>
              <w:left w:val="nil"/>
              <w:bottom w:val="nil"/>
              <w:right w:val="nil"/>
            </w:tcBorders>
            <w:noWrap/>
            <w:vAlign w:val="bottom"/>
          </w:tcPr>
          <w:p w:rsidR="00B63584" w:rsidRDefault="00B63584" w:rsidP="000553C5">
            <w:pPr>
              <w:rPr>
                <w:b/>
                <w:bCs/>
                <w:sz w:val="18"/>
                <w:szCs w:val="18"/>
              </w:rPr>
            </w:pPr>
            <w:r>
              <w:rPr>
                <w:b/>
                <w:bCs/>
                <w:sz w:val="18"/>
                <w:szCs w:val="18"/>
              </w:rPr>
              <w:t xml:space="preserve">               49 </w:t>
            </w:r>
          </w:p>
        </w:tc>
        <w:tc>
          <w:tcPr>
            <w:tcW w:w="1461" w:type="dxa"/>
            <w:tcBorders>
              <w:top w:val="single" w:sz="4" w:space="0" w:color="auto"/>
              <w:left w:val="nil"/>
              <w:bottom w:val="nil"/>
              <w:right w:val="nil"/>
            </w:tcBorders>
            <w:noWrap/>
            <w:vAlign w:val="bottom"/>
          </w:tcPr>
          <w:p w:rsidR="00B63584" w:rsidRDefault="00B63584" w:rsidP="009C341B">
            <w:pPr>
              <w:jc w:val="right"/>
              <w:rPr>
                <w:b/>
                <w:bCs/>
                <w:sz w:val="18"/>
                <w:szCs w:val="18"/>
              </w:rPr>
            </w:pPr>
            <w:r>
              <w:rPr>
                <w:b/>
                <w:bCs/>
                <w:sz w:val="18"/>
                <w:szCs w:val="18"/>
              </w:rPr>
              <w:t xml:space="preserve">             66,632 </w:t>
            </w:r>
          </w:p>
        </w:tc>
        <w:tc>
          <w:tcPr>
            <w:tcW w:w="1656" w:type="dxa"/>
            <w:tcBorders>
              <w:top w:val="single" w:sz="4" w:space="0" w:color="auto"/>
              <w:left w:val="nil"/>
              <w:bottom w:val="nil"/>
              <w:right w:val="nil"/>
            </w:tcBorders>
            <w:noWrap/>
            <w:vAlign w:val="bottom"/>
          </w:tcPr>
          <w:p w:rsidR="00B63584" w:rsidRDefault="00B63584" w:rsidP="00F2275B">
            <w:pPr>
              <w:jc w:val="right"/>
              <w:rPr>
                <w:b/>
                <w:bCs/>
                <w:sz w:val="18"/>
                <w:szCs w:val="18"/>
              </w:rPr>
            </w:pPr>
            <w:r>
              <w:rPr>
                <w:b/>
                <w:bCs/>
                <w:sz w:val="18"/>
                <w:szCs w:val="18"/>
              </w:rPr>
              <w:t xml:space="preserve">                 (50,486)</w:t>
            </w:r>
          </w:p>
        </w:tc>
        <w:tc>
          <w:tcPr>
            <w:tcW w:w="1866" w:type="dxa"/>
            <w:tcBorders>
              <w:top w:val="single" w:sz="4" w:space="0" w:color="auto"/>
              <w:left w:val="nil"/>
              <w:bottom w:val="nil"/>
              <w:right w:val="nil"/>
            </w:tcBorders>
            <w:noWrap/>
            <w:vAlign w:val="bottom"/>
          </w:tcPr>
          <w:p w:rsidR="00B63584" w:rsidRDefault="00B63584" w:rsidP="009C341B">
            <w:pPr>
              <w:jc w:val="right"/>
              <w:rPr>
                <w:b/>
                <w:bCs/>
                <w:sz w:val="18"/>
                <w:szCs w:val="18"/>
              </w:rPr>
            </w:pPr>
            <w:r>
              <w:rPr>
                <w:b/>
                <w:bCs/>
                <w:sz w:val="18"/>
                <w:szCs w:val="18"/>
              </w:rPr>
              <w:t xml:space="preserve">                     </w:t>
            </w:r>
            <w:r w:rsidR="00971F03">
              <w:rPr>
                <w:b/>
                <w:bCs/>
                <w:sz w:val="18"/>
                <w:szCs w:val="18"/>
              </w:rPr>
              <w:t>16,195</w:t>
            </w:r>
          </w:p>
        </w:tc>
      </w:tr>
      <w:tr w:rsidR="00B63584" w:rsidTr="00F2275B">
        <w:trPr>
          <w:trHeight w:val="251"/>
        </w:trPr>
        <w:tc>
          <w:tcPr>
            <w:tcW w:w="3996" w:type="dxa"/>
            <w:tcBorders>
              <w:top w:val="nil"/>
              <w:left w:val="nil"/>
              <w:bottom w:val="nil"/>
              <w:right w:val="nil"/>
            </w:tcBorders>
            <w:noWrap/>
            <w:vAlign w:val="bottom"/>
          </w:tcPr>
          <w:p w:rsidR="00B63584" w:rsidRDefault="00B63584" w:rsidP="00B63584">
            <w:pPr>
              <w:rPr>
                <w:sz w:val="18"/>
                <w:szCs w:val="18"/>
              </w:rPr>
            </w:pPr>
          </w:p>
        </w:tc>
        <w:tc>
          <w:tcPr>
            <w:tcW w:w="1371" w:type="dxa"/>
            <w:tcBorders>
              <w:top w:val="nil"/>
              <w:left w:val="nil"/>
              <w:bottom w:val="nil"/>
              <w:right w:val="nil"/>
            </w:tcBorders>
            <w:noWrap/>
            <w:vAlign w:val="bottom"/>
          </w:tcPr>
          <w:p w:rsidR="00B63584" w:rsidRDefault="00B63584" w:rsidP="00B63584">
            <w:pPr>
              <w:rPr>
                <w:sz w:val="18"/>
                <w:szCs w:val="18"/>
              </w:rPr>
            </w:pPr>
          </w:p>
        </w:tc>
        <w:tc>
          <w:tcPr>
            <w:tcW w:w="1146" w:type="dxa"/>
            <w:tcBorders>
              <w:top w:val="nil"/>
              <w:left w:val="nil"/>
              <w:bottom w:val="nil"/>
              <w:right w:val="nil"/>
            </w:tcBorders>
            <w:noWrap/>
            <w:vAlign w:val="bottom"/>
          </w:tcPr>
          <w:p w:rsidR="00B63584" w:rsidRDefault="00B63584" w:rsidP="00B63584">
            <w:pPr>
              <w:rPr>
                <w:sz w:val="18"/>
                <w:szCs w:val="18"/>
              </w:rPr>
            </w:pPr>
          </w:p>
        </w:tc>
        <w:tc>
          <w:tcPr>
            <w:tcW w:w="1461" w:type="dxa"/>
            <w:tcBorders>
              <w:top w:val="nil"/>
              <w:left w:val="nil"/>
              <w:bottom w:val="nil"/>
              <w:right w:val="nil"/>
            </w:tcBorders>
            <w:noWrap/>
            <w:vAlign w:val="bottom"/>
          </w:tcPr>
          <w:p w:rsidR="00B63584" w:rsidRDefault="00B63584" w:rsidP="009C341B">
            <w:pPr>
              <w:jc w:val="right"/>
              <w:rPr>
                <w:sz w:val="18"/>
                <w:szCs w:val="18"/>
              </w:rPr>
            </w:pPr>
          </w:p>
        </w:tc>
        <w:tc>
          <w:tcPr>
            <w:tcW w:w="1656" w:type="dxa"/>
            <w:tcBorders>
              <w:top w:val="nil"/>
              <w:left w:val="nil"/>
              <w:bottom w:val="nil"/>
              <w:right w:val="nil"/>
            </w:tcBorders>
            <w:noWrap/>
            <w:vAlign w:val="bottom"/>
          </w:tcPr>
          <w:p w:rsidR="00B63584" w:rsidRDefault="00B63584" w:rsidP="00F2275B">
            <w:pPr>
              <w:jc w:val="right"/>
              <w:rPr>
                <w:sz w:val="18"/>
                <w:szCs w:val="18"/>
              </w:rPr>
            </w:pPr>
          </w:p>
        </w:tc>
        <w:tc>
          <w:tcPr>
            <w:tcW w:w="1866" w:type="dxa"/>
            <w:tcBorders>
              <w:top w:val="nil"/>
              <w:left w:val="nil"/>
              <w:bottom w:val="nil"/>
              <w:right w:val="nil"/>
            </w:tcBorders>
            <w:noWrap/>
            <w:vAlign w:val="bottom"/>
          </w:tcPr>
          <w:p w:rsidR="00B63584" w:rsidRDefault="00B63584" w:rsidP="009C341B">
            <w:pPr>
              <w:jc w:val="right"/>
              <w:rPr>
                <w:sz w:val="18"/>
                <w:szCs w:val="18"/>
              </w:rPr>
            </w:pPr>
          </w:p>
        </w:tc>
      </w:tr>
      <w:tr w:rsidR="00B63584" w:rsidTr="00F2275B">
        <w:trPr>
          <w:trHeight w:val="251"/>
        </w:trPr>
        <w:tc>
          <w:tcPr>
            <w:tcW w:w="3996" w:type="dxa"/>
            <w:tcBorders>
              <w:top w:val="nil"/>
              <w:left w:val="nil"/>
              <w:bottom w:val="nil"/>
              <w:right w:val="nil"/>
            </w:tcBorders>
            <w:noWrap/>
          </w:tcPr>
          <w:p w:rsidR="00B63584" w:rsidRDefault="00B63584" w:rsidP="00B63584">
            <w:pPr>
              <w:rPr>
                <w:sz w:val="18"/>
                <w:szCs w:val="18"/>
              </w:rPr>
            </w:pPr>
            <w:r>
              <w:rPr>
                <w:sz w:val="18"/>
                <w:szCs w:val="18"/>
              </w:rPr>
              <w:t xml:space="preserve">Exercise of stock options </w:t>
            </w:r>
          </w:p>
        </w:tc>
        <w:tc>
          <w:tcPr>
            <w:tcW w:w="1371" w:type="dxa"/>
            <w:tcBorders>
              <w:top w:val="nil"/>
              <w:left w:val="nil"/>
              <w:bottom w:val="nil"/>
              <w:right w:val="nil"/>
            </w:tcBorders>
            <w:noWrap/>
            <w:vAlign w:val="bottom"/>
          </w:tcPr>
          <w:p w:rsidR="00B63584" w:rsidRDefault="00B63584">
            <w:pPr>
              <w:rPr>
                <w:sz w:val="18"/>
                <w:szCs w:val="18"/>
              </w:rPr>
            </w:pPr>
            <w:r>
              <w:rPr>
                <w:sz w:val="18"/>
                <w:szCs w:val="18"/>
              </w:rPr>
              <w:t xml:space="preserve">            </w:t>
            </w:r>
            <w:r w:rsidR="00567896">
              <w:rPr>
                <w:sz w:val="18"/>
                <w:szCs w:val="18"/>
              </w:rPr>
              <w:t>31,448</w:t>
            </w:r>
            <w:r>
              <w:rPr>
                <w:sz w:val="18"/>
                <w:szCs w:val="18"/>
              </w:rPr>
              <w:t xml:space="preserve"> </w:t>
            </w:r>
          </w:p>
        </w:tc>
        <w:tc>
          <w:tcPr>
            <w:tcW w:w="1146" w:type="dxa"/>
            <w:tcBorders>
              <w:top w:val="nil"/>
              <w:left w:val="nil"/>
              <w:bottom w:val="nil"/>
              <w:right w:val="nil"/>
            </w:tcBorders>
            <w:noWrap/>
            <w:vAlign w:val="bottom"/>
          </w:tcPr>
          <w:p w:rsidR="00B63584" w:rsidRDefault="00567896" w:rsidP="00B63584">
            <w:pPr>
              <w:rPr>
                <w:sz w:val="18"/>
                <w:szCs w:val="18"/>
              </w:rPr>
            </w:pPr>
            <w:r>
              <w:rPr>
                <w:sz w:val="18"/>
                <w:szCs w:val="18"/>
              </w:rPr>
              <w:t xml:space="preserve">                 -</w:t>
            </w:r>
            <w:r w:rsidR="00B63584">
              <w:rPr>
                <w:sz w:val="18"/>
                <w:szCs w:val="18"/>
              </w:rPr>
              <w:t xml:space="preserve"> </w:t>
            </w:r>
          </w:p>
        </w:tc>
        <w:tc>
          <w:tcPr>
            <w:tcW w:w="1461" w:type="dxa"/>
            <w:tcBorders>
              <w:top w:val="nil"/>
              <w:left w:val="nil"/>
              <w:bottom w:val="nil"/>
              <w:right w:val="nil"/>
            </w:tcBorders>
            <w:noWrap/>
            <w:vAlign w:val="bottom"/>
          </w:tcPr>
          <w:p w:rsidR="00B63584" w:rsidRDefault="00B63584" w:rsidP="009C341B">
            <w:pPr>
              <w:jc w:val="right"/>
              <w:rPr>
                <w:sz w:val="18"/>
                <w:szCs w:val="18"/>
              </w:rPr>
            </w:pPr>
            <w:r>
              <w:rPr>
                <w:sz w:val="18"/>
                <w:szCs w:val="18"/>
              </w:rPr>
              <w:t xml:space="preserve">                  </w:t>
            </w:r>
            <w:r w:rsidR="00567896">
              <w:rPr>
                <w:sz w:val="18"/>
                <w:szCs w:val="18"/>
              </w:rPr>
              <w:t>111</w:t>
            </w:r>
            <w:r>
              <w:rPr>
                <w:sz w:val="18"/>
                <w:szCs w:val="18"/>
              </w:rPr>
              <w:t xml:space="preserve"> </w:t>
            </w:r>
          </w:p>
        </w:tc>
        <w:tc>
          <w:tcPr>
            <w:tcW w:w="1656" w:type="dxa"/>
            <w:tcBorders>
              <w:top w:val="nil"/>
              <w:left w:val="nil"/>
              <w:bottom w:val="nil"/>
              <w:right w:val="nil"/>
            </w:tcBorders>
            <w:noWrap/>
            <w:vAlign w:val="bottom"/>
          </w:tcPr>
          <w:p w:rsidR="00B63584" w:rsidRDefault="00B63584" w:rsidP="00F2275B">
            <w:pPr>
              <w:jc w:val="right"/>
              <w:rPr>
                <w:sz w:val="18"/>
                <w:szCs w:val="18"/>
              </w:rPr>
            </w:pPr>
            <w:r>
              <w:rPr>
                <w:sz w:val="18"/>
                <w:szCs w:val="18"/>
              </w:rPr>
              <w:t xml:space="preserve">                            - </w:t>
            </w:r>
          </w:p>
        </w:tc>
        <w:tc>
          <w:tcPr>
            <w:tcW w:w="1866" w:type="dxa"/>
            <w:tcBorders>
              <w:top w:val="nil"/>
              <w:left w:val="nil"/>
              <w:bottom w:val="nil"/>
              <w:right w:val="nil"/>
            </w:tcBorders>
            <w:noWrap/>
            <w:vAlign w:val="bottom"/>
          </w:tcPr>
          <w:p w:rsidR="00B63584" w:rsidRDefault="00003FEB" w:rsidP="009C341B">
            <w:pPr>
              <w:jc w:val="right"/>
              <w:rPr>
                <w:sz w:val="18"/>
                <w:szCs w:val="18"/>
              </w:rPr>
            </w:pPr>
            <w:r>
              <w:rPr>
                <w:sz w:val="18"/>
                <w:szCs w:val="18"/>
              </w:rPr>
              <w:t>111</w:t>
            </w:r>
            <w:r w:rsidR="00B63584">
              <w:rPr>
                <w:sz w:val="18"/>
                <w:szCs w:val="18"/>
              </w:rPr>
              <w:t xml:space="preserve"> </w:t>
            </w:r>
          </w:p>
        </w:tc>
      </w:tr>
      <w:tr w:rsidR="00B63584" w:rsidTr="00F2275B">
        <w:trPr>
          <w:trHeight w:val="251"/>
        </w:trPr>
        <w:tc>
          <w:tcPr>
            <w:tcW w:w="3996" w:type="dxa"/>
            <w:tcBorders>
              <w:top w:val="nil"/>
              <w:left w:val="nil"/>
              <w:bottom w:val="nil"/>
              <w:right w:val="nil"/>
            </w:tcBorders>
            <w:noWrap/>
          </w:tcPr>
          <w:p w:rsidR="00B63584" w:rsidRDefault="00B63584" w:rsidP="00B63584">
            <w:pPr>
              <w:rPr>
                <w:sz w:val="18"/>
                <w:szCs w:val="18"/>
              </w:rPr>
            </w:pPr>
          </w:p>
        </w:tc>
        <w:tc>
          <w:tcPr>
            <w:tcW w:w="1371" w:type="dxa"/>
            <w:tcBorders>
              <w:top w:val="nil"/>
              <w:left w:val="nil"/>
              <w:bottom w:val="nil"/>
              <w:right w:val="nil"/>
            </w:tcBorders>
            <w:noWrap/>
            <w:vAlign w:val="bottom"/>
          </w:tcPr>
          <w:p w:rsidR="00B63584" w:rsidRDefault="00B63584" w:rsidP="00B63584">
            <w:pPr>
              <w:rPr>
                <w:sz w:val="18"/>
                <w:szCs w:val="18"/>
              </w:rPr>
            </w:pPr>
          </w:p>
        </w:tc>
        <w:tc>
          <w:tcPr>
            <w:tcW w:w="1146" w:type="dxa"/>
            <w:tcBorders>
              <w:top w:val="nil"/>
              <w:left w:val="nil"/>
              <w:bottom w:val="nil"/>
              <w:right w:val="nil"/>
            </w:tcBorders>
            <w:noWrap/>
            <w:vAlign w:val="bottom"/>
          </w:tcPr>
          <w:p w:rsidR="00B63584" w:rsidRDefault="00B63584" w:rsidP="00B63584">
            <w:pPr>
              <w:rPr>
                <w:sz w:val="18"/>
                <w:szCs w:val="18"/>
              </w:rPr>
            </w:pPr>
          </w:p>
        </w:tc>
        <w:tc>
          <w:tcPr>
            <w:tcW w:w="1461" w:type="dxa"/>
            <w:tcBorders>
              <w:top w:val="nil"/>
              <w:left w:val="nil"/>
              <w:bottom w:val="nil"/>
              <w:right w:val="nil"/>
            </w:tcBorders>
            <w:noWrap/>
            <w:vAlign w:val="bottom"/>
          </w:tcPr>
          <w:p w:rsidR="00B63584" w:rsidRDefault="00B63584" w:rsidP="009C341B">
            <w:pPr>
              <w:jc w:val="right"/>
              <w:rPr>
                <w:sz w:val="18"/>
                <w:szCs w:val="18"/>
              </w:rPr>
            </w:pPr>
          </w:p>
        </w:tc>
        <w:tc>
          <w:tcPr>
            <w:tcW w:w="1656" w:type="dxa"/>
            <w:tcBorders>
              <w:top w:val="nil"/>
              <w:left w:val="nil"/>
              <w:bottom w:val="nil"/>
              <w:right w:val="nil"/>
            </w:tcBorders>
            <w:noWrap/>
            <w:vAlign w:val="bottom"/>
          </w:tcPr>
          <w:p w:rsidR="00B63584" w:rsidRDefault="00B63584" w:rsidP="00F2275B">
            <w:pPr>
              <w:jc w:val="right"/>
              <w:rPr>
                <w:sz w:val="18"/>
                <w:szCs w:val="18"/>
              </w:rPr>
            </w:pPr>
          </w:p>
        </w:tc>
        <w:tc>
          <w:tcPr>
            <w:tcW w:w="1866" w:type="dxa"/>
            <w:tcBorders>
              <w:top w:val="nil"/>
              <w:left w:val="nil"/>
              <w:bottom w:val="nil"/>
              <w:right w:val="nil"/>
            </w:tcBorders>
            <w:noWrap/>
            <w:vAlign w:val="bottom"/>
          </w:tcPr>
          <w:p w:rsidR="00B63584" w:rsidRDefault="00B63584" w:rsidP="009C341B">
            <w:pPr>
              <w:jc w:val="right"/>
              <w:rPr>
                <w:sz w:val="18"/>
                <w:szCs w:val="18"/>
              </w:rPr>
            </w:pPr>
          </w:p>
        </w:tc>
      </w:tr>
      <w:tr w:rsidR="00B63584" w:rsidTr="00F2275B">
        <w:trPr>
          <w:trHeight w:val="251"/>
        </w:trPr>
        <w:tc>
          <w:tcPr>
            <w:tcW w:w="3996" w:type="dxa"/>
            <w:tcBorders>
              <w:top w:val="nil"/>
              <w:left w:val="nil"/>
              <w:bottom w:val="nil"/>
              <w:right w:val="nil"/>
            </w:tcBorders>
            <w:noWrap/>
          </w:tcPr>
          <w:p w:rsidR="00B63584" w:rsidRDefault="00B63584" w:rsidP="00B63584">
            <w:pPr>
              <w:rPr>
                <w:sz w:val="18"/>
                <w:szCs w:val="18"/>
              </w:rPr>
            </w:pPr>
            <w:r>
              <w:rPr>
                <w:sz w:val="18"/>
                <w:szCs w:val="18"/>
              </w:rPr>
              <w:t>Redemption of stock, net of cashless option exercise</w:t>
            </w:r>
          </w:p>
        </w:tc>
        <w:tc>
          <w:tcPr>
            <w:tcW w:w="1371" w:type="dxa"/>
            <w:tcBorders>
              <w:top w:val="nil"/>
              <w:left w:val="nil"/>
              <w:bottom w:val="nil"/>
              <w:right w:val="nil"/>
            </w:tcBorders>
            <w:noWrap/>
            <w:vAlign w:val="bottom"/>
          </w:tcPr>
          <w:p w:rsidR="00B63584" w:rsidRDefault="00B63584">
            <w:pPr>
              <w:rPr>
                <w:sz w:val="18"/>
                <w:szCs w:val="18"/>
              </w:rPr>
            </w:pPr>
            <w:r>
              <w:rPr>
                <w:sz w:val="18"/>
                <w:szCs w:val="18"/>
              </w:rPr>
              <w:t xml:space="preserve">              </w:t>
            </w:r>
            <w:r w:rsidR="00567896">
              <w:rPr>
                <w:sz w:val="18"/>
                <w:szCs w:val="18"/>
              </w:rPr>
              <w:t>1,208</w:t>
            </w:r>
            <w:r>
              <w:rPr>
                <w:sz w:val="18"/>
                <w:szCs w:val="18"/>
              </w:rPr>
              <w:t xml:space="preserve"> </w:t>
            </w:r>
          </w:p>
        </w:tc>
        <w:tc>
          <w:tcPr>
            <w:tcW w:w="1146" w:type="dxa"/>
            <w:tcBorders>
              <w:top w:val="nil"/>
              <w:left w:val="nil"/>
              <w:bottom w:val="nil"/>
              <w:right w:val="nil"/>
            </w:tcBorders>
            <w:noWrap/>
            <w:vAlign w:val="bottom"/>
          </w:tcPr>
          <w:p w:rsidR="00B63584" w:rsidRDefault="00B63584" w:rsidP="00B63584">
            <w:pPr>
              <w:rPr>
                <w:sz w:val="18"/>
                <w:szCs w:val="18"/>
              </w:rPr>
            </w:pPr>
            <w:r>
              <w:rPr>
                <w:sz w:val="18"/>
                <w:szCs w:val="18"/>
              </w:rPr>
              <w:t xml:space="preserve">                 - </w:t>
            </w:r>
          </w:p>
        </w:tc>
        <w:tc>
          <w:tcPr>
            <w:tcW w:w="1461" w:type="dxa"/>
            <w:tcBorders>
              <w:top w:val="nil"/>
              <w:left w:val="nil"/>
              <w:bottom w:val="nil"/>
              <w:right w:val="nil"/>
            </w:tcBorders>
            <w:noWrap/>
            <w:vAlign w:val="bottom"/>
          </w:tcPr>
          <w:p w:rsidR="00B63584" w:rsidRDefault="00B63584" w:rsidP="009C341B">
            <w:pPr>
              <w:jc w:val="right"/>
              <w:rPr>
                <w:sz w:val="18"/>
                <w:szCs w:val="18"/>
              </w:rPr>
            </w:pPr>
            <w:r>
              <w:rPr>
                <w:sz w:val="18"/>
                <w:szCs w:val="18"/>
              </w:rPr>
              <w:t xml:space="preserve">                  (</w:t>
            </w:r>
            <w:r w:rsidR="00567896">
              <w:rPr>
                <w:sz w:val="18"/>
                <w:szCs w:val="18"/>
              </w:rPr>
              <w:t>4</w:t>
            </w:r>
            <w:r>
              <w:rPr>
                <w:sz w:val="18"/>
                <w:szCs w:val="18"/>
              </w:rPr>
              <w:t>)</w:t>
            </w:r>
          </w:p>
        </w:tc>
        <w:tc>
          <w:tcPr>
            <w:tcW w:w="1656" w:type="dxa"/>
            <w:tcBorders>
              <w:top w:val="nil"/>
              <w:left w:val="nil"/>
              <w:bottom w:val="nil"/>
              <w:right w:val="nil"/>
            </w:tcBorders>
            <w:noWrap/>
            <w:vAlign w:val="bottom"/>
          </w:tcPr>
          <w:p w:rsidR="00B63584" w:rsidRDefault="00B63584" w:rsidP="00F2275B">
            <w:pPr>
              <w:jc w:val="right"/>
              <w:rPr>
                <w:sz w:val="18"/>
                <w:szCs w:val="18"/>
              </w:rPr>
            </w:pPr>
            <w:r>
              <w:rPr>
                <w:sz w:val="18"/>
                <w:szCs w:val="18"/>
              </w:rPr>
              <w:t xml:space="preserve">                            - </w:t>
            </w:r>
          </w:p>
        </w:tc>
        <w:tc>
          <w:tcPr>
            <w:tcW w:w="1866" w:type="dxa"/>
            <w:tcBorders>
              <w:top w:val="nil"/>
              <w:left w:val="nil"/>
              <w:bottom w:val="nil"/>
              <w:right w:val="nil"/>
            </w:tcBorders>
            <w:noWrap/>
            <w:vAlign w:val="bottom"/>
          </w:tcPr>
          <w:p w:rsidR="00B63584" w:rsidRDefault="00B63584" w:rsidP="009C341B">
            <w:pPr>
              <w:jc w:val="right"/>
              <w:rPr>
                <w:sz w:val="18"/>
                <w:szCs w:val="18"/>
              </w:rPr>
            </w:pPr>
            <w:r>
              <w:rPr>
                <w:sz w:val="18"/>
                <w:szCs w:val="18"/>
              </w:rPr>
              <w:t xml:space="preserve">                          (</w:t>
            </w:r>
            <w:r w:rsidR="00003FEB">
              <w:rPr>
                <w:sz w:val="18"/>
                <w:szCs w:val="18"/>
              </w:rPr>
              <w:t>4</w:t>
            </w:r>
            <w:r>
              <w:rPr>
                <w:sz w:val="18"/>
                <w:szCs w:val="18"/>
              </w:rPr>
              <w:t>)</w:t>
            </w:r>
          </w:p>
        </w:tc>
      </w:tr>
      <w:tr w:rsidR="00B63584" w:rsidTr="00F2275B">
        <w:trPr>
          <w:trHeight w:val="251"/>
        </w:trPr>
        <w:tc>
          <w:tcPr>
            <w:tcW w:w="3996" w:type="dxa"/>
            <w:tcBorders>
              <w:top w:val="nil"/>
              <w:left w:val="nil"/>
              <w:bottom w:val="nil"/>
              <w:right w:val="nil"/>
            </w:tcBorders>
            <w:noWrap/>
          </w:tcPr>
          <w:p w:rsidR="00B63584" w:rsidRDefault="00B63584" w:rsidP="00B63584">
            <w:pPr>
              <w:rPr>
                <w:sz w:val="18"/>
                <w:szCs w:val="18"/>
              </w:rPr>
            </w:pPr>
          </w:p>
        </w:tc>
        <w:tc>
          <w:tcPr>
            <w:tcW w:w="1371" w:type="dxa"/>
            <w:tcBorders>
              <w:top w:val="nil"/>
              <w:left w:val="nil"/>
              <w:bottom w:val="nil"/>
              <w:right w:val="nil"/>
            </w:tcBorders>
            <w:noWrap/>
            <w:vAlign w:val="bottom"/>
          </w:tcPr>
          <w:p w:rsidR="00B63584" w:rsidRDefault="00B63584" w:rsidP="00B63584">
            <w:pPr>
              <w:rPr>
                <w:sz w:val="18"/>
                <w:szCs w:val="18"/>
              </w:rPr>
            </w:pPr>
          </w:p>
        </w:tc>
        <w:tc>
          <w:tcPr>
            <w:tcW w:w="1146" w:type="dxa"/>
            <w:tcBorders>
              <w:top w:val="nil"/>
              <w:left w:val="nil"/>
              <w:bottom w:val="nil"/>
              <w:right w:val="nil"/>
            </w:tcBorders>
            <w:noWrap/>
            <w:vAlign w:val="bottom"/>
          </w:tcPr>
          <w:p w:rsidR="00B63584" w:rsidRDefault="00B63584" w:rsidP="00B63584">
            <w:pPr>
              <w:rPr>
                <w:sz w:val="18"/>
                <w:szCs w:val="18"/>
              </w:rPr>
            </w:pPr>
          </w:p>
        </w:tc>
        <w:tc>
          <w:tcPr>
            <w:tcW w:w="1461" w:type="dxa"/>
            <w:tcBorders>
              <w:top w:val="nil"/>
              <w:left w:val="nil"/>
              <w:bottom w:val="nil"/>
              <w:right w:val="nil"/>
            </w:tcBorders>
            <w:noWrap/>
            <w:vAlign w:val="bottom"/>
          </w:tcPr>
          <w:p w:rsidR="00B63584" w:rsidRDefault="00B63584" w:rsidP="009C341B">
            <w:pPr>
              <w:jc w:val="right"/>
              <w:rPr>
                <w:sz w:val="18"/>
                <w:szCs w:val="18"/>
              </w:rPr>
            </w:pPr>
          </w:p>
        </w:tc>
        <w:tc>
          <w:tcPr>
            <w:tcW w:w="1656" w:type="dxa"/>
            <w:tcBorders>
              <w:top w:val="nil"/>
              <w:left w:val="nil"/>
              <w:bottom w:val="nil"/>
              <w:right w:val="nil"/>
            </w:tcBorders>
            <w:noWrap/>
            <w:vAlign w:val="bottom"/>
          </w:tcPr>
          <w:p w:rsidR="00B63584" w:rsidRDefault="00B63584" w:rsidP="00F2275B">
            <w:pPr>
              <w:jc w:val="right"/>
              <w:rPr>
                <w:sz w:val="18"/>
                <w:szCs w:val="18"/>
              </w:rPr>
            </w:pPr>
          </w:p>
        </w:tc>
        <w:tc>
          <w:tcPr>
            <w:tcW w:w="1866" w:type="dxa"/>
            <w:tcBorders>
              <w:top w:val="nil"/>
              <w:left w:val="nil"/>
              <w:bottom w:val="nil"/>
              <w:right w:val="nil"/>
            </w:tcBorders>
            <w:noWrap/>
            <w:vAlign w:val="bottom"/>
          </w:tcPr>
          <w:p w:rsidR="00B63584" w:rsidRDefault="00B63584" w:rsidP="009C341B">
            <w:pPr>
              <w:jc w:val="right"/>
              <w:rPr>
                <w:sz w:val="18"/>
                <w:szCs w:val="18"/>
              </w:rPr>
            </w:pPr>
          </w:p>
        </w:tc>
      </w:tr>
      <w:tr w:rsidR="00B63584" w:rsidTr="00F2275B">
        <w:trPr>
          <w:trHeight w:val="251"/>
        </w:trPr>
        <w:tc>
          <w:tcPr>
            <w:tcW w:w="3996" w:type="dxa"/>
            <w:tcBorders>
              <w:top w:val="nil"/>
              <w:left w:val="nil"/>
              <w:bottom w:val="nil"/>
              <w:right w:val="nil"/>
            </w:tcBorders>
            <w:noWrap/>
          </w:tcPr>
          <w:p w:rsidR="00B63584" w:rsidRDefault="00B63584" w:rsidP="00B63584">
            <w:pPr>
              <w:rPr>
                <w:sz w:val="18"/>
                <w:szCs w:val="18"/>
              </w:rPr>
            </w:pPr>
            <w:r>
              <w:rPr>
                <w:sz w:val="18"/>
                <w:szCs w:val="18"/>
              </w:rPr>
              <w:t>Issuance of restricted shares</w:t>
            </w:r>
          </w:p>
        </w:tc>
        <w:tc>
          <w:tcPr>
            <w:tcW w:w="1371" w:type="dxa"/>
            <w:tcBorders>
              <w:top w:val="nil"/>
              <w:left w:val="nil"/>
              <w:bottom w:val="nil"/>
              <w:right w:val="nil"/>
            </w:tcBorders>
            <w:noWrap/>
            <w:vAlign w:val="bottom"/>
          </w:tcPr>
          <w:p w:rsidR="00B63584" w:rsidRDefault="00B63584">
            <w:pPr>
              <w:rPr>
                <w:sz w:val="18"/>
                <w:szCs w:val="18"/>
              </w:rPr>
            </w:pPr>
            <w:r>
              <w:rPr>
                <w:sz w:val="18"/>
                <w:szCs w:val="18"/>
              </w:rPr>
              <w:t xml:space="preserve">            </w:t>
            </w:r>
            <w:r w:rsidR="00567896">
              <w:rPr>
                <w:sz w:val="18"/>
                <w:szCs w:val="18"/>
              </w:rPr>
              <w:t>65,381</w:t>
            </w:r>
            <w:r>
              <w:rPr>
                <w:sz w:val="18"/>
                <w:szCs w:val="18"/>
              </w:rPr>
              <w:t xml:space="preserve"> </w:t>
            </w:r>
          </w:p>
        </w:tc>
        <w:tc>
          <w:tcPr>
            <w:tcW w:w="1146" w:type="dxa"/>
            <w:tcBorders>
              <w:top w:val="nil"/>
              <w:left w:val="nil"/>
              <w:bottom w:val="nil"/>
              <w:right w:val="nil"/>
            </w:tcBorders>
            <w:noWrap/>
            <w:vAlign w:val="bottom"/>
          </w:tcPr>
          <w:p w:rsidR="00B63584" w:rsidRDefault="004A7E35" w:rsidP="00B63584">
            <w:pPr>
              <w:rPr>
                <w:sz w:val="18"/>
                <w:szCs w:val="18"/>
              </w:rPr>
            </w:pPr>
            <w:r>
              <w:rPr>
                <w:sz w:val="18"/>
                <w:szCs w:val="18"/>
              </w:rPr>
              <w:t xml:space="preserve">                 -</w:t>
            </w:r>
          </w:p>
        </w:tc>
        <w:tc>
          <w:tcPr>
            <w:tcW w:w="1461" w:type="dxa"/>
            <w:tcBorders>
              <w:top w:val="nil"/>
              <w:left w:val="nil"/>
              <w:bottom w:val="nil"/>
              <w:right w:val="nil"/>
            </w:tcBorders>
            <w:noWrap/>
            <w:vAlign w:val="bottom"/>
          </w:tcPr>
          <w:p w:rsidR="00B63584" w:rsidRDefault="00B63584" w:rsidP="009C341B">
            <w:pPr>
              <w:jc w:val="right"/>
              <w:rPr>
                <w:sz w:val="18"/>
                <w:szCs w:val="18"/>
              </w:rPr>
            </w:pPr>
            <w:r>
              <w:rPr>
                <w:sz w:val="18"/>
                <w:szCs w:val="18"/>
              </w:rPr>
              <w:t xml:space="preserve">                    </w:t>
            </w:r>
            <w:r w:rsidR="00567896">
              <w:rPr>
                <w:sz w:val="18"/>
                <w:szCs w:val="18"/>
              </w:rPr>
              <w:t>63</w:t>
            </w:r>
            <w:r>
              <w:rPr>
                <w:sz w:val="18"/>
                <w:szCs w:val="18"/>
              </w:rPr>
              <w:t xml:space="preserve"> </w:t>
            </w:r>
          </w:p>
        </w:tc>
        <w:tc>
          <w:tcPr>
            <w:tcW w:w="1656" w:type="dxa"/>
            <w:tcBorders>
              <w:top w:val="nil"/>
              <w:left w:val="nil"/>
              <w:bottom w:val="nil"/>
              <w:right w:val="nil"/>
            </w:tcBorders>
            <w:noWrap/>
            <w:vAlign w:val="bottom"/>
          </w:tcPr>
          <w:p w:rsidR="00B63584" w:rsidRDefault="00B63584" w:rsidP="00F2275B">
            <w:pPr>
              <w:jc w:val="right"/>
              <w:rPr>
                <w:sz w:val="18"/>
                <w:szCs w:val="18"/>
              </w:rPr>
            </w:pPr>
            <w:r>
              <w:rPr>
                <w:sz w:val="18"/>
                <w:szCs w:val="18"/>
              </w:rPr>
              <w:t xml:space="preserve">                            - </w:t>
            </w:r>
          </w:p>
        </w:tc>
        <w:tc>
          <w:tcPr>
            <w:tcW w:w="1866" w:type="dxa"/>
            <w:tcBorders>
              <w:top w:val="nil"/>
              <w:left w:val="nil"/>
              <w:bottom w:val="nil"/>
              <w:right w:val="nil"/>
            </w:tcBorders>
            <w:noWrap/>
            <w:vAlign w:val="bottom"/>
          </w:tcPr>
          <w:p w:rsidR="00B63584" w:rsidRDefault="00B63584" w:rsidP="004A7E35">
            <w:pPr>
              <w:jc w:val="right"/>
              <w:rPr>
                <w:sz w:val="18"/>
                <w:szCs w:val="18"/>
              </w:rPr>
            </w:pPr>
            <w:r>
              <w:rPr>
                <w:sz w:val="18"/>
                <w:szCs w:val="18"/>
              </w:rPr>
              <w:t xml:space="preserve">                            </w:t>
            </w:r>
            <w:r w:rsidR="004A7E35">
              <w:rPr>
                <w:sz w:val="18"/>
                <w:szCs w:val="18"/>
              </w:rPr>
              <w:t xml:space="preserve">63 </w:t>
            </w:r>
          </w:p>
        </w:tc>
      </w:tr>
      <w:tr w:rsidR="00B63584" w:rsidTr="00F2275B">
        <w:trPr>
          <w:trHeight w:val="251"/>
        </w:trPr>
        <w:tc>
          <w:tcPr>
            <w:tcW w:w="3996" w:type="dxa"/>
            <w:tcBorders>
              <w:top w:val="nil"/>
              <w:left w:val="nil"/>
              <w:bottom w:val="nil"/>
              <w:right w:val="nil"/>
            </w:tcBorders>
            <w:noWrap/>
          </w:tcPr>
          <w:p w:rsidR="00B63584" w:rsidRDefault="00B63584" w:rsidP="00B63584">
            <w:pPr>
              <w:rPr>
                <w:sz w:val="18"/>
                <w:szCs w:val="18"/>
              </w:rPr>
            </w:pPr>
          </w:p>
        </w:tc>
        <w:tc>
          <w:tcPr>
            <w:tcW w:w="1371" w:type="dxa"/>
            <w:tcBorders>
              <w:top w:val="nil"/>
              <w:left w:val="nil"/>
              <w:bottom w:val="nil"/>
              <w:right w:val="nil"/>
            </w:tcBorders>
            <w:noWrap/>
            <w:vAlign w:val="bottom"/>
          </w:tcPr>
          <w:p w:rsidR="00B63584" w:rsidRDefault="00B63584" w:rsidP="00B63584">
            <w:pPr>
              <w:rPr>
                <w:sz w:val="18"/>
                <w:szCs w:val="18"/>
              </w:rPr>
            </w:pPr>
          </w:p>
        </w:tc>
        <w:tc>
          <w:tcPr>
            <w:tcW w:w="1146" w:type="dxa"/>
            <w:tcBorders>
              <w:top w:val="nil"/>
              <w:left w:val="nil"/>
              <w:bottom w:val="nil"/>
              <w:right w:val="nil"/>
            </w:tcBorders>
            <w:noWrap/>
            <w:vAlign w:val="bottom"/>
          </w:tcPr>
          <w:p w:rsidR="00B63584" w:rsidRDefault="00B63584" w:rsidP="00B63584">
            <w:pPr>
              <w:rPr>
                <w:sz w:val="18"/>
                <w:szCs w:val="18"/>
              </w:rPr>
            </w:pPr>
          </w:p>
        </w:tc>
        <w:tc>
          <w:tcPr>
            <w:tcW w:w="1461" w:type="dxa"/>
            <w:tcBorders>
              <w:top w:val="nil"/>
              <w:left w:val="nil"/>
              <w:bottom w:val="nil"/>
              <w:right w:val="nil"/>
            </w:tcBorders>
            <w:noWrap/>
            <w:vAlign w:val="bottom"/>
          </w:tcPr>
          <w:p w:rsidR="00B63584" w:rsidRDefault="00B63584" w:rsidP="009C341B">
            <w:pPr>
              <w:jc w:val="right"/>
              <w:rPr>
                <w:sz w:val="18"/>
                <w:szCs w:val="18"/>
              </w:rPr>
            </w:pPr>
          </w:p>
        </w:tc>
        <w:tc>
          <w:tcPr>
            <w:tcW w:w="1656" w:type="dxa"/>
            <w:tcBorders>
              <w:top w:val="nil"/>
              <w:left w:val="nil"/>
              <w:bottom w:val="nil"/>
              <w:right w:val="nil"/>
            </w:tcBorders>
            <w:noWrap/>
            <w:vAlign w:val="bottom"/>
          </w:tcPr>
          <w:p w:rsidR="00B63584" w:rsidRDefault="00B63584" w:rsidP="00F2275B">
            <w:pPr>
              <w:jc w:val="right"/>
              <w:rPr>
                <w:sz w:val="18"/>
                <w:szCs w:val="18"/>
              </w:rPr>
            </w:pPr>
          </w:p>
        </w:tc>
        <w:tc>
          <w:tcPr>
            <w:tcW w:w="1866" w:type="dxa"/>
            <w:tcBorders>
              <w:top w:val="nil"/>
              <w:left w:val="nil"/>
              <w:bottom w:val="nil"/>
              <w:right w:val="nil"/>
            </w:tcBorders>
            <w:noWrap/>
            <w:vAlign w:val="bottom"/>
          </w:tcPr>
          <w:p w:rsidR="00B63584" w:rsidRDefault="00B63584" w:rsidP="009C341B">
            <w:pPr>
              <w:jc w:val="right"/>
              <w:rPr>
                <w:sz w:val="18"/>
                <w:szCs w:val="18"/>
              </w:rPr>
            </w:pPr>
          </w:p>
        </w:tc>
      </w:tr>
      <w:tr w:rsidR="00B63584" w:rsidTr="00F2275B">
        <w:trPr>
          <w:trHeight w:val="251"/>
        </w:trPr>
        <w:tc>
          <w:tcPr>
            <w:tcW w:w="3996" w:type="dxa"/>
            <w:tcBorders>
              <w:top w:val="nil"/>
              <w:left w:val="nil"/>
              <w:bottom w:val="nil"/>
              <w:right w:val="nil"/>
            </w:tcBorders>
            <w:noWrap/>
            <w:vAlign w:val="bottom"/>
          </w:tcPr>
          <w:p w:rsidR="00B63584" w:rsidRDefault="00B63584" w:rsidP="00B63584">
            <w:pPr>
              <w:rPr>
                <w:color w:val="000000"/>
                <w:sz w:val="18"/>
                <w:szCs w:val="18"/>
              </w:rPr>
            </w:pPr>
            <w:r>
              <w:rPr>
                <w:color w:val="000000"/>
                <w:sz w:val="18"/>
                <w:szCs w:val="18"/>
              </w:rPr>
              <w:t>Share based compensation</w:t>
            </w:r>
          </w:p>
        </w:tc>
        <w:tc>
          <w:tcPr>
            <w:tcW w:w="1371" w:type="dxa"/>
            <w:tcBorders>
              <w:top w:val="nil"/>
              <w:left w:val="nil"/>
              <w:bottom w:val="nil"/>
              <w:right w:val="nil"/>
            </w:tcBorders>
            <w:noWrap/>
            <w:vAlign w:val="bottom"/>
          </w:tcPr>
          <w:p w:rsidR="00B63584" w:rsidRDefault="00B63584" w:rsidP="00B63584">
            <w:pPr>
              <w:rPr>
                <w:sz w:val="18"/>
                <w:szCs w:val="18"/>
              </w:rPr>
            </w:pPr>
            <w:r>
              <w:rPr>
                <w:sz w:val="18"/>
                <w:szCs w:val="18"/>
              </w:rPr>
              <w:t xml:space="preserve">                      - </w:t>
            </w:r>
          </w:p>
        </w:tc>
        <w:tc>
          <w:tcPr>
            <w:tcW w:w="1146" w:type="dxa"/>
            <w:tcBorders>
              <w:top w:val="nil"/>
              <w:left w:val="nil"/>
              <w:bottom w:val="nil"/>
              <w:right w:val="nil"/>
            </w:tcBorders>
            <w:noWrap/>
            <w:vAlign w:val="bottom"/>
          </w:tcPr>
          <w:p w:rsidR="00B63584" w:rsidRDefault="00B63584" w:rsidP="00B63584">
            <w:pPr>
              <w:rPr>
                <w:sz w:val="18"/>
                <w:szCs w:val="18"/>
              </w:rPr>
            </w:pPr>
            <w:r>
              <w:rPr>
                <w:sz w:val="18"/>
                <w:szCs w:val="18"/>
              </w:rPr>
              <w:t xml:space="preserve">                 - </w:t>
            </w:r>
          </w:p>
        </w:tc>
        <w:tc>
          <w:tcPr>
            <w:tcW w:w="1461" w:type="dxa"/>
            <w:tcBorders>
              <w:top w:val="nil"/>
              <w:left w:val="nil"/>
              <w:bottom w:val="nil"/>
              <w:right w:val="nil"/>
            </w:tcBorders>
            <w:noWrap/>
            <w:vAlign w:val="bottom"/>
          </w:tcPr>
          <w:p w:rsidR="00B63584" w:rsidRDefault="00B63584" w:rsidP="009C341B">
            <w:pPr>
              <w:jc w:val="right"/>
              <w:rPr>
                <w:sz w:val="18"/>
                <w:szCs w:val="18"/>
              </w:rPr>
            </w:pPr>
            <w:r>
              <w:rPr>
                <w:sz w:val="18"/>
                <w:szCs w:val="18"/>
              </w:rPr>
              <w:t xml:space="preserve">                  4</w:t>
            </w:r>
            <w:r w:rsidR="00003FEB">
              <w:rPr>
                <w:sz w:val="18"/>
                <w:szCs w:val="18"/>
              </w:rPr>
              <w:t>19</w:t>
            </w:r>
          </w:p>
        </w:tc>
        <w:tc>
          <w:tcPr>
            <w:tcW w:w="1656" w:type="dxa"/>
            <w:tcBorders>
              <w:top w:val="nil"/>
              <w:left w:val="nil"/>
              <w:bottom w:val="nil"/>
              <w:right w:val="nil"/>
            </w:tcBorders>
            <w:noWrap/>
            <w:vAlign w:val="bottom"/>
          </w:tcPr>
          <w:p w:rsidR="00B63584" w:rsidRDefault="00B63584" w:rsidP="00F2275B">
            <w:pPr>
              <w:jc w:val="right"/>
              <w:rPr>
                <w:sz w:val="18"/>
                <w:szCs w:val="18"/>
              </w:rPr>
            </w:pPr>
            <w:r>
              <w:rPr>
                <w:sz w:val="18"/>
                <w:szCs w:val="18"/>
              </w:rPr>
              <w:t xml:space="preserve">                            - </w:t>
            </w:r>
          </w:p>
        </w:tc>
        <w:tc>
          <w:tcPr>
            <w:tcW w:w="1866" w:type="dxa"/>
            <w:tcBorders>
              <w:top w:val="nil"/>
              <w:left w:val="nil"/>
              <w:bottom w:val="nil"/>
              <w:right w:val="nil"/>
            </w:tcBorders>
            <w:noWrap/>
            <w:vAlign w:val="bottom"/>
          </w:tcPr>
          <w:p w:rsidR="00B63584" w:rsidRDefault="00B63584" w:rsidP="009C341B">
            <w:pPr>
              <w:jc w:val="right"/>
              <w:rPr>
                <w:sz w:val="18"/>
                <w:szCs w:val="18"/>
              </w:rPr>
            </w:pPr>
            <w:r>
              <w:rPr>
                <w:sz w:val="18"/>
                <w:szCs w:val="18"/>
              </w:rPr>
              <w:t xml:space="preserve">                          4</w:t>
            </w:r>
            <w:r w:rsidR="00003FEB">
              <w:rPr>
                <w:sz w:val="18"/>
                <w:szCs w:val="18"/>
              </w:rPr>
              <w:t>19</w:t>
            </w:r>
            <w:r>
              <w:rPr>
                <w:sz w:val="18"/>
                <w:szCs w:val="18"/>
              </w:rPr>
              <w:t xml:space="preserve"> </w:t>
            </w:r>
          </w:p>
        </w:tc>
      </w:tr>
      <w:tr w:rsidR="00B63584" w:rsidTr="00F2275B">
        <w:trPr>
          <w:trHeight w:val="251"/>
        </w:trPr>
        <w:tc>
          <w:tcPr>
            <w:tcW w:w="3996" w:type="dxa"/>
            <w:tcBorders>
              <w:top w:val="nil"/>
              <w:left w:val="nil"/>
              <w:bottom w:val="nil"/>
              <w:right w:val="nil"/>
            </w:tcBorders>
            <w:noWrap/>
            <w:vAlign w:val="bottom"/>
          </w:tcPr>
          <w:p w:rsidR="00B63584" w:rsidRDefault="00B63584" w:rsidP="00B63584">
            <w:pPr>
              <w:rPr>
                <w:color w:val="000000"/>
                <w:sz w:val="18"/>
                <w:szCs w:val="18"/>
              </w:rPr>
            </w:pPr>
          </w:p>
        </w:tc>
        <w:tc>
          <w:tcPr>
            <w:tcW w:w="1371" w:type="dxa"/>
            <w:tcBorders>
              <w:top w:val="nil"/>
              <w:left w:val="nil"/>
              <w:bottom w:val="nil"/>
              <w:right w:val="nil"/>
            </w:tcBorders>
            <w:noWrap/>
            <w:vAlign w:val="bottom"/>
          </w:tcPr>
          <w:p w:rsidR="00B63584" w:rsidRDefault="00B63584" w:rsidP="00B63584">
            <w:pPr>
              <w:rPr>
                <w:sz w:val="18"/>
                <w:szCs w:val="18"/>
              </w:rPr>
            </w:pPr>
          </w:p>
        </w:tc>
        <w:tc>
          <w:tcPr>
            <w:tcW w:w="1146" w:type="dxa"/>
            <w:tcBorders>
              <w:top w:val="nil"/>
              <w:left w:val="nil"/>
              <w:bottom w:val="nil"/>
              <w:right w:val="nil"/>
            </w:tcBorders>
            <w:noWrap/>
            <w:vAlign w:val="bottom"/>
          </w:tcPr>
          <w:p w:rsidR="00B63584" w:rsidRDefault="00B63584" w:rsidP="00B63584">
            <w:pPr>
              <w:rPr>
                <w:sz w:val="18"/>
                <w:szCs w:val="18"/>
              </w:rPr>
            </w:pPr>
          </w:p>
        </w:tc>
        <w:tc>
          <w:tcPr>
            <w:tcW w:w="1461" w:type="dxa"/>
            <w:tcBorders>
              <w:top w:val="nil"/>
              <w:left w:val="nil"/>
              <w:bottom w:val="nil"/>
              <w:right w:val="nil"/>
            </w:tcBorders>
            <w:noWrap/>
            <w:vAlign w:val="bottom"/>
          </w:tcPr>
          <w:p w:rsidR="00B63584" w:rsidRDefault="00B63584" w:rsidP="009C341B">
            <w:pPr>
              <w:jc w:val="right"/>
              <w:rPr>
                <w:sz w:val="18"/>
                <w:szCs w:val="18"/>
              </w:rPr>
            </w:pPr>
          </w:p>
        </w:tc>
        <w:tc>
          <w:tcPr>
            <w:tcW w:w="1656" w:type="dxa"/>
            <w:tcBorders>
              <w:top w:val="nil"/>
              <w:left w:val="nil"/>
              <w:bottom w:val="nil"/>
              <w:right w:val="nil"/>
            </w:tcBorders>
            <w:noWrap/>
            <w:vAlign w:val="bottom"/>
          </w:tcPr>
          <w:p w:rsidR="00B63584" w:rsidRDefault="00B63584" w:rsidP="00F2275B">
            <w:pPr>
              <w:jc w:val="right"/>
              <w:rPr>
                <w:sz w:val="18"/>
                <w:szCs w:val="18"/>
              </w:rPr>
            </w:pPr>
          </w:p>
        </w:tc>
        <w:tc>
          <w:tcPr>
            <w:tcW w:w="1866" w:type="dxa"/>
            <w:tcBorders>
              <w:top w:val="nil"/>
              <w:left w:val="nil"/>
              <w:bottom w:val="nil"/>
              <w:right w:val="nil"/>
            </w:tcBorders>
            <w:noWrap/>
            <w:vAlign w:val="bottom"/>
          </w:tcPr>
          <w:p w:rsidR="00B63584" w:rsidRDefault="00B63584" w:rsidP="009C341B">
            <w:pPr>
              <w:jc w:val="right"/>
              <w:rPr>
                <w:sz w:val="18"/>
                <w:szCs w:val="18"/>
              </w:rPr>
            </w:pPr>
          </w:p>
        </w:tc>
      </w:tr>
      <w:tr w:rsidR="00567896" w:rsidTr="00F2275B">
        <w:trPr>
          <w:trHeight w:val="251"/>
        </w:trPr>
        <w:tc>
          <w:tcPr>
            <w:tcW w:w="3996" w:type="dxa"/>
            <w:tcBorders>
              <w:top w:val="nil"/>
              <w:left w:val="nil"/>
              <w:bottom w:val="nil"/>
              <w:right w:val="nil"/>
            </w:tcBorders>
            <w:noWrap/>
            <w:vAlign w:val="bottom"/>
          </w:tcPr>
          <w:p w:rsidR="00567896" w:rsidRDefault="00567896" w:rsidP="00B63584">
            <w:pPr>
              <w:rPr>
                <w:color w:val="000000"/>
                <w:sz w:val="18"/>
                <w:szCs w:val="18"/>
              </w:rPr>
            </w:pPr>
            <w:r>
              <w:rPr>
                <w:color w:val="000000"/>
                <w:sz w:val="18"/>
                <w:szCs w:val="18"/>
              </w:rPr>
              <w:t>Repurchase of common stock</w:t>
            </w:r>
          </w:p>
        </w:tc>
        <w:tc>
          <w:tcPr>
            <w:tcW w:w="1371" w:type="dxa"/>
            <w:tcBorders>
              <w:top w:val="nil"/>
              <w:left w:val="nil"/>
              <w:bottom w:val="nil"/>
              <w:right w:val="nil"/>
            </w:tcBorders>
            <w:noWrap/>
            <w:vAlign w:val="bottom"/>
          </w:tcPr>
          <w:p w:rsidR="00567896" w:rsidRDefault="00567896">
            <w:pPr>
              <w:rPr>
                <w:sz w:val="18"/>
                <w:szCs w:val="18"/>
              </w:rPr>
            </w:pPr>
            <w:r>
              <w:rPr>
                <w:sz w:val="18"/>
                <w:szCs w:val="18"/>
              </w:rPr>
              <w:t xml:space="preserve">            </w:t>
            </w:r>
            <w:r w:rsidR="00003FEB">
              <w:rPr>
                <w:sz w:val="18"/>
                <w:szCs w:val="18"/>
              </w:rPr>
              <w:t>(</w:t>
            </w:r>
            <w:r>
              <w:rPr>
                <w:sz w:val="18"/>
                <w:szCs w:val="18"/>
              </w:rPr>
              <w:t>60,000</w:t>
            </w:r>
            <w:r w:rsidR="00003FEB">
              <w:rPr>
                <w:sz w:val="18"/>
                <w:szCs w:val="18"/>
              </w:rPr>
              <w:t>)</w:t>
            </w:r>
            <w:r>
              <w:rPr>
                <w:sz w:val="18"/>
                <w:szCs w:val="18"/>
              </w:rPr>
              <w:t xml:space="preserve"> </w:t>
            </w:r>
          </w:p>
        </w:tc>
        <w:tc>
          <w:tcPr>
            <w:tcW w:w="1146" w:type="dxa"/>
            <w:tcBorders>
              <w:top w:val="nil"/>
              <w:left w:val="nil"/>
              <w:bottom w:val="nil"/>
              <w:right w:val="nil"/>
            </w:tcBorders>
            <w:noWrap/>
            <w:vAlign w:val="bottom"/>
          </w:tcPr>
          <w:p w:rsidR="00567896" w:rsidRDefault="004A7E35" w:rsidP="00B63584">
            <w:pPr>
              <w:rPr>
                <w:sz w:val="18"/>
                <w:szCs w:val="18"/>
              </w:rPr>
            </w:pPr>
            <w:r>
              <w:rPr>
                <w:sz w:val="18"/>
                <w:szCs w:val="18"/>
              </w:rPr>
              <w:t xml:space="preserve">                 -</w:t>
            </w:r>
          </w:p>
        </w:tc>
        <w:tc>
          <w:tcPr>
            <w:tcW w:w="1461" w:type="dxa"/>
            <w:tcBorders>
              <w:top w:val="nil"/>
              <w:left w:val="nil"/>
              <w:bottom w:val="nil"/>
              <w:right w:val="nil"/>
            </w:tcBorders>
            <w:noWrap/>
            <w:vAlign w:val="bottom"/>
          </w:tcPr>
          <w:p w:rsidR="00567896" w:rsidRDefault="00567896" w:rsidP="009C341B">
            <w:pPr>
              <w:jc w:val="right"/>
              <w:rPr>
                <w:sz w:val="18"/>
                <w:szCs w:val="18"/>
              </w:rPr>
            </w:pPr>
            <w:r>
              <w:rPr>
                <w:sz w:val="18"/>
                <w:szCs w:val="18"/>
              </w:rPr>
              <w:t xml:space="preserve">                   </w:t>
            </w:r>
            <w:r w:rsidR="00003FEB">
              <w:rPr>
                <w:sz w:val="18"/>
                <w:szCs w:val="18"/>
              </w:rPr>
              <w:t>(291)</w:t>
            </w:r>
            <w:r>
              <w:rPr>
                <w:sz w:val="18"/>
                <w:szCs w:val="18"/>
              </w:rPr>
              <w:t xml:space="preserve"> </w:t>
            </w:r>
          </w:p>
        </w:tc>
        <w:tc>
          <w:tcPr>
            <w:tcW w:w="1656" w:type="dxa"/>
            <w:tcBorders>
              <w:top w:val="nil"/>
              <w:left w:val="nil"/>
              <w:bottom w:val="nil"/>
              <w:right w:val="nil"/>
            </w:tcBorders>
            <w:noWrap/>
            <w:vAlign w:val="bottom"/>
          </w:tcPr>
          <w:p w:rsidR="00567896" w:rsidRDefault="00567896" w:rsidP="00F2275B">
            <w:pPr>
              <w:jc w:val="right"/>
              <w:rPr>
                <w:sz w:val="18"/>
                <w:szCs w:val="18"/>
              </w:rPr>
            </w:pPr>
            <w:r>
              <w:rPr>
                <w:sz w:val="18"/>
                <w:szCs w:val="18"/>
              </w:rPr>
              <w:t xml:space="preserve">                            - </w:t>
            </w:r>
          </w:p>
        </w:tc>
        <w:tc>
          <w:tcPr>
            <w:tcW w:w="1866" w:type="dxa"/>
            <w:tcBorders>
              <w:top w:val="nil"/>
              <w:left w:val="nil"/>
              <w:bottom w:val="nil"/>
              <w:right w:val="nil"/>
            </w:tcBorders>
            <w:noWrap/>
            <w:vAlign w:val="bottom"/>
          </w:tcPr>
          <w:p w:rsidR="00567896" w:rsidRDefault="00567896" w:rsidP="004A7E35">
            <w:pPr>
              <w:jc w:val="right"/>
              <w:rPr>
                <w:sz w:val="18"/>
                <w:szCs w:val="18"/>
              </w:rPr>
            </w:pPr>
            <w:r>
              <w:rPr>
                <w:sz w:val="18"/>
                <w:szCs w:val="18"/>
              </w:rPr>
              <w:t xml:space="preserve">                            </w:t>
            </w:r>
            <w:r w:rsidR="000B128B">
              <w:rPr>
                <w:sz w:val="18"/>
                <w:szCs w:val="18"/>
              </w:rPr>
              <w:t>(</w:t>
            </w:r>
            <w:r w:rsidR="004A7E35">
              <w:rPr>
                <w:sz w:val="18"/>
                <w:szCs w:val="18"/>
              </w:rPr>
              <w:t>291</w:t>
            </w:r>
            <w:r w:rsidR="000B128B">
              <w:rPr>
                <w:sz w:val="18"/>
                <w:szCs w:val="18"/>
              </w:rPr>
              <w:t>)</w:t>
            </w:r>
            <w:r>
              <w:rPr>
                <w:sz w:val="18"/>
                <w:szCs w:val="18"/>
              </w:rPr>
              <w:t xml:space="preserve"> </w:t>
            </w:r>
          </w:p>
        </w:tc>
      </w:tr>
      <w:tr w:rsidR="00567896" w:rsidTr="00F2275B">
        <w:trPr>
          <w:trHeight w:val="251"/>
        </w:trPr>
        <w:tc>
          <w:tcPr>
            <w:tcW w:w="3996" w:type="dxa"/>
            <w:tcBorders>
              <w:top w:val="nil"/>
              <w:left w:val="nil"/>
              <w:bottom w:val="nil"/>
              <w:right w:val="nil"/>
            </w:tcBorders>
            <w:noWrap/>
            <w:vAlign w:val="bottom"/>
          </w:tcPr>
          <w:p w:rsidR="00567896" w:rsidRDefault="00567896" w:rsidP="00B63584">
            <w:pPr>
              <w:rPr>
                <w:color w:val="000000"/>
                <w:sz w:val="18"/>
                <w:szCs w:val="18"/>
              </w:rPr>
            </w:pPr>
          </w:p>
        </w:tc>
        <w:tc>
          <w:tcPr>
            <w:tcW w:w="1371" w:type="dxa"/>
            <w:tcBorders>
              <w:top w:val="nil"/>
              <w:left w:val="nil"/>
              <w:bottom w:val="nil"/>
              <w:right w:val="nil"/>
            </w:tcBorders>
            <w:noWrap/>
            <w:vAlign w:val="bottom"/>
          </w:tcPr>
          <w:p w:rsidR="00567896" w:rsidRDefault="00567896" w:rsidP="00B63584">
            <w:pPr>
              <w:rPr>
                <w:sz w:val="18"/>
                <w:szCs w:val="18"/>
              </w:rPr>
            </w:pPr>
          </w:p>
        </w:tc>
        <w:tc>
          <w:tcPr>
            <w:tcW w:w="1146" w:type="dxa"/>
            <w:tcBorders>
              <w:top w:val="nil"/>
              <w:left w:val="nil"/>
              <w:bottom w:val="nil"/>
              <w:right w:val="nil"/>
            </w:tcBorders>
            <w:noWrap/>
            <w:vAlign w:val="bottom"/>
          </w:tcPr>
          <w:p w:rsidR="00567896" w:rsidRDefault="00567896" w:rsidP="00B63584">
            <w:pPr>
              <w:rPr>
                <w:sz w:val="18"/>
                <w:szCs w:val="18"/>
              </w:rPr>
            </w:pPr>
          </w:p>
        </w:tc>
        <w:tc>
          <w:tcPr>
            <w:tcW w:w="1461" w:type="dxa"/>
            <w:tcBorders>
              <w:top w:val="nil"/>
              <w:left w:val="nil"/>
              <w:bottom w:val="nil"/>
              <w:right w:val="nil"/>
            </w:tcBorders>
            <w:noWrap/>
            <w:vAlign w:val="bottom"/>
          </w:tcPr>
          <w:p w:rsidR="00567896" w:rsidRDefault="00567896" w:rsidP="009C341B">
            <w:pPr>
              <w:jc w:val="right"/>
              <w:rPr>
                <w:sz w:val="18"/>
                <w:szCs w:val="18"/>
              </w:rPr>
            </w:pPr>
          </w:p>
        </w:tc>
        <w:tc>
          <w:tcPr>
            <w:tcW w:w="1656" w:type="dxa"/>
            <w:tcBorders>
              <w:top w:val="nil"/>
              <w:left w:val="nil"/>
              <w:bottom w:val="nil"/>
              <w:right w:val="nil"/>
            </w:tcBorders>
            <w:noWrap/>
            <w:vAlign w:val="bottom"/>
          </w:tcPr>
          <w:p w:rsidR="00567896" w:rsidRDefault="00567896" w:rsidP="00F2275B">
            <w:pPr>
              <w:jc w:val="right"/>
              <w:rPr>
                <w:sz w:val="18"/>
                <w:szCs w:val="18"/>
              </w:rPr>
            </w:pPr>
          </w:p>
        </w:tc>
        <w:tc>
          <w:tcPr>
            <w:tcW w:w="1866" w:type="dxa"/>
            <w:tcBorders>
              <w:top w:val="nil"/>
              <w:left w:val="nil"/>
              <w:bottom w:val="nil"/>
              <w:right w:val="nil"/>
            </w:tcBorders>
            <w:noWrap/>
            <w:vAlign w:val="bottom"/>
          </w:tcPr>
          <w:p w:rsidR="00567896" w:rsidRDefault="00567896" w:rsidP="009C341B">
            <w:pPr>
              <w:jc w:val="right"/>
              <w:rPr>
                <w:sz w:val="18"/>
                <w:szCs w:val="18"/>
              </w:rPr>
            </w:pPr>
          </w:p>
        </w:tc>
      </w:tr>
      <w:tr w:rsidR="00567896" w:rsidTr="00F2275B">
        <w:trPr>
          <w:trHeight w:val="251"/>
        </w:trPr>
        <w:tc>
          <w:tcPr>
            <w:tcW w:w="3996" w:type="dxa"/>
            <w:tcBorders>
              <w:top w:val="nil"/>
              <w:left w:val="nil"/>
              <w:bottom w:val="nil"/>
              <w:right w:val="nil"/>
            </w:tcBorders>
            <w:noWrap/>
          </w:tcPr>
          <w:p w:rsidR="00567896" w:rsidRDefault="00567896" w:rsidP="00B63584">
            <w:pPr>
              <w:rPr>
                <w:sz w:val="18"/>
                <w:szCs w:val="18"/>
              </w:rPr>
            </w:pPr>
            <w:r>
              <w:rPr>
                <w:sz w:val="18"/>
                <w:szCs w:val="18"/>
              </w:rPr>
              <w:t xml:space="preserve">Net income </w:t>
            </w:r>
          </w:p>
        </w:tc>
        <w:tc>
          <w:tcPr>
            <w:tcW w:w="1371" w:type="dxa"/>
            <w:tcBorders>
              <w:top w:val="nil"/>
              <w:left w:val="nil"/>
              <w:bottom w:val="nil"/>
              <w:right w:val="nil"/>
            </w:tcBorders>
            <w:noWrap/>
            <w:vAlign w:val="bottom"/>
          </w:tcPr>
          <w:p w:rsidR="00567896" w:rsidRDefault="00567896" w:rsidP="00B63584">
            <w:pPr>
              <w:rPr>
                <w:sz w:val="18"/>
                <w:szCs w:val="18"/>
              </w:rPr>
            </w:pPr>
            <w:r>
              <w:rPr>
                <w:sz w:val="18"/>
                <w:szCs w:val="18"/>
              </w:rPr>
              <w:t xml:space="preserve">                      - </w:t>
            </w:r>
          </w:p>
        </w:tc>
        <w:tc>
          <w:tcPr>
            <w:tcW w:w="1146" w:type="dxa"/>
            <w:tcBorders>
              <w:top w:val="nil"/>
              <w:left w:val="nil"/>
              <w:bottom w:val="nil"/>
              <w:right w:val="nil"/>
            </w:tcBorders>
            <w:noWrap/>
            <w:vAlign w:val="bottom"/>
          </w:tcPr>
          <w:p w:rsidR="00567896" w:rsidRDefault="00567896" w:rsidP="00B63584">
            <w:pPr>
              <w:rPr>
                <w:sz w:val="18"/>
                <w:szCs w:val="18"/>
              </w:rPr>
            </w:pPr>
            <w:r>
              <w:rPr>
                <w:sz w:val="18"/>
                <w:szCs w:val="18"/>
              </w:rPr>
              <w:t xml:space="preserve">                 - </w:t>
            </w:r>
          </w:p>
        </w:tc>
        <w:tc>
          <w:tcPr>
            <w:tcW w:w="1461" w:type="dxa"/>
            <w:tcBorders>
              <w:top w:val="nil"/>
              <w:left w:val="nil"/>
              <w:bottom w:val="nil"/>
              <w:right w:val="nil"/>
            </w:tcBorders>
            <w:noWrap/>
            <w:vAlign w:val="bottom"/>
          </w:tcPr>
          <w:p w:rsidR="00567896" w:rsidRDefault="00567896" w:rsidP="009C341B">
            <w:pPr>
              <w:jc w:val="right"/>
              <w:rPr>
                <w:sz w:val="18"/>
                <w:szCs w:val="18"/>
              </w:rPr>
            </w:pPr>
            <w:r>
              <w:rPr>
                <w:sz w:val="18"/>
                <w:szCs w:val="18"/>
              </w:rPr>
              <w:t xml:space="preserve">                      - </w:t>
            </w:r>
          </w:p>
        </w:tc>
        <w:tc>
          <w:tcPr>
            <w:tcW w:w="1656" w:type="dxa"/>
            <w:tcBorders>
              <w:top w:val="nil"/>
              <w:left w:val="nil"/>
              <w:bottom w:val="nil"/>
              <w:right w:val="nil"/>
            </w:tcBorders>
            <w:noWrap/>
            <w:vAlign w:val="bottom"/>
          </w:tcPr>
          <w:p w:rsidR="00567896" w:rsidRPr="00F2275B" w:rsidRDefault="00567896" w:rsidP="004C0E36">
            <w:pPr>
              <w:jc w:val="right"/>
              <w:rPr>
                <w:sz w:val="18"/>
                <w:szCs w:val="18"/>
              </w:rPr>
            </w:pPr>
            <w:r w:rsidRPr="00F2275B">
              <w:rPr>
                <w:sz w:val="18"/>
                <w:szCs w:val="18"/>
              </w:rPr>
              <w:t xml:space="preserve">                       </w:t>
            </w:r>
            <w:r w:rsidR="004C0E36">
              <w:rPr>
                <w:sz w:val="18"/>
                <w:szCs w:val="18"/>
              </w:rPr>
              <w:t>4</w:t>
            </w:r>
          </w:p>
        </w:tc>
        <w:tc>
          <w:tcPr>
            <w:tcW w:w="1866" w:type="dxa"/>
            <w:tcBorders>
              <w:top w:val="nil"/>
              <w:left w:val="nil"/>
              <w:bottom w:val="nil"/>
              <w:right w:val="nil"/>
            </w:tcBorders>
            <w:noWrap/>
            <w:vAlign w:val="bottom"/>
          </w:tcPr>
          <w:p w:rsidR="00567896" w:rsidRPr="00F2275B" w:rsidRDefault="00567896" w:rsidP="004C0E36">
            <w:pPr>
              <w:jc w:val="right"/>
              <w:rPr>
                <w:sz w:val="18"/>
                <w:szCs w:val="18"/>
              </w:rPr>
            </w:pPr>
            <w:r w:rsidRPr="00F2275B">
              <w:rPr>
                <w:sz w:val="18"/>
                <w:szCs w:val="18"/>
              </w:rPr>
              <w:t xml:space="preserve">                          </w:t>
            </w:r>
            <w:r w:rsidR="004C0E36">
              <w:rPr>
                <w:sz w:val="18"/>
                <w:szCs w:val="18"/>
              </w:rPr>
              <w:t>4</w:t>
            </w:r>
          </w:p>
        </w:tc>
      </w:tr>
      <w:tr w:rsidR="00567896" w:rsidTr="00F2275B">
        <w:trPr>
          <w:trHeight w:val="251"/>
        </w:trPr>
        <w:tc>
          <w:tcPr>
            <w:tcW w:w="3996" w:type="dxa"/>
            <w:tcBorders>
              <w:top w:val="nil"/>
              <w:left w:val="nil"/>
              <w:bottom w:val="nil"/>
              <w:right w:val="nil"/>
            </w:tcBorders>
            <w:noWrap/>
          </w:tcPr>
          <w:p w:rsidR="00567896" w:rsidRDefault="00567896" w:rsidP="00B63584">
            <w:pPr>
              <w:rPr>
                <w:sz w:val="18"/>
                <w:szCs w:val="18"/>
              </w:rPr>
            </w:pPr>
          </w:p>
        </w:tc>
        <w:tc>
          <w:tcPr>
            <w:tcW w:w="1371" w:type="dxa"/>
            <w:tcBorders>
              <w:top w:val="nil"/>
              <w:left w:val="nil"/>
              <w:bottom w:val="nil"/>
              <w:right w:val="nil"/>
            </w:tcBorders>
            <w:noWrap/>
            <w:vAlign w:val="bottom"/>
          </w:tcPr>
          <w:p w:rsidR="00567896" w:rsidRDefault="00567896" w:rsidP="00B63584">
            <w:pPr>
              <w:rPr>
                <w:sz w:val="18"/>
                <w:szCs w:val="18"/>
              </w:rPr>
            </w:pPr>
          </w:p>
        </w:tc>
        <w:tc>
          <w:tcPr>
            <w:tcW w:w="1146" w:type="dxa"/>
            <w:tcBorders>
              <w:top w:val="nil"/>
              <w:left w:val="nil"/>
              <w:bottom w:val="nil"/>
              <w:right w:val="nil"/>
            </w:tcBorders>
            <w:noWrap/>
            <w:vAlign w:val="bottom"/>
          </w:tcPr>
          <w:p w:rsidR="00567896" w:rsidRDefault="00567896" w:rsidP="00B63584">
            <w:pPr>
              <w:rPr>
                <w:sz w:val="18"/>
                <w:szCs w:val="18"/>
              </w:rPr>
            </w:pPr>
          </w:p>
        </w:tc>
        <w:tc>
          <w:tcPr>
            <w:tcW w:w="1461" w:type="dxa"/>
            <w:tcBorders>
              <w:top w:val="nil"/>
              <w:left w:val="nil"/>
              <w:bottom w:val="nil"/>
              <w:right w:val="nil"/>
            </w:tcBorders>
            <w:noWrap/>
            <w:vAlign w:val="bottom"/>
          </w:tcPr>
          <w:p w:rsidR="00567896" w:rsidRDefault="00567896" w:rsidP="009C341B">
            <w:pPr>
              <w:jc w:val="right"/>
              <w:rPr>
                <w:sz w:val="18"/>
                <w:szCs w:val="18"/>
              </w:rPr>
            </w:pPr>
          </w:p>
        </w:tc>
        <w:tc>
          <w:tcPr>
            <w:tcW w:w="1656" w:type="dxa"/>
            <w:tcBorders>
              <w:top w:val="nil"/>
              <w:left w:val="nil"/>
              <w:bottom w:val="nil"/>
              <w:right w:val="nil"/>
            </w:tcBorders>
            <w:noWrap/>
            <w:vAlign w:val="bottom"/>
          </w:tcPr>
          <w:p w:rsidR="00567896" w:rsidRPr="00CC4CCA" w:rsidRDefault="00567896" w:rsidP="00F2275B">
            <w:pPr>
              <w:jc w:val="right"/>
              <w:rPr>
                <w:sz w:val="18"/>
                <w:szCs w:val="18"/>
              </w:rPr>
            </w:pPr>
          </w:p>
        </w:tc>
        <w:tc>
          <w:tcPr>
            <w:tcW w:w="1866" w:type="dxa"/>
            <w:tcBorders>
              <w:top w:val="nil"/>
              <w:left w:val="nil"/>
              <w:bottom w:val="nil"/>
              <w:right w:val="nil"/>
            </w:tcBorders>
            <w:noWrap/>
            <w:vAlign w:val="bottom"/>
          </w:tcPr>
          <w:p w:rsidR="00567896" w:rsidRPr="00163082" w:rsidRDefault="00567896" w:rsidP="009C341B">
            <w:pPr>
              <w:jc w:val="right"/>
              <w:rPr>
                <w:sz w:val="18"/>
                <w:szCs w:val="18"/>
              </w:rPr>
            </w:pPr>
          </w:p>
        </w:tc>
      </w:tr>
      <w:tr w:rsidR="00567896" w:rsidTr="00F2275B">
        <w:trPr>
          <w:trHeight w:val="266"/>
        </w:trPr>
        <w:tc>
          <w:tcPr>
            <w:tcW w:w="3996" w:type="dxa"/>
            <w:tcBorders>
              <w:top w:val="nil"/>
              <w:left w:val="nil"/>
              <w:bottom w:val="nil"/>
              <w:right w:val="nil"/>
            </w:tcBorders>
            <w:noWrap/>
          </w:tcPr>
          <w:p w:rsidR="00567896" w:rsidRDefault="00567896" w:rsidP="00163082">
            <w:pPr>
              <w:rPr>
                <w:b/>
                <w:bCs/>
                <w:sz w:val="18"/>
                <w:szCs w:val="18"/>
              </w:rPr>
            </w:pPr>
            <w:r>
              <w:rPr>
                <w:b/>
                <w:bCs/>
                <w:sz w:val="18"/>
                <w:szCs w:val="18"/>
              </w:rPr>
              <w:t xml:space="preserve">BALANCE AT DECEMBER 31, </w:t>
            </w:r>
            <w:r w:rsidR="00D62EB9">
              <w:rPr>
                <w:b/>
                <w:bCs/>
                <w:sz w:val="18"/>
                <w:szCs w:val="18"/>
              </w:rPr>
              <w:t>2011</w:t>
            </w:r>
          </w:p>
        </w:tc>
        <w:tc>
          <w:tcPr>
            <w:tcW w:w="1371" w:type="dxa"/>
            <w:tcBorders>
              <w:top w:val="single" w:sz="4" w:space="0" w:color="auto"/>
              <w:left w:val="nil"/>
              <w:bottom w:val="double" w:sz="6" w:space="0" w:color="auto"/>
              <w:right w:val="nil"/>
            </w:tcBorders>
            <w:noWrap/>
            <w:vAlign w:val="bottom"/>
          </w:tcPr>
          <w:p w:rsidR="00567896" w:rsidRDefault="00567896">
            <w:pPr>
              <w:rPr>
                <w:b/>
                <w:bCs/>
                <w:sz w:val="18"/>
                <w:szCs w:val="18"/>
              </w:rPr>
            </w:pPr>
            <w:r>
              <w:rPr>
                <w:b/>
                <w:bCs/>
                <w:sz w:val="18"/>
                <w:szCs w:val="18"/>
              </w:rPr>
              <w:t xml:space="preserve">       4,934,020 </w:t>
            </w:r>
          </w:p>
        </w:tc>
        <w:tc>
          <w:tcPr>
            <w:tcW w:w="1146" w:type="dxa"/>
            <w:tcBorders>
              <w:top w:val="single" w:sz="4" w:space="0" w:color="auto"/>
              <w:left w:val="nil"/>
              <w:bottom w:val="double" w:sz="6" w:space="0" w:color="auto"/>
              <w:right w:val="nil"/>
            </w:tcBorders>
            <w:noWrap/>
            <w:vAlign w:val="bottom"/>
          </w:tcPr>
          <w:p w:rsidR="00567896" w:rsidRDefault="00567896" w:rsidP="00B63584">
            <w:pPr>
              <w:rPr>
                <w:b/>
                <w:bCs/>
                <w:sz w:val="18"/>
                <w:szCs w:val="18"/>
              </w:rPr>
            </w:pPr>
            <w:r>
              <w:rPr>
                <w:b/>
                <w:bCs/>
                <w:sz w:val="18"/>
                <w:szCs w:val="18"/>
              </w:rPr>
              <w:t xml:space="preserve"> $            49 </w:t>
            </w:r>
          </w:p>
        </w:tc>
        <w:tc>
          <w:tcPr>
            <w:tcW w:w="1461" w:type="dxa"/>
            <w:tcBorders>
              <w:top w:val="single" w:sz="4" w:space="0" w:color="auto"/>
              <w:left w:val="nil"/>
              <w:bottom w:val="double" w:sz="6" w:space="0" w:color="auto"/>
              <w:right w:val="nil"/>
            </w:tcBorders>
            <w:noWrap/>
            <w:vAlign w:val="bottom"/>
          </w:tcPr>
          <w:p w:rsidR="00567896" w:rsidRDefault="00567896" w:rsidP="009C341B">
            <w:pPr>
              <w:jc w:val="right"/>
              <w:rPr>
                <w:b/>
                <w:bCs/>
                <w:sz w:val="18"/>
                <w:szCs w:val="18"/>
              </w:rPr>
            </w:pPr>
            <w:r>
              <w:rPr>
                <w:b/>
                <w:bCs/>
                <w:sz w:val="18"/>
                <w:szCs w:val="18"/>
              </w:rPr>
              <w:t xml:space="preserve"> $          66,</w:t>
            </w:r>
            <w:r w:rsidR="00003FEB">
              <w:rPr>
                <w:b/>
                <w:bCs/>
                <w:sz w:val="18"/>
                <w:szCs w:val="18"/>
              </w:rPr>
              <w:t>930</w:t>
            </w:r>
            <w:r>
              <w:rPr>
                <w:b/>
                <w:bCs/>
                <w:sz w:val="18"/>
                <w:szCs w:val="18"/>
              </w:rPr>
              <w:t xml:space="preserve"> </w:t>
            </w:r>
          </w:p>
        </w:tc>
        <w:tc>
          <w:tcPr>
            <w:tcW w:w="1656" w:type="dxa"/>
            <w:tcBorders>
              <w:top w:val="single" w:sz="4" w:space="0" w:color="auto"/>
              <w:left w:val="nil"/>
              <w:bottom w:val="double" w:sz="6" w:space="0" w:color="auto"/>
              <w:right w:val="nil"/>
            </w:tcBorders>
            <w:noWrap/>
            <w:vAlign w:val="bottom"/>
          </w:tcPr>
          <w:p w:rsidR="00567896" w:rsidRPr="00F2275B" w:rsidRDefault="00567896" w:rsidP="004C0E36">
            <w:pPr>
              <w:jc w:val="right"/>
              <w:rPr>
                <w:b/>
                <w:bCs/>
                <w:sz w:val="18"/>
                <w:szCs w:val="18"/>
              </w:rPr>
            </w:pPr>
            <w:r w:rsidRPr="00F2275B">
              <w:rPr>
                <w:b/>
                <w:bCs/>
                <w:sz w:val="18"/>
                <w:szCs w:val="18"/>
              </w:rPr>
              <w:t xml:space="preserve"> $              (50,</w:t>
            </w:r>
            <w:r w:rsidR="004C0E36" w:rsidRPr="00F2275B">
              <w:rPr>
                <w:b/>
                <w:bCs/>
                <w:sz w:val="18"/>
                <w:szCs w:val="18"/>
              </w:rPr>
              <w:t>4</w:t>
            </w:r>
            <w:r w:rsidR="004C0E36">
              <w:rPr>
                <w:b/>
                <w:bCs/>
                <w:sz w:val="18"/>
                <w:szCs w:val="18"/>
              </w:rPr>
              <w:t>82</w:t>
            </w:r>
            <w:r w:rsidRPr="00F2275B">
              <w:rPr>
                <w:b/>
                <w:bCs/>
                <w:sz w:val="18"/>
                <w:szCs w:val="18"/>
              </w:rPr>
              <w:t>)</w:t>
            </w:r>
          </w:p>
        </w:tc>
        <w:tc>
          <w:tcPr>
            <w:tcW w:w="1866" w:type="dxa"/>
            <w:tcBorders>
              <w:top w:val="single" w:sz="4" w:space="0" w:color="auto"/>
              <w:left w:val="nil"/>
              <w:bottom w:val="double" w:sz="6" w:space="0" w:color="auto"/>
              <w:right w:val="nil"/>
            </w:tcBorders>
            <w:noWrap/>
            <w:vAlign w:val="bottom"/>
          </w:tcPr>
          <w:p w:rsidR="00567896" w:rsidRPr="00F2275B" w:rsidRDefault="00567896" w:rsidP="004C0E36">
            <w:pPr>
              <w:jc w:val="right"/>
              <w:rPr>
                <w:b/>
                <w:bCs/>
                <w:sz w:val="18"/>
                <w:szCs w:val="18"/>
              </w:rPr>
            </w:pPr>
            <w:r w:rsidRPr="00F2275B">
              <w:rPr>
                <w:b/>
                <w:bCs/>
                <w:sz w:val="18"/>
                <w:szCs w:val="18"/>
              </w:rPr>
              <w:t xml:space="preserve"> $                  16,</w:t>
            </w:r>
            <w:r w:rsidR="004C0E36">
              <w:rPr>
                <w:b/>
                <w:bCs/>
                <w:sz w:val="18"/>
                <w:szCs w:val="18"/>
              </w:rPr>
              <w:t>497</w:t>
            </w:r>
            <w:r w:rsidR="004C0E36" w:rsidRPr="00F2275B">
              <w:rPr>
                <w:b/>
                <w:bCs/>
                <w:sz w:val="18"/>
                <w:szCs w:val="18"/>
              </w:rPr>
              <w:t xml:space="preserve"> </w:t>
            </w:r>
          </w:p>
        </w:tc>
      </w:tr>
    </w:tbl>
    <w:p w:rsidR="004851D7" w:rsidRDefault="004851D7">
      <w:pPr>
        <w:pStyle w:val="List"/>
        <w:ind w:left="0" w:firstLine="0"/>
        <w:rPr>
          <w:rFonts w:ascii="Times New Roman" w:hAnsi="Times New Roman" w:cs="Times New Roman"/>
          <w:i/>
          <w:iCs/>
          <w:color w:val="000000"/>
          <w:sz w:val="20"/>
          <w:szCs w:val="20"/>
        </w:rPr>
      </w:pPr>
      <w:r>
        <w:rPr>
          <w:rFonts w:ascii="Times New Roman" w:hAnsi="Times New Roman" w:cs="Times New Roman"/>
          <w:i/>
          <w:iCs/>
          <w:color w:val="000000"/>
          <w:sz w:val="20"/>
          <w:szCs w:val="20"/>
        </w:rPr>
        <w:t>See accompanying notes.</w:t>
      </w:r>
    </w:p>
    <w:p w:rsidR="004851D7" w:rsidRDefault="004851D7">
      <w:pPr>
        <w:pStyle w:val="List"/>
        <w:ind w:left="0" w:firstLine="0"/>
        <w:rPr>
          <w:rFonts w:ascii="Times New Roman" w:hAnsi="Times New Roman" w:cs="Times New Roman"/>
          <w:i/>
          <w:iCs/>
          <w:color w:val="000000"/>
          <w:sz w:val="20"/>
          <w:szCs w:val="20"/>
        </w:rPr>
      </w:pPr>
    </w:p>
    <w:p w:rsidR="004851D7" w:rsidRDefault="004851D7">
      <w:pPr>
        <w:jc w:val="center"/>
        <w:rPr>
          <w:b/>
          <w:sz w:val="22"/>
          <w:szCs w:val="22"/>
        </w:rPr>
      </w:pPr>
      <w:r>
        <w:rPr>
          <w:color w:val="000000"/>
        </w:rPr>
        <w:br w:type="page"/>
      </w:r>
      <w:bookmarkStart w:id="19" w:name="_DV_M313"/>
      <w:bookmarkEnd w:id="19"/>
      <w:proofErr w:type="spellStart"/>
      <w:r>
        <w:rPr>
          <w:b/>
          <w:sz w:val="22"/>
          <w:szCs w:val="22"/>
        </w:rPr>
        <w:t>MakeMusic</w:t>
      </w:r>
      <w:proofErr w:type="spellEnd"/>
      <w:r>
        <w:rPr>
          <w:b/>
          <w:sz w:val="22"/>
          <w:szCs w:val="22"/>
        </w:rPr>
        <w:t>, Inc.</w:t>
      </w:r>
    </w:p>
    <w:p w:rsidR="004851D7" w:rsidRDefault="004851D7">
      <w:pPr>
        <w:pStyle w:val="heading"/>
        <w:spacing w:line="240" w:lineRule="auto"/>
        <w:rPr>
          <w:b/>
          <w:color w:val="000000"/>
          <w:sz w:val="22"/>
          <w:szCs w:val="22"/>
        </w:rPr>
      </w:pPr>
      <w:r>
        <w:rPr>
          <w:b/>
          <w:color w:val="000000"/>
          <w:sz w:val="22"/>
          <w:szCs w:val="22"/>
        </w:rPr>
        <w:t>Statements of Cash Flows</w:t>
      </w:r>
    </w:p>
    <w:p w:rsidR="004851D7" w:rsidRDefault="004851D7">
      <w:pPr>
        <w:pStyle w:val="heading"/>
        <w:spacing w:line="240" w:lineRule="auto"/>
        <w:rPr>
          <w:i/>
          <w:color w:val="000000"/>
          <w:sz w:val="20"/>
          <w:szCs w:val="20"/>
        </w:rPr>
      </w:pPr>
      <w:r>
        <w:rPr>
          <w:i/>
          <w:color w:val="000000"/>
          <w:sz w:val="20"/>
          <w:szCs w:val="20"/>
        </w:rPr>
        <w:t>(In thousands of U.S. dollars)</w:t>
      </w:r>
    </w:p>
    <w:tbl>
      <w:tblPr>
        <w:tblW w:w="5102" w:type="pct"/>
        <w:tblLook w:val="00A0" w:firstRow="1" w:lastRow="0" w:firstColumn="1" w:lastColumn="0" w:noHBand="0" w:noVBand="0"/>
      </w:tblPr>
      <w:tblGrid>
        <w:gridCol w:w="7102"/>
        <w:gridCol w:w="1113"/>
        <w:gridCol w:w="228"/>
        <w:gridCol w:w="1388"/>
      </w:tblGrid>
      <w:tr w:rsidR="004851D7" w:rsidTr="0039741E">
        <w:trPr>
          <w:trHeight w:val="252"/>
        </w:trPr>
        <w:tc>
          <w:tcPr>
            <w:tcW w:w="3611" w:type="pct"/>
            <w:tcBorders>
              <w:top w:val="nil"/>
              <w:left w:val="nil"/>
              <w:bottom w:val="nil"/>
              <w:right w:val="nil"/>
            </w:tcBorders>
            <w:noWrap/>
            <w:vAlign w:val="bottom"/>
          </w:tcPr>
          <w:p w:rsidR="004851D7" w:rsidRDefault="004851D7">
            <w:pPr>
              <w:rPr>
                <w:sz w:val="20"/>
                <w:szCs w:val="20"/>
              </w:rPr>
            </w:pPr>
          </w:p>
        </w:tc>
        <w:tc>
          <w:tcPr>
            <w:tcW w:w="1388" w:type="pct"/>
            <w:gridSpan w:val="3"/>
            <w:tcBorders>
              <w:top w:val="nil"/>
              <w:left w:val="nil"/>
              <w:bottom w:val="nil"/>
              <w:right w:val="nil"/>
            </w:tcBorders>
            <w:noWrap/>
            <w:vAlign w:val="bottom"/>
          </w:tcPr>
          <w:p w:rsidR="004851D7" w:rsidRDefault="004851D7">
            <w:pPr>
              <w:jc w:val="center"/>
              <w:rPr>
                <w:b/>
                <w:bCs/>
                <w:color w:val="000000"/>
                <w:sz w:val="20"/>
                <w:szCs w:val="20"/>
              </w:rPr>
            </w:pPr>
            <w:r>
              <w:rPr>
                <w:b/>
                <w:bCs/>
                <w:color w:val="000000"/>
                <w:sz w:val="20"/>
                <w:szCs w:val="20"/>
              </w:rPr>
              <w:t>Year</w:t>
            </w:r>
          </w:p>
        </w:tc>
      </w:tr>
      <w:tr w:rsidR="004851D7" w:rsidTr="0039741E">
        <w:trPr>
          <w:trHeight w:val="252"/>
        </w:trPr>
        <w:tc>
          <w:tcPr>
            <w:tcW w:w="3611" w:type="pct"/>
            <w:tcBorders>
              <w:top w:val="nil"/>
              <w:left w:val="nil"/>
              <w:bottom w:val="nil"/>
              <w:right w:val="nil"/>
            </w:tcBorders>
          </w:tcPr>
          <w:p w:rsidR="004851D7" w:rsidRDefault="004851D7">
            <w:pPr>
              <w:jc w:val="center"/>
              <w:rPr>
                <w:color w:val="000000"/>
                <w:sz w:val="20"/>
                <w:szCs w:val="20"/>
              </w:rPr>
            </w:pPr>
          </w:p>
        </w:tc>
        <w:tc>
          <w:tcPr>
            <w:tcW w:w="1388" w:type="pct"/>
            <w:gridSpan w:val="3"/>
            <w:tcBorders>
              <w:top w:val="nil"/>
              <w:left w:val="nil"/>
              <w:bottom w:val="nil"/>
              <w:right w:val="nil"/>
            </w:tcBorders>
            <w:noWrap/>
            <w:vAlign w:val="bottom"/>
          </w:tcPr>
          <w:p w:rsidR="004851D7" w:rsidRDefault="004851D7">
            <w:pPr>
              <w:jc w:val="center"/>
              <w:rPr>
                <w:b/>
                <w:bCs/>
                <w:color w:val="000000"/>
                <w:sz w:val="20"/>
                <w:szCs w:val="20"/>
              </w:rPr>
            </w:pPr>
            <w:r>
              <w:rPr>
                <w:b/>
                <w:bCs/>
                <w:color w:val="000000"/>
                <w:sz w:val="20"/>
                <w:szCs w:val="20"/>
              </w:rPr>
              <w:t>Ended December 31,</w:t>
            </w:r>
          </w:p>
        </w:tc>
      </w:tr>
      <w:tr w:rsidR="004851D7" w:rsidTr="0039741E">
        <w:trPr>
          <w:trHeight w:val="267"/>
        </w:trPr>
        <w:tc>
          <w:tcPr>
            <w:tcW w:w="3611" w:type="pct"/>
            <w:tcBorders>
              <w:top w:val="nil"/>
              <w:left w:val="nil"/>
              <w:bottom w:val="nil"/>
              <w:right w:val="nil"/>
            </w:tcBorders>
            <w:vAlign w:val="bottom"/>
          </w:tcPr>
          <w:p w:rsidR="004851D7" w:rsidRDefault="004851D7">
            <w:pPr>
              <w:rPr>
                <w:b/>
                <w:bCs/>
                <w:color w:val="000000"/>
                <w:sz w:val="20"/>
                <w:szCs w:val="20"/>
              </w:rPr>
            </w:pPr>
          </w:p>
        </w:tc>
        <w:tc>
          <w:tcPr>
            <w:tcW w:w="566" w:type="pct"/>
            <w:tcBorders>
              <w:top w:val="nil"/>
              <w:left w:val="nil"/>
              <w:bottom w:val="single" w:sz="8" w:space="0" w:color="auto"/>
              <w:right w:val="nil"/>
            </w:tcBorders>
            <w:noWrap/>
            <w:vAlign w:val="bottom"/>
          </w:tcPr>
          <w:p w:rsidR="004851D7" w:rsidRDefault="00935AEA">
            <w:pPr>
              <w:jc w:val="center"/>
              <w:rPr>
                <w:b/>
                <w:bCs/>
                <w:color w:val="000000"/>
                <w:sz w:val="20"/>
                <w:szCs w:val="20"/>
              </w:rPr>
            </w:pPr>
            <w:r>
              <w:rPr>
                <w:b/>
                <w:bCs/>
                <w:color w:val="000000"/>
                <w:sz w:val="20"/>
                <w:szCs w:val="20"/>
              </w:rPr>
              <w:t>2011</w:t>
            </w:r>
          </w:p>
        </w:tc>
        <w:tc>
          <w:tcPr>
            <w:tcW w:w="116" w:type="pct"/>
            <w:tcBorders>
              <w:top w:val="nil"/>
              <w:left w:val="nil"/>
              <w:bottom w:val="nil"/>
              <w:right w:val="nil"/>
            </w:tcBorders>
            <w:noWrap/>
            <w:vAlign w:val="bottom"/>
          </w:tcPr>
          <w:p w:rsidR="004851D7" w:rsidRDefault="004851D7">
            <w:pPr>
              <w:jc w:val="center"/>
              <w:rPr>
                <w:b/>
                <w:bCs/>
                <w:color w:val="000000"/>
                <w:sz w:val="20"/>
                <w:szCs w:val="20"/>
              </w:rPr>
            </w:pPr>
          </w:p>
        </w:tc>
        <w:tc>
          <w:tcPr>
            <w:tcW w:w="706" w:type="pct"/>
            <w:tcBorders>
              <w:top w:val="nil"/>
              <w:left w:val="nil"/>
              <w:bottom w:val="single" w:sz="8" w:space="0" w:color="auto"/>
              <w:right w:val="nil"/>
            </w:tcBorders>
            <w:noWrap/>
            <w:vAlign w:val="bottom"/>
          </w:tcPr>
          <w:p w:rsidR="004851D7" w:rsidRDefault="00935AEA">
            <w:pPr>
              <w:jc w:val="center"/>
              <w:rPr>
                <w:color w:val="000000"/>
                <w:sz w:val="20"/>
                <w:szCs w:val="20"/>
              </w:rPr>
            </w:pPr>
            <w:r>
              <w:rPr>
                <w:color w:val="000000"/>
                <w:sz w:val="20"/>
                <w:szCs w:val="20"/>
              </w:rPr>
              <w:t>2010</w:t>
            </w:r>
          </w:p>
        </w:tc>
      </w:tr>
      <w:tr w:rsidR="004851D7" w:rsidTr="0039741E">
        <w:trPr>
          <w:trHeight w:val="252"/>
        </w:trPr>
        <w:tc>
          <w:tcPr>
            <w:tcW w:w="3611" w:type="pct"/>
            <w:tcBorders>
              <w:top w:val="nil"/>
              <w:left w:val="nil"/>
              <w:bottom w:val="nil"/>
              <w:right w:val="nil"/>
            </w:tcBorders>
            <w:vAlign w:val="bottom"/>
          </w:tcPr>
          <w:p w:rsidR="004851D7" w:rsidRDefault="004851D7" w:rsidP="003E625E">
            <w:pPr>
              <w:ind w:firstLineChars="100" w:firstLine="201"/>
              <w:rPr>
                <w:b/>
                <w:bCs/>
                <w:color w:val="000000"/>
                <w:sz w:val="20"/>
                <w:szCs w:val="20"/>
              </w:rPr>
            </w:pPr>
            <w:r>
              <w:rPr>
                <w:b/>
                <w:bCs/>
                <w:color w:val="000000"/>
                <w:sz w:val="20"/>
                <w:szCs w:val="20"/>
              </w:rPr>
              <w:t>Cash flows from operating activities</w:t>
            </w:r>
          </w:p>
        </w:tc>
        <w:tc>
          <w:tcPr>
            <w:tcW w:w="566" w:type="pct"/>
            <w:tcBorders>
              <w:top w:val="nil"/>
              <w:left w:val="nil"/>
              <w:bottom w:val="nil"/>
              <w:right w:val="nil"/>
            </w:tcBorders>
            <w:noWrap/>
            <w:vAlign w:val="bottom"/>
          </w:tcPr>
          <w:p w:rsidR="004851D7" w:rsidRDefault="004851D7">
            <w:pPr>
              <w:rPr>
                <w:b/>
                <w:bCs/>
                <w:color w:val="000000"/>
                <w:sz w:val="20"/>
                <w:szCs w:val="20"/>
              </w:rPr>
            </w:pPr>
          </w:p>
        </w:tc>
        <w:tc>
          <w:tcPr>
            <w:tcW w:w="116" w:type="pct"/>
            <w:tcBorders>
              <w:top w:val="nil"/>
              <w:left w:val="nil"/>
              <w:bottom w:val="nil"/>
              <w:right w:val="nil"/>
            </w:tcBorders>
            <w:noWrap/>
            <w:vAlign w:val="bottom"/>
          </w:tcPr>
          <w:p w:rsidR="004851D7" w:rsidRDefault="004851D7">
            <w:pPr>
              <w:rPr>
                <w:b/>
                <w:bCs/>
                <w:color w:val="000000"/>
                <w:sz w:val="20"/>
                <w:szCs w:val="20"/>
              </w:rPr>
            </w:pPr>
          </w:p>
        </w:tc>
        <w:tc>
          <w:tcPr>
            <w:tcW w:w="706" w:type="pct"/>
            <w:tcBorders>
              <w:top w:val="nil"/>
              <w:left w:val="nil"/>
              <w:bottom w:val="nil"/>
              <w:right w:val="nil"/>
            </w:tcBorders>
            <w:noWrap/>
            <w:vAlign w:val="bottom"/>
          </w:tcPr>
          <w:p w:rsidR="004851D7" w:rsidRDefault="004851D7">
            <w:pPr>
              <w:rPr>
                <w:color w:val="000000"/>
                <w:sz w:val="20"/>
                <w:szCs w:val="20"/>
              </w:rPr>
            </w:pPr>
          </w:p>
        </w:tc>
      </w:tr>
      <w:tr w:rsidR="000678D6" w:rsidTr="0039741E">
        <w:trPr>
          <w:trHeight w:val="297"/>
        </w:trPr>
        <w:tc>
          <w:tcPr>
            <w:tcW w:w="3611" w:type="pct"/>
            <w:tcBorders>
              <w:top w:val="nil"/>
              <w:left w:val="nil"/>
              <w:bottom w:val="nil"/>
              <w:right w:val="nil"/>
            </w:tcBorders>
            <w:vAlign w:val="bottom"/>
          </w:tcPr>
          <w:p w:rsidR="000678D6" w:rsidRDefault="000678D6" w:rsidP="003E625E">
            <w:pPr>
              <w:ind w:firstLineChars="100" w:firstLine="200"/>
              <w:rPr>
                <w:color w:val="000000"/>
                <w:sz w:val="20"/>
                <w:szCs w:val="20"/>
              </w:rPr>
            </w:pPr>
            <w:r>
              <w:rPr>
                <w:color w:val="000000"/>
                <w:sz w:val="20"/>
                <w:szCs w:val="20"/>
              </w:rPr>
              <w:t>Net income</w:t>
            </w:r>
          </w:p>
        </w:tc>
        <w:tc>
          <w:tcPr>
            <w:tcW w:w="566" w:type="pct"/>
            <w:tcBorders>
              <w:top w:val="nil"/>
              <w:left w:val="nil"/>
              <w:bottom w:val="nil"/>
              <w:right w:val="nil"/>
            </w:tcBorders>
            <w:noWrap/>
            <w:vAlign w:val="bottom"/>
          </w:tcPr>
          <w:p w:rsidR="000678D6" w:rsidRDefault="000678D6" w:rsidP="004C0E36">
            <w:pPr>
              <w:jc w:val="right"/>
              <w:rPr>
                <w:b/>
                <w:bCs/>
                <w:color w:val="000000"/>
                <w:sz w:val="20"/>
                <w:szCs w:val="20"/>
              </w:rPr>
            </w:pPr>
            <w:r>
              <w:rPr>
                <w:b/>
                <w:bCs/>
                <w:color w:val="000000"/>
                <w:sz w:val="20"/>
                <w:szCs w:val="20"/>
              </w:rPr>
              <w:t>$</w:t>
            </w:r>
            <w:r w:rsidR="004C0E36">
              <w:rPr>
                <w:b/>
                <w:bCs/>
                <w:color w:val="000000"/>
                <w:sz w:val="20"/>
                <w:szCs w:val="20"/>
              </w:rPr>
              <w:t xml:space="preserve">4 </w:t>
            </w:r>
          </w:p>
        </w:tc>
        <w:tc>
          <w:tcPr>
            <w:tcW w:w="116" w:type="pct"/>
            <w:tcBorders>
              <w:top w:val="nil"/>
              <w:left w:val="nil"/>
              <w:bottom w:val="nil"/>
              <w:right w:val="nil"/>
            </w:tcBorders>
            <w:noWrap/>
            <w:vAlign w:val="bottom"/>
          </w:tcPr>
          <w:p w:rsidR="000678D6" w:rsidRDefault="000678D6">
            <w:pPr>
              <w:jc w:val="right"/>
              <w:rPr>
                <w:b/>
                <w:bCs/>
                <w:color w:val="000000"/>
                <w:sz w:val="20"/>
                <w:szCs w:val="20"/>
              </w:rPr>
            </w:pPr>
          </w:p>
        </w:tc>
        <w:tc>
          <w:tcPr>
            <w:tcW w:w="706" w:type="pct"/>
            <w:tcBorders>
              <w:top w:val="nil"/>
              <w:left w:val="nil"/>
              <w:bottom w:val="nil"/>
              <w:right w:val="nil"/>
            </w:tcBorders>
            <w:noWrap/>
            <w:vAlign w:val="bottom"/>
          </w:tcPr>
          <w:p w:rsidR="000678D6" w:rsidRDefault="000678D6" w:rsidP="00223B45">
            <w:pPr>
              <w:jc w:val="right"/>
              <w:rPr>
                <w:color w:val="000000"/>
                <w:sz w:val="20"/>
                <w:szCs w:val="20"/>
              </w:rPr>
            </w:pPr>
            <w:r>
              <w:rPr>
                <w:color w:val="000000"/>
                <w:sz w:val="20"/>
                <w:szCs w:val="20"/>
              </w:rPr>
              <w:t xml:space="preserve">$1,012 </w:t>
            </w:r>
          </w:p>
        </w:tc>
      </w:tr>
      <w:tr w:rsidR="000678D6" w:rsidTr="0039741E">
        <w:trPr>
          <w:trHeight w:val="252"/>
        </w:trPr>
        <w:tc>
          <w:tcPr>
            <w:tcW w:w="3611" w:type="pct"/>
            <w:tcBorders>
              <w:top w:val="nil"/>
              <w:left w:val="nil"/>
              <w:bottom w:val="nil"/>
              <w:right w:val="nil"/>
            </w:tcBorders>
            <w:vAlign w:val="bottom"/>
          </w:tcPr>
          <w:p w:rsidR="000678D6" w:rsidRDefault="000678D6" w:rsidP="003E625E">
            <w:pPr>
              <w:ind w:firstLineChars="200" w:firstLine="400"/>
              <w:rPr>
                <w:color w:val="000000"/>
                <w:sz w:val="20"/>
                <w:szCs w:val="20"/>
              </w:rPr>
            </w:pPr>
            <w:r>
              <w:rPr>
                <w:color w:val="000000"/>
                <w:sz w:val="20"/>
                <w:szCs w:val="20"/>
              </w:rPr>
              <w:t>Adjustments to reconcile net income to net cash provided by operating activities:</w:t>
            </w:r>
          </w:p>
        </w:tc>
        <w:tc>
          <w:tcPr>
            <w:tcW w:w="566" w:type="pct"/>
            <w:tcBorders>
              <w:top w:val="nil"/>
              <w:left w:val="nil"/>
              <w:bottom w:val="nil"/>
              <w:right w:val="nil"/>
            </w:tcBorders>
            <w:noWrap/>
            <w:vAlign w:val="bottom"/>
          </w:tcPr>
          <w:p w:rsidR="000678D6" w:rsidRDefault="000678D6">
            <w:pPr>
              <w:rPr>
                <w:b/>
                <w:bCs/>
                <w:color w:val="000000"/>
                <w:sz w:val="20"/>
                <w:szCs w:val="20"/>
              </w:rPr>
            </w:pPr>
          </w:p>
        </w:tc>
        <w:tc>
          <w:tcPr>
            <w:tcW w:w="116" w:type="pct"/>
            <w:tcBorders>
              <w:top w:val="nil"/>
              <w:left w:val="nil"/>
              <w:bottom w:val="nil"/>
              <w:right w:val="nil"/>
            </w:tcBorders>
            <w:noWrap/>
            <w:vAlign w:val="bottom"/>
          </w:tcPr>
          <w:p w:rsidR="000678D6" w:rsidRDefault="000678D6">
            <w:pPr>
              <w:rPr>
                <w:b/>
                <w:bCs/>
                <w:color w:val="000000"/>
                <w:sz w:val="20"/>
                <w:szCs w:val="20"/>
              </w:rPr>
            </w:pPr>
          </w:p>
        </w:tc>
        <w:tc>
          <w:tcPr>
            <w:tcW w:w="706" w:type="pct"/>
            <w:tcBorders>
              <w:top w:val="nil"/>
              <w:left w:val="nil"/>
              <w:bottom w:val="nil"/>
              <w:right w:val="nil"/>
            </w:tcBorders>
            <w:noWrap/>
            <w:vAlign w:val="bottom"/>
          </w:tcPr>
          <w:p w:rsidR="000678D6" w:rsidRDefault="000678D6">
            <w:pPr>
              <w:rPr>
                <w:color w:val="000000"/>
                <w:sz w:val="20"/>
                <w:szCs w:val="20"/>
              </w:rPr>
            </w:pPr>
          </w:p>
        </w:tc>
      </w:tr>
      <w:tr w:rsidR="00E32735" w:rsidTr="0039741E">
        <w:trPr>
          <w:trHeight w:val="252"/>
        </w:trPr>
        <w:tc>
          <w:tcPr>
            <w:tcW w:w="3611" w:type="pct"/>
            <w:tcBorders>
              <w:top w:val="nil"/>
              <w:left w:val="nil"/>
              <w:bottom w:val="nil"/>
              <w:right w:val="nil"/>
            </w:tcBorders>
            <w:vAlign w:val="bottom"/>
          </w:tcPr>
          <w:p w:rsidR="00E32735" w:rsidRDefault="00E32735" w:rsidP="003E625E">
            <w:pPr>
              <w:ind w:firstLineChars="200" w:firstLine="400"/>
              <w:rPr>
                <w:color w:val="000000"/>
                <w:sz w:val="20"/>
                <w:szCs w:val="20"/>
              </w:rPr>
            </w:pPr>
            <w:r>
              <w:rPr>
                <w:color w:val="000000"/>
                <w:sz w:val="20"/>
                <w:szCs w:val="20"/>
              </w:rPr>
              <w:t>Depreciation and amortization</w:t>
            </w:r>
          </w:p>
        </w:tc>
        <w:tc>
          <w:tcPr>
            <w:tcW w:w="566" w:type="pct"/>
            <w:tcBorders>
              <w:top w:val="nil"/>
              <w:left w:val="nil"/>
              <w:bottom w:val="nil"/>
              <w:right w:val="nil"/>
            </w:tcBorders>
            <w:noWrap/>
            <w:vAlign w:val="bottom"/>
          </w:tcPr>
          <w:p w:rsidR="00E32735" w:rsidRDefault="00E32735">
            <w:pPr>
              <w:jc w:val="right"/>
              <w:rPr>
                <w:b/>
                <w:bCs/>
                <w:color w:val="000000"/>
                <w:sz w:val="20"/>
                <w:szCs w:val="20"/>
              </w:rPr>
            </w:pPr>
            <w:r>
              <w:rPr>
                <w:b/>
                <w:bCs/>
                <w:color w:val="000000"/>
                <w:sz w:val="20"/>
                <w:szCs w:val="20"/>
              </w:rPr>
              <w:t xml:space="preserve">1,138 </w:t>
            </w:r>
          </w:p>
        </w:tc>
        <w:tc>
          <w:tcPr>
            <w:tcW w:w="116" w:type="pct"/>
            <w:tcBorders>
              <w:top w:val="nil"/>
              <w:left w:val="nil"/>
              <w:bottom w:val="nil"/>
              <w:right w:val="nil"/>
            </w:tcBorders>
            <w:noWrap/>
            <w:vAlign w:val="bottom"/>
          </w:tcPr>
          <w:p w:rsidR="00E32735" w:rsidRDefault="00E32735">
            <w:pPr>
              <w:rPr>
                <w:b/>
                <w:bCs/>
                <w:color w:val="000000"/>
                <w:sz w:val="20"/>
                <w:szCs w:val="20"/>
              </w:rPr>
            </w:pPr>
          </w:p>
        </w:tc>
        <w:tc>
          <w:tcPr>
            <w:tcW w:w="706" w:type="pct"/>
            <w:tcBorders>
              <w:top w:val="nil"/>
              <w:left w:val="nil"/>
              <w:bottom w:val="nil"/>
              <w:right w:val="nil"/>
            </w:tcBorders>
            <w:noWrap/>
            <w:vAlign w:val="bottom"/>
          </w:tcPr>
          <w:p w:rsidR="00E32735" w:rsidRDefault="00E32735">
            <w:pPr>
              <w:jc w:val="right"/>
              <w:rPr>
                <w:color w:val="000000"/>
                <w:sz w:val="20"/>
                <w:szCs w:val="20"/>
              </w:rPr>
            </w:pPr>
            <w:r>
              <w:rPr>
                <w:color w:val="000000"/>
                <w:sz w:val="20"/>
                <w:szCs w:val="20"/>
              </w:rPr>
              <w:t>1069</w:t>
            </w:r>
          </w:p>
        </w:tc>
      </w:tr>
      <w:tr w:rsidR="00E32735" w:rsidTr="0039741E">
        <w:trPr>
          <w:trHeight w:val="252"/>
        </w:trPr>
        <w:tc>
          <w:tcPr>
            <w:tcW w:w="3611" w:type="pct"/>
            <w:tcBorders>
              <w:top w:val="nil"/>
              <w:left w:val="nil"/>
              <w:bottom w:val="nil"/>
              <w:right w:val="nil"/>
            </w:tcBorders>
            <w:vAlign w:val="bottom"/>
          </w:tcPr>
          <w:p w:rsidR="00E32735" w:rsidRDefault="00E32735" w:rsidP="003E625E">
            <w:pPr>
              <w:ind w:firstLineChars="200" w:firstLine="400"/>
              <w:rPr>
                <w:color w:val="000000"/>
                <w:sz w:val="20"/>
                <w:szCs w:val="20"/>
              </w:rPr>
            </w:pPr>
            <w:r>
              <w:rPr>
                <w:color w:val="000000"/>
                <w:sz w:val="20"/>
                <w:szCs w:val="20"/>
              </w:rPr>
              <w:t>Gain on disposal of assets</w:t>
            </w:r>
          </w:p>
        </w:tc>
        <w:tc>
          <w:tcPr>
            <w:tcW w:w="566" w:type="pct"/>
            <w:tcBorders>
              <w:top w:val="nil"/>
              <w:left w:val="nil"/>
              <w:bottom w:val="nil"/>
              <w:right w:val="nil"/>
            </w:tcBorders>
            <w:noWrap/>
            <w:vAlign w:val="bottom"/>
          </w:tcPr>
          <w:p w:rsidR="00E32735" w:rsidRDefault="003B4A3C" w:rsidP="00223B45">
            <w:pPr>
              <w:jc w:val="right"/>
              <w:rPr>
                <w:b/>
                <w:bCs/>
                <w:color w:val="000000"/>
                <w:sz w:val="20"/>
                <w:szCs w:val="20"/>
              </w:rPr>
            </w:pPr>
            <w:r>
              <w:rPr>
                <w:b/>
                <w:bCs/>
                <w:color w:val="000000"/>
                <w:sz w:val="20"/>
                <w:szCs w:val="20"/>
              </w:rPr>
              <w:t>-</w:t>
            </w:r>
          </w:p>
        </w:tc>
        <w:tc>
          <w:tcPr>
            <w:tcW w:w="116" w:type="pct"/>
            <w:tcBorders>
              <w:top w:val="nil"/>
              <w:left w:val="nil"/>
              <w:bottom w:val="nil"/>
              <w:right w:val="nil"/>
            </w:tcBorders>
            <w:noWrap/>
            <w:vAlign w:val="bottom"/>
          </w:tcPr>
          <w:p w:rsidR="00E32735" w:rsidRDefault="00E32735">
            <w:pPr>
              <w:rPr>
                <w:b/>
                <w:bCs/>
                <w:color w:val="000000"/>
                <w:sz w:val="20"/>
                <w:szCs w:val="20"/>
              </w:rPr>
            </w:pPr>
          </w:p>
        </w:tc>
        <w:tc>
          <w:tcPr>
            <w:tcW w:w="706" w:type="pct"/>
            <w:tcBorders>
              <w:top w:val="nil"/>
              <w:left w:val="nil"/>
              <w:bottom w:val="nil"/>
              <w:right w:val="nil"/>
            </w:tcBorders>
            <w:noWrap/>
            <w:vAlign w:val="bottom"/>
          </w:tcPr>
          <w:p w:rsidR="00E32735" w:rsidRDefault="00E32735" w:rsidP="00223B45">
            <w:pPr>
              <w:jc w:val="right"/>
              <w:rPr>
                <w:color w:val="000000"/>
                <w:sz w:val="20"/>
                <w:szCs w:val="20"/>
              </w:rPr>
            </w:pPr>
            <w:r>
              <w:rPr>
                <w:color w:val="000000"/>
                <w:sz w:val="20"/>
                <w:szCs w:val="20"/>
              </w:rPr>
              <w:t xml:space="preserve"> (1)</w:t>
            </w:r>
          </w:p>
        </w:tc>
      </w:tr>
      <w:tr w:rsidR="00E32735" w:rsidTr="0039741E">
        <w:trPr>
          <w:trHeight w:val="297"/>
        </w:trPr>
        <w:tc>
          <w:tcPr>
            <w:tcW w:w="3611" w:type="pct"/>
            <w:tcBorders>
              <w:top w:val="nil"/>
              <w:left w:val="nil"/>
              <w:bottom w:val="nil"/>
              <w:right w:val="nil"/>
            </w:tcBorders>
            <w:vAlign w:val="bottom"/>
          </w:tcPr>
          <w:p w:rsidR="00E32735" w:rsidRDefault="00E32735" w:rsidP="003E625E">
            <w:pPr>
              <w:ind w:firstLineChars="200" w:firstLine="400"/>
              <w:rPr>
                <w:color w:val="000000"/>
                <w:sz w:val="20"/>
                <w:szCs w:val="20"/>
              </w:rPr>
            </w:pPr>
            <w:r>
              <w:rPr>
                <w:color w:val="000000"/>
                <w:sz w:val="20"/>
                <w:szCs w:val="20"/>
              </w:rPr>
              <w:t>Deferred income taxes, net</w:t>
            </w:r>
          </w:p>
        </w:tc>
        <w:tc>
          <w:tcPr>
            <w:tcW w:w="566" w:type="pct"/>
            <w:tcBorders>
              <w:top w:val="nil"/>
              <w:left w:val="nil"/>
              <w:bottom w:val="nil"/>
              <w:right w:val="nil"/>
            </w:tcBorders>
            <w:noWrap/>
            <w:vAlign w:val="bottom"/>
          </w:tcPr>
          <w:p w:rsidR="00E32735" w:rsidRDefault="00F66C7D" w:rsidP="00F66C7D">
            <w:pPr>
              <w:jc w:val="right"/>
              <w:rPr>
                <w:b/>
                <w:bCs/>
                <w:color w:val="000000"/>
                <w:sz w:val="20"/>
                <w:szCs w:val="20"/>
              </w:rPr>
            </w:pPr>
            <w:r>
              <w:rPr>
                <w:b/>
                <w:bCs/>
                <w:color w:val="000000"/>
                <w:sz w:val="20"/>
                <w:szCs w:val="20"/>
              </w:rPr>
              <w:t xml:space="preserve">165 </w:t>
            </w:r>
          </w:p>
        </w:tc>
        <w:tc>
          <w:tcPr>
            <w:tcW w:w="116" w:type="pct"/>
            <w:tcBorders>
              <w:top w:val="nil"/>
              <w:left w:val="nil"/>
              <w:bottom w:val="nil"/>
              <w:right w:val="nil"/>
            </w:tcBorders>
            <w:noWrap/>
            <w:vAlign w:val="bottom"/>
          </w:tcPr>
          <w:p w:rsidR="00E32735" w:rsidRDefault="00E32735">
            <w:pPr>
              <w:rPr>
                <w:b/>
                <w:bCs/>
                <w:color w:val="000000"/>
                <w:sz w:val="20"/>
                <w:szCs w:val="20"/>
              </w:rPr>
            </w:pPr>
          </w:p>
        </w:tc>
        <w:tc>
          <w:tcPr>
            <w:tcW w:w="706" w:type="pct"/>
            <w:tcBorders>
              <w:top w:val="nil"/>
              <w:left w:val="nil"/>
              <w:bottom w:val="nil"/>
              <w:right w:val="nil"/>
            </w:tcBorders>
            <w:noWrap/>
            <w:vAlign w:val="bottom"/>
          </w:tcPr>
          <w:p w:rsidR="00E32735" w:rsidRDefault="00E32735" w:rsidP="00223B45">
            <w:pPr>
              <w:jc w:val="right"/>
              <w:rPr>
                <w:color w:val="000000"/>
                <w:sz w:val="20"/>
                <w:szCs w:val="20"/>
              </w:rPr>
            </w:pPr>
            <w:r>
              <w:rPr>
                <w:color w:val="000000"/>
                <w:sz w:val="20"/>
                <w:szCs w:val="20"/>
              </w:rPr>
              <w:t>(436)</w:t>
            </w:r>
          </w:p>
        </w:tc>
      </w:tr>
      <w:tr w:rsidR="00E32735" w:rsidTr="0039741E">
        <w:trPr>
          <w:trHeight w:val="297"/>
        </w:trPr>
        <w:tc>
          <w:tcPr>
            <w:tcW w:w="3611" w:type="pct"/>
            <w:tcBorders>
              <w:top w:val="nil"/>
              <w:left w:val="nil"/>
              <w:bottom w:val="nil"/>
              <w:right w:val="nil"/>
            </w:tcBorders>
            <w:vAlign w:val="bottom"/>
          </w:tcPr>
          <w:p w:rsidR="00E32735" w:rsidRDefault="00E32735" w:rsidP="003E625E">
            <w:pPr>
              <w:ind w:firstLineChars="200" w:firstLine="400"/>
              <w:rPr>
                <w:color w:val="000000"/>
                <w:sz w:val="20"/>
                <w:szCs w:val="20"/>
              </w:rPr>
            </w:pPr>
            <w:r>
              <w:rPr>
                <w:color w:val="000000"/>
                <w:sz w:val="20"/>
                <w:szCs w:val="20"/>
              </w:rPr>
              <w:t xml:space="preserve">Share based compensation </w:t>
            </w:r>
          </w:p>
        </w:tc>
        <w:tc>
          <w:tcPr>
            <w:tcW w:w="566" w:type="pct"/>
            <w:tcBorders>
              <w:top w:val="nil"/>
              <w:left w:val="nil"/>
              <w:bottom w:val="nil"/>
              <w:right w:val="nil"/>
            </w:tcBorders>
            <w:noWrap/>
            <w:vAlign w:val="bottom"/>
          </w:tcPr>
          <w:p w:rsidR="00E32735" w:rsidRDefault="00394A67">
            <w:pPr>
              <w:jc w:val="right"/>
              <w:rPr>
                <w:b/>
                <w:bCs/>
                <w:color w:val="000000"/>
                <w:sz w:val="20"/>
                <w:szCs w:val="20"/>
              </w:rPr>
            </w:pPr>
            <w:r>
              <w:rPr>
                <w:b/>
                <w:bCs/>
                <w:color w:val="000000"/>
                <w:sz w:val="20"/>
                <w:szCs w:val="20"/>
              </w:rPr>
              <w:t xml:space="preserve">419 </w:t>
            </w:r>
          </w:p>
        </w:tc>
        <w:tc>
          <w:tcPr>
            <w:tcW w:w="116" w:type="pct"/>
            <w:tcBorders>
              <w:top w:val="nil"/>
              <w:left w:val="nil"/>
              <w:bottom w:val="nil"/>
              <w:right w:val="nil"/>
            </w:tcBorders>
            <w:noWrap/>
            <w:vAlign w:val="bottom"/>
          </w:tcPr>
          <w:p w:rsidR="00E32735" w:rsidRDefault="00E32735">
            <w:pPr>
              <w:rPr>
                <w:b/>
                <w:bCs/>
                <w:color w:val="000000"/>
                <w:sz w:val="20"/>
                <w:szCs w:val="20"/>
              </w:rPr>
            </w:pPr>
          </w:p>
        </w:tc>
        <w:tc>
          <w:tcPr>
            <w:tcW w:w="706" w:type="pct"/>
            <w:tcBorders>
              <w:top w:val="nil"/>
              <w:left w:val="nil"/>
              <w:bottom w:val="nil"/>
              <w:right w:val="nil"/>
            </w:tcBorders>
            <w:noWrap/>
            <w:vAlign w:val="bottom"/>
          </w:tcPr>
          <w:p w:rsidR="00E32735" w:rsidRDefault="00E32735">
            <w:pPr>
              <w:jc w:val="right"/>
              <w:rPr>
                <w:color w:val="000000"/>
                <w:sz w:val="20"/>
                <w:szCs w:val="20"/>
              </w:rPr>
            </w:pPr>
            <w:r>
              <w:rPr>
                <w:color w:val="000000"/>
                <w:sz w:val="20"/>
                <w:szCs w:val="20"/>
              </w:rPr>
              <w:t>438</w:t>
            </w:r>
          </w:p>
        </w:tc>
      </w:tr>
      <w:tr w:rsidR="00E32735" w:rsidTr="0039741E">
        <w:trPr>
          <w:trHeight w:val="297"/>
        </w:trPr>
        <w:tc>
          <w:tcPr>
            <w:tcW w:w="3611" w:type="pct"/>
            <w:tcBorders>
              <w:top w:val="nil"/>
              <w:left w:val="nil"/>
              <w:bottom w:val="nil"/>
              <w:right w:val="nil"/>
            </w:tcBorders>
            <w:vAlign w:val="bottom"/>
          </w:tcPr>
          <w:p w:rsidR="00E32735" w:rsidRDefault="00E32735" w:rsidP="000927A9">
            <w:pPr>
              <w:ind w:firstLineChars="200" w:firstLine="400"/>
              <w:rPr>
                <w:color w:val="000000"/>
                <w:sz w:val="20"/>
                <w:szCs w:val="20"/>
              </w:rPr>
            </w:pPr>
            <w:r>
              <w:rPr>
                <w:color w:val="000000"/>
                <w:sz w:val="20"/>
                <w:szCs w:val="20"/>
              </w:rPr>
              <w:t>Net changes in operating assets and liabilities</w:t>
            </w:r>
            <w:r w:rsidR="007104AD">
              <w:rPr>
                <w:color w:val="000000"/>
                <w:sz w:val="20"/>
                <w:szCs w:val="20"/>
              </w:rPr>
              <w:t xml:space="preserve">, </w:t>
            </w:r>
            <w:r w:rsidR="007D461D">
              <w:rPr>
                <w:color w:val="000000"/>
                <w:sz w:val="20"/>
                <w:szCs w:val="20"/>
              </w:rPr>
              <w:t>excluding the effect</w:t>
            </w:r>
            <w:r w:rsidR="007104AD">
              <w:rPr>
                <w:color w:val="000000"/>
                <w:sz w:val="20"/>
                <w:szCs w:val="20"/>
              </w:rPr>
              <w:t xml:space="preserve"> of business acquisitions</w:t>
            </w:r>
            <w:r>
              <w:rPr>
                <w:color w:val="000000"/>
                <w:sz w:val="20"/>
                <w:szCs w:val="20"/>
              </w:rPr>
              <w:t>:</w:t>
            </w:r>
          </w:p>
        </w:tc>
        <w:tc>
          <w:tcPr>
            <w:tcW w:w="566" w:type="pct"/>
            <w:tcBorders>
              <w:top w:val="nil"/>
              <w:left w:val="nil"/>
              <w:bottom w:val="nil"/>
              <w:right w:val="nil"/>
            </w:tcBorders>
            <w:noWrap/>
            <w:vAlign w:val="bottom"/>
          </w:tcPr>
          <w:p w:rsidR="00E32735" w:rsidRDefault="00E32735">
            <w:pPr>
              <w:rPr>
                <w:b/>
                <w:bCs/>
                <w:color w:val="000000"/>
                <w:sz w:val="20"/>
                <w:szCs w:val="20"/>
              </w:rPr>
            </w:pPr>
          </w:p>
        </w:tc>
        <w:tc>
          <w:tcPr>
            <w:tcW w:w="116" w:type="pct"/>
            <w:tcBorders>
              <w:top w:val="nil"/>
              <w:left w:val="nil"/>
              <w:bottom w:val="nil"/>
              <w:right w:val="nil"/>
            </w:tcBorders>
            <w:noWrap/>
            <w:vAlign w:val="bottom"/>
          </w:tcPr>
          <w:p w:rsidR="00E32735" w:rsidRDefault="00E32735">
            <w:pPr>
              <w:rPr>
                <w:b/>
                <w:bCs/>
                <w:color w:val="000000"/>
                <w:sz w:val="20"/>
                <w:szCs w:val="20"/>
              </w:rPr>
            </w:pPr>
          </w:p>
        </w:tc>
        <w:tc>
          <w:tcPr>
            <w:tcW w:w="706" w:type="pct"/>
            <w:tcBorders>
              <w:top w:val="nil"/>
              <w:left w:val="nil"/>
              <w:bottom w:val="nil"/>
              <w:right w:val="nil"/>
            </w:tcBorders>
            <w:noWrap/>
            <w:vAlign w:val="bottom"/>
          </w:tcPr>
          <w:p w:rsidR="00E32735" w:rsidRDefault="00E32735">
            <w:pPr>
              <w:rPr>
                <w:color w:val="000000"/>
                <w:sz w:val="20"/>
                <w:szCs w:val="20"/>
              </w:rPr>
            </w:pPr>
          </w:p>
        </w:tc>
      </w:tr>
      <w:tr w:rsidR="00E32735" w:rsidTr="0039741E">
        <w:trPr>
          <w:trHeight w:val="297"/>
        </w:trPr>
        <w:tc>
          <w:tcPr>
            <w:tcW w:w="3611" w:type="pct"/>
            <w:tcBorders>
              <w:top w:val="nil"/>
              <w:left w:val="nil"/>
              <w:bottom w:val="nil"/>
              <w:right w:val="nil"/>
            </w:tcBorders>
            <w:vAlign w:val="bottom"/>
          </w:tcPr>
          <w:p w:rsidR="00E32735" w:rsidRDefault="00E32735" w:rsidP="003E625E">
            <w:pPr>
              <w:ind w:firstLineChars="300" w:firstLine="600"/>
              <w:rPr>
                <w:color w:val="000000"/>
                <w:sz w:val="20"/>
                <w:szCs w:val="20"/>
              </w:rPr>
            </w:pPr>
            <w:r>
              <w:rPr>
                <w:color w:val="000000"/>
                <w:sz w:val="20"/>
                <w:szCs w:val="20"/>
              </w:rPr>
              <w:t>Accounts receivable</w:t>
            </w:r>
          </w:p>
        </w:tc>
        <w:tc>
          <w:tcPr>
            <w:tcW w:w="566" w:type="pct"/>
            <w:tcBorders>
              <w:top w:val="nil"/>
              <w:left w:val="nil"/>
              <w:bottom w:val="nil"/>
              <w:right w:val="nil"/>
            </w:tcBorders>
            <w:noWrap/>
            <w:vAlign w:val="bottom"/>
          </w:tcPr>
          <w:p w:rsidR="00E32735" w:rsidRDefault="00E32735">
            <w:pPr>
              <w:jc w:val="right"/>
              <w:rPr>
                <w:b/>
                <w:bCs/>
                <w:color w:val="000000"/>
                <w:sz w:val="20"/>
                <w:szCs w:val="20"/>
              </w:rPr>
            </w:pPr>
            <w:r>
              <w:rPr>
                <w:b/>
                <w:bCs/>
                <w:color w:val="000000"/>
                <w:sz w:val="20"/>
                <w:szCs w:val="20"/>
              </w:rPr>
              <w:t>(255)</w:t>
            </w:r>
          </w:p>
        </w:tc>
        <w:tc>
          <w:tcPr>
            <w:tcW w:w="116" w:type="pct"/>
            <w:tcBorders>
              <w:top w:val="nil"/>
              <w:left w:val="nil"/>
              <w:bottom w:val="nil"/>
              <w:right w:val="nil"/>
            </w:tcBorders>
            <w:noWrap/>
            <w:vAlign w:val="bottom"/>
          </w:tcPr>
          <w:p w:rsidR="00E32735" w:rsidRDefault="00E32735">
            <w:pPr>
              <w:rPr>
                <w:b/>
                <w:bCs/>
                <w:color w:val="000000"/>
                <w:sz w:val="20"/>
                <w:szCs w:val="20"/>
              </w:rPr>
            </w:pPr>
          </w:p>
        </w:tc>
        <w:tc>
          <w:tcPr>
            <w:tcW w:w="706" w:type="pct"/>
            <w:tcBorders>
              <w:top w:val="nil"/>
              <w:left w:val="nil"/>
              <w:bottom w:val="nil"/>
              <w:right w:val="nil"/>
            </w:tcBorders>
            <w:noWrap/>
            <w:vAlign w:val="bottom"/>
          </w:tcPr>
          <w:p w:rsidR="00E32735" w:rsidRDefault="00E32735">
            <w:pPr>
              <w:jc w:val="right"/>
              <w:rPr>
                <w:color w:val="000000"/>
                <w:sz w:val="20"/>
                <w:szCs w:val="20"/>
              </w:rPr>
            </w:pPr>
            <w:r>
              <w:rPr>
                <w:color w:val="000000"/>
                <w:sz w:val="20"/>
                <w:szCs w:val="20"/>
              </w:rPr>
              <w:t xml:space="preserve">39 </w:t>
            </w:r>
          </w:p>
        </w:tc>
      </w:tr>
      <w:tr w:rsidR="00E32735" w:rsidTr="0039741E">
        <w:trPr>
          <w:trHeight w:val="297"/>
        </w:trPr>
        <w:tc>
          <w:tcPr>
            <w:tcW w:w="3611" w:type="pct"/>
            <w:tcBorders>
              <w:top w:val="nil"/>
              <w:left w:val="nil"/>
              <w:bottom w:val="nil"/>
              <w:right w:val="nil"/>
            </w:tcBorders>
            <w:vAlign w:val="bottom"/>
          </w:tcPr>
          <w:p w:rsidR="00E32735" w:rsidRDefault="00E32735" w:rsidP="003E625E">
            <w:pPr>
              <w:ind w:firstLineChars="300" w:firstLine="600"/>
              <w:rPr>
                <w:color w:val="000000"/>
                <w:sz w:val="20"/>
                <w:szCs w:val="20"/>
              </w:rPr>
            </w:pPr>
            <w:r>
              <w:rPr>
                <w:color w:val="000000"/>
                <w:sz w:val="20"/>
                <w:szCs w:val="20"/>
              </w:rPr>
              <w:t>Inventories</w:t>
            </w:r>
          </w:p>
        </w:tc>
        <w:tc>
          <w:tcPr>
            <w:tcW w:w="566" w:type="pct"/>
            <w:tcBorders>
              <w:top w:val="nil"/>
              <w:left w:val="nil"/>
              <w:bottom w:val="nil"/>
              <w:right w:val="nil"/>
            </w:tcBorders>
            <w:noWrap/>
            <w:vAlign w:val="bottom"/>
          </w:tcPr>
          <w:p w:rsidR="00E32735" w:rsidRDefault="00E32735">
            <w:pPr>
              <w:jc w:val="right"/>
              <w:rPr>
                <w:b/>
                <w:bCs/>
                <w:color w:val="000000"/>
                <w:sz w:val="20"/>
                <w:szCs w:val="20"/>
              </w:rPr>
            </w:pPr>
            <w:r>
              <w:rPr>
                <w:b/>
                <w:bCs/>
                <w:color w:val="000000"/>
                <w:sz w:val="20"/>
                <w:szCs w:val="20"/>
              </w:rPr>
              <w:t>(90)</w:t>
            </w:r>
          </w:p>
        </w:tc>
        <w:tc>
          <w:tcPr>
            <w:tcW w:w="116" w:type="pct"/>
            <w:tcBorders>
              <w:top w:val="nil"/>
              <w:left w:val="nil"/>
              <w:bottom w:val="nil"/>
              <w:right w:val="nil"/>
            </w:tcBorders>
            <w:noWrap/>
            <w:vAlign w:val="bottom"/>
          </w:tcPr>
          <w:p w:rsidR="00E32735" w:rsidRDefault="00E32735">
            <w:pPr>
              <w:rPr>
                <w:b/>
                <w:bCs/>
                <w:color w:val="000000"/>
                <w:sz w:val="20"/>
                <w:szCs w:val="20"/>
              </w:rPr>
            </w:pPr>
          </w:p>
        </w:tc>
        <w:tc>
          <w:tcPr>
            <w:tcW w:w="706" w:type="pct"/>
            <w:tcBorders>
              <w:top w:val="nil"/>
              <w:left w:val="nil"/>
              <w:bottom w:val="nil"/>
              <w:right w:val="nil"/>
            </w:tcBorders>
            <w:noWrap/>
            <w:vAlign w:val="bottom"/>
          </w:tcPr>
          <w:p w:rsidR="00E32735" w:rsidRDefault="00E32735">
            <w:pPr>
              <w:jc w:val="right"/>
              <w:rPr>
                <w:color w:val="000000"/>
                <w:sz w:val="20"/>
                <w:szCs w:val="20"/>
              </w:rPr>
            </w:pPr>
            <w:r>
              <w:rPr>
                <w:color w:val="000000"/>
                <w:sz w:val="20"/>
                <w:szCs w:val="20"/>
              </w:rPr>
              <w:t xml:space="preserve">185 </w:t>
            </w:r>
          </w:p>
        </w:tc>
      </w:tr>
      <w:tr w:rsidR="00E32735" w:rsidTr="0039741E">
        <w:trPr>
          <w:trHeight w:val="297"/>
        </w:trPr>
        <w:tc>
          <w:tcPr>
            <w:tcW w:w="3611" w:type="pct"/>
            <w:tcBorders>
              <w:top w:val="nil"/>
              <w:left w:val="nil"/>
              <w:bottom w:val="nil"/>
              <w:right w:val="nil"/>
            </w:tcBorders>
            <w:vAlign w:val="bottom"/>
          </w:tcPr>
          <w:p w:rsidR="00E32735" w:rsidRDefault="00E32735" w:rsidP="003E625E">
            <w:pPr>
              <w:ind w:firstLineChars="300" w:firstLine="600"/>
              <w:rPr>
                <w:color w:val="000000"/>
                <w:sz w:val="20"/>
                <w:szCs w:val="20"/>
              </w:rPr>
            </w:pPr>
            <w:r>
              <w:rPr>
                <w:color w:val="000000"/>
                <w:sz w:val="20"/>
                <w:szCs w:val="20"/>
              </w:rPr>
              <w:t>Prepaid expenses and other current assets</w:t>
            </w:r>
          </w:p>
        </w:tc>
        <w:tc>
          <w:tcPr>
            <w:tcW w:w="566" w:type="pct"/>
            <w:tcBorders>
              <w:top w:val="nil"/>
              <w:left w:val="nil"/>
              <w:bottom w:val="nil"/>
              <w:right w:val="nil"/>
            </w:tcBorders>
            <w:noWrap/>
            <w:vAlign w:val="bottom"/>
          </w:tcPr>
          <w:p w:rsidR="00E32735" w:rsidRDefault="00E32735">
            <w:pPr>
              <w:jc w:val="right"/>
              <w:rPr>
                <w:b/>
                <w:bCs/>
                <w:color w:val="000000"/>
                <w:sz w:val="20"/>
                <w:szCs w:val="20"/>
              </w:rPr>
            </w:pPr>
            <w:r>
              <w:rPr>
                <w:b/>
                <w:bCs/>
                <w:color w:val="000000"/>
                <w:sz w:val="20"/>
                <w:szCs w:val="20"/>
              </w:rPr>
              <w:t>(110)</w:t>
            </w:r>
          </w:p>
        </w:tc>
        <w:tc>
          <w:tcPr>
            <w:tcW w:w="116" w:type="pct"/>
            <w:tcBorders>
              <w:top w:val="nil"/>
              <w:left w:val="nil"/>
              <w:bottom w:val="nil"/>
              <w:right w:val="nil"/>
            </w:tcBorders>
            <w:noWrap/>
            <w:vAlign w:val="bottom"/>
          </w:tcPr>
          <w:p w:rsidR="00E32735" w:rsidRDefault="00E32735">
            <w:pPr>
              <w:rPr>
                <w:b/>
                <w:bCs/>
                <w:color w:val="000000"/>
                <w:sz w:val="20"/>
                <w:szCs w:val="20"/>
              </w:rPr>
            </w:pPr>
          </w:p>
        </w:tc>
        <w:tc>
          <w:tcPr>
            <w:tcW w:w="706" w:type="pct"/>
            <w:tcBorders>
              <w:top w:val="nil"/>
              <w:left w:val="nil"/>
              <w:bottom w:val="nil"/>
              <w:right w:val="nil"/>
            </w:tcBorders>
            <w:noWrap/>
            <w:vAlign w:val="bottom"/>
          </w:tcPr>
          <w:p w:rsidR="00E32735" w:rsidRDefault="00E32735" w:rsidP="00223B45">
            <w:pPr>
              <w:jc w:val="right"/>
              <w:rPr>
                <w:color w:val="000000"/>
                <w:sz w:val="20"/>
                <w:szCs w:val="20"/>
              </w:rPr>
            </w:pPr>
            <w:r>
              <w:rPr>
                <w:color w:val="000000"/>
                <w:sz w:val="20"/>
                <w:szCs w:val="20"/>
              </w:rPr>
              <w:t xml:space="preserve">42 </w:t>
            </w:r>
          </w:p>
        </w:tc>
      </w:tr>
      <w:tr w:rsidR="00E32735" w:rsidTr="0039741E">
        <w:trPr>
          <w:trHeight w:val="297"/>
        </w:trPr>
        <w:tc>
          <w:tcPr>
            <w:tcW w:w="3611" w:type="pct"/>
            <w:tcBorders>
              <w:top w:val="nil"/>
              <w:left w:val="nil"/>
              <w:bottom w:val="nil"/>
              <w:right w:val="nil"/>
            </w:tcBorders>
            <w:vAlign w:val="bottom"/>
          </w:tcPr>
          <w:p w:rsidR="00E32735" w:rsidRDefault="00E32735" w:rsidP="003E625E">
            <w:pPr>
              <w:ind w:firstLineChars="300" w:firstLine="600"/>
              <w:rPr>
                <w:color w:val="000000"/>
                <w:sz w:val="20"/>
                <w:szCs w:val="20"/>
              </w:rPr>
            </w:pPr>
            <w:r>
              <w:rPr>
                <w:color w:val="000000"/>
                <w:sz w:val="20"/>
                <w:szCs w:val="20"/>
              </w:rPr>
              <w:t>Accounts payable</w:t>
            </w:r>
          </w:p>
        </w:tc>
        <w:tc>
          <w:tcPr>
            <w:tcW w:w="566" w:type="pct"/>
            <w:tcBorders>
              <w:top w:val="nil"/>
              <w:left w:val="nil"/>
              <w:bottom w:val="nil"/>
              <w:right w:val="nil"/>
            </w:tcBorders>
            <w:noWrap/>
            <w:vAlign w:val="bottom"/>
          </w:tcPr>
          <w:p w:rsidR="00E32735" w:rsidRDefault="003B168D" w:rsidP="00223B45">
            <w:pPr>
              <w:jc w:val="right"/>
              <w:rPr>
                <w:b/>
                <w:bCs/>
                <w:color w:val="000000"/>
                <w:sz w:val="20"/>
                <w:szCs w:val="20"/>
                <w:highlight w:val="yellow"/>
              </w:rPr>
            </w:pPr>
            <w:r>
              <w:rPr>
                <w:b/>
                <w:bCs/>
                <w:color w:val="000000"/>
                <w:sz w:val="20"/>
                <w:szCs w:val="20"/>
              </w:rPr>
              <w:t>95</w:t>
            </w:r>
          </w:p>
        </w:tc>
        <w:tc>
          <w:tcPr>
            <w:tcW w:w="116" w:type="pct"/>
            <w:tcBorders>
              <w:top w:val="nil"/>
              <w:left w:val="nil"/>
              <w:bottom w:val="nil"/>
              <w:right w:val="nil"/>
            </w:tcBorders>
            <w:noWrap/>
            <w:vAlign w:val="bottom"/>
          </w:tcPr>
          <w:p w:rsidR="00E32735" w:rsidRDefault="00E32735">
            <w:pPr>
              <w:rPr>
                <w:b/>
                <w:bCs/>
                <w:color w:val="000000"/>
                <w:sz w:val="20"/>
                <w:szCs w:val="20"/>
                <w:highlight w:val="yellow"/>
              </w:rPr>
            </w:pPr>
          </w:p>
        </w:tc>
        <w:tc>
          <w:tcPr>
            <w:tcW w:w="706" w:type="pct"/>
            <w:tcBorders>
              <w:top w:val="nil"/>
              <w:left w:val="nil"/>
              <w:bottom w:val="nil"/>
              <w:right w:val="nil"/>
            </w:tcBorders>
            <w:noWrap/>
            <w:vAlign w:val="bottom"/>
          </w:tcPr>
          <w:p w:rsidR="00E32735" w:rsidRDefault="00E32735">
            <w:pPr>
              <w:jc w:val="right"/>
              <w:rPr>
                <w:color w:val="000000"/>
                <w:sz w:val="20"/>
                <w:szCs w:val="20"/>
              </w:rPr>
            </w:pPr>
            <w:r>
              <w:rPr>
                <w:color w:val="000000"/>
                <w:sz w:val="20"/>
                <w:szCs w:val="20"/>
              </w:rPr>
              <w:t>(237)</w:t>
            </w:r>
          </w:p>
        </w:tc>
      </w:tr>
      <w:tr w:rsidR="00E32735" w:rsidTr="0039741E">
        <w:trPr>
          <w:trHeight w:val="297"/>
        </w:trPr>
        <w:tc>
          <w:tcPr>
            <w:tcW w:w="3611" w:type="pct"/>
            <w:tcBorders>
              <w:top w:val="nil"/>
              <w:left w:val="nil"/>
              <w:bottom w:val="nil"/>
              <w:right w:val="nil"/>
            </w:tcBorders>
            <w:vAlign w:val="bottom"/>
          </w:tcPr>
          <w:p w:rsidR="00E32735" w:rsidRDefault="00E32735" w:rsidP="000927A9">
            <w:pPr>
              <w:ind w:firstLineChars="300" w:firstLine="600"/>
              <w:rPr>
                <w:color w:val="000000"/>
                <w:sz w:val="20"/>
                <w:szCs w:val="20"/>
              </w:rPr>
            </w:pPr>
            <w:r>
              <w:rPr>
                <w:color w:val="000000"/>
                <w:sz w:val="20"/>
                <w:szCs w:val="20"/>
              </w:rPr>
              <w:t xml:space="preserve">Accrued </w:t>
            </w:r>
            <w:r w:rsidR="000927A9">
              <w:rPr>
                <w:color w:val="000000"/>
                <w:sz w:val="20"/>
                <w:szCs w:val="20"/>
              </w:rPr>
              <w:t xml:space="preserve">expenses </w:t>
            </w:r>
            <w:r>
              <w:rPr>
                <w:color w:val="000000"/>
                <w:sz w:val="20"/>
                <w:szCs w:val="20"/>
              </w:rPr>
              <w:t>and product returns</w:t>
            </w:r>
          </w:p>
        </w:tc>
        <w:tc>
          <w:tcPr>
            <w:tcW w:w="566" w:type="pct"/>
            <w:tcBorders>
              <w:top w:val="nil"/>
              <w:left w:val="nil"/>
              <w:bottom w:val="nil"/>
              <w:right w:val="nil"/>
            </w:tcBorders>
            <w:noWrap/>
            <w:vAlign w:val="bottom"/>
          </w:tcPr>
          <w:p w:rsidR="00E32735" w:rsidRDefault="00E32735" w:rsidP="003B168D">
            <w:pPr>
              <w:jc w:val="right"/>
              <w:rPr>
                <w:b/>
                <w:bCs/>
                <w:color w:val="000000"/>
                <w:sz w:val="20"/>
                <w:szCs w:val="20"/>
              </w:rPr>
            </w:pPr>
            <w:r>
              <w:rPr>
                <w:b/>
                <w:bCs/>
                <w:color w:val="000000"/>
                <w:sz w:val="20"/>
                <w:szCs w:val="20"/>
              </w:rPr>
              <w:t>(</w:t>
            </w:r>
            <w:r w:rsidR="003B168D">
              <w:rPr>
                <w:b/>
                <w:bCs/>
                <w:color w:val="000000"/>
                <w:sz w:val="20"/>
                <w:szCs w:val="20"/>
              </w:rPr>
              <w:t>729</w:t>
            </w:r>
            <w:r>
              <w:rPr>
                <w:b/>
                <w:bCs/>
                <w:color w:val="000000"/>
                <w:sz w:val="20"/>
                <w:szCs w:val="20"/>
              </w:rPr>
              <w:t>)</w:t>
            </w:r>
          </w:p>
        </w:tc>
        <w:tc>
          <w:tcPr>
            <w:tcW w:w="116" w:type="pct"/>
            <w:tcBorders>
              <w:top w:val="nil"/>
              <w:left w:val="nil"/>
              <w:bottom w:val="nil"/>
              <w:right w:val="nil"/>
            </w:tcBorders>
            <w:noWrap/>
            <w:vAlign w:val="bottom"/>
          </w:tcPr>
          <w:p w:rsidR="00E32735" w:rsidRDefault="00E32735">
            <w:pPr>
              <w:rPr>
                <w:b/>
                <w:bCs/>
                <w:color w:val="000000"/>
                <w:sz w:val="20"/>
                <w:szCs w:val="20"/>
              </w:rPr>
            </w:pPr>
          </w:p>
        </w:tc>
        <w:tc>
          <w:tcPr>
            <w:tcW w:w="706" w:type="pct"/>
            <w:tcBorders>
              <w:top w:val="nil"/>
              <w:left w:val="nil"/>
              <w:bottom w:val="nil"/>
              <w:right w:val="nil"/>
            </w:tcBorders>
            <w:noWrap/>
            <w:vAlign w:val="bottom"/>
          </w:tcPr>
          <w:p w:rsidR="00E32735" w:rsidRDefault="00E32735" w:rsidP="00223B45">
            <w:pPr>
              <w:jc w:val="right"/>
              <w:rPr>
                <w:color w:val="000000"/>
                <w:sz w:val="20"/>
                <w:szCs w:val="20"/>
              </w:rPr>
            </w:pPr>
            <w:r>
              <w:rPr>
                <w:color w:val="000000"/>
                <w:sz w:val="20"/>
                <w:szCs w:val="20"/>
              </w:rPr>
              <w:t xml:space="preserve">231 </w:t>
            </w:r>
          </w:p>
        </w:tc>
      </w:tr>
      <w:tr w:rsidR="00E32735" w:rsidTr="0039741E">
        <w:trPr>
          <w:trHeight w:val="297"/>
        </w:trPr>
        <w:tc>
          <w:tcPr>
            <w:tcW w:w="3611" w:type="pct"/>
            <w:tcBorders>
              <w:top w:val="nil"/>
              <w:left w:val="nil"/>
              <w:bottom w:val="nil"/>
              <w:right w:val="nil"/>
            </w:tcBorders>
            <w:vAlign w:val="bottom"/>
          </w:tcPr>
          <w:p w:rsidR="00E32735" w:rsidRDefault="00E32735" w:rsidP="003E625E">
            <w:pPr>
              <w:ind w:firstLineChars="300" w:firstLine="600"/>
              <w:rPr>
                <w:color w:val="000000"/>
                <w:sz w:val="20"/>
                <w:szCs w:val="20"/>
              </w:rPr>
            </w:pPr>
            <w:r>
              <w:rPr>
                <w:color w:val="000000"/>
                <w:sz w:val="20"/>
                <w:szCs w:val="20"/>
              </w:rPr>
              <w:t>Deferred revenue</w:t>
            </w:r>
          </w:p>
        </w:tc>
        <w:tc>
          <w:tcPr>
            <w:tcW w:w="566" w:type="pct"/>
            <w:tcBorders>
              <w:top w:val="nil"/>
              <w:left w:val="nil"/>
              <w:bottom w:val="single" w:sz="8" w:space="0" w:color="auto"/>
              <w:right w:val="nil"/>
            </w:tcBorders>
            <w:noWrap/>
            <w:vAlign w:val="bottom"/>
          </w:tcPr>
          <w:p w:rsidR="00E32735" w:rsidRDefault="00E32735">
            <w:pPr>
              <w:jc w:val="right"/>
              <w:rPr>
                <w:b/>
                <w:bCs/>
                <w:color w:val="000000"/>
                <w:sz w:val="20"/>
                <w:szCs w:val="20"/>
              </w:rPr>
            </w:pPr>
            <w:r>
              <w:rPr>
                <w:b/>
                <w:bCs/>
                <w:color w:val="000000"/>
                <w:sz w:val="20"/>
                <w:szCs w:val="20"/>
              </w:rPr>
              <w:t xml:space="preserve">632 </w:t>
            </w:r>
          </w:p>
        </w:tc>
        <w:tc>
          <w:tcPr>
            <w:tcW w:w="116" w:type="pct"/>
            <w:tcBorders>
              <w:top w:val="nil"/>
              <w:left w:val="nil"/>
              <w:bottom w:val="nil"/>
              <w:right w:val="nil"/>
            </w:tcBorders>
            <w:noWrap/>
            <w:vAlign w:val="bottom"/>
          </w:tcPr>
          <w:p w:rsidR="00E32735" w:rsidRDefault="00E32735">
            <w:pPr>
              <w:rPr>
                <w:b/>
                <w:bCs/>
                <w:color w:val="000000"/>
                <w:sz w:val="20"/>
                <w:szCs w:val="20"/>
              </w:rPr>
            </w:pPr>
          </w:p>
        </w:tc>
        <w:tc>
          <w:tcPr>
            <w:tcW w:w="706" w:type="pct"/>
            <w:tcBorders>
              <w:top w:val="nil"/>
              <w:left w:val="nil"/>
              <w:bottom w:val="single" w:sz="8" w:space="0" w:color="auto"/>
              <w:right w:val="nil"/>
            </w:tcBorders>
            <w:noWrap/>
            <w:vAlign w:val="bottom"/>
          </w:tcPr>
          <w:p w:rsidR="00E32735" w:rsidRDefault="00E32735">
            <w:pPr>
              <w:jc w:val="right"/>
              <w:rPr>
                <w:color w:val="000000"/>
                <w:sz w:val="20"/>
                <w:szCs w:val="20"/>
              </w:rPr>
            </w:pPr>
            <w:r>
              <w:rPr>
                <w:color w:val="000000"/>
                <w:sz w:val="20"/>
                <w:szCs w:val="20"/>
              </w:rPr>
              <w:t xml:space="preserve">786 </w:t>
            </w:r>
          </w:p>
        </w:tc>
      </w:tr>
      <w:tr w:rsidR="00E32735" w:rsidTr="0039741E">
        <w:trPr>
          <w:trHeight w:val="297"/>
        </w:trPr>
        <w:tc>
          <w:tcPr>
            <w:tcW w:w="3611" w:type="pct"/>
            <w:tcBorders>
              <w:top w:val="nil"/>
              <w:left w:val="nil"/>
              <w:bottom w:val="nil"/>
              <w:right w:val="nil"/>
            </w:tcBorders>
            <w:vAlign w:val="bottom"/>
          </w:tcPr>
          <w:p w:rsidR="00E32735" w:rsidRDefault="00E32735" w:rsidP="003E625E">
            <w:pPr>
              <w:ind w:firstLineChars="100" w:firstLine="200"/>
              <w:rPr>
                <w:color w:val="000000"/>
                <w:sz w:val="20"/>
                <w:szCs w:val="20"/>
              </w:rPr>
            </w:pPr>
            <w:r>
              <w:rPr>
                <w:color w:val="000000"/>
                <w:sz w:val="20"/>
                <w:szCs w:val="20"/>
              </w:rPr>
              <w:t>Net cash provided by operating activities</w:t>
            </w:r>
          </w:p>
        </w:tc>
        <w:tc>
          <w:tcPr>
            <w:tcW w:w="566" w:type="pct"/>
            <w:tcBorders>
              <w:top w:val="single" w:sz="8" w:space="0" w:color="auto"/>
              <w:left w:val="nil"/>
              <w:bottom w:val="single" w:sz="4" w:space="0" w:color="auto"/>
              <w:right w:val="nil"/>
            </w:tcBorders>
            <w:noWrap/>
            <w:vAlign w:val="bottom"/>
          </w:tcPr>
          <w:p w:rsidR="00E32735" w:rsidRDefault="00E32735">
            <w:pPr>
              <w:jc w:val="right"/>
              <w:rPr>
                <w:b/>
                <w:bCs/>
                <w:color w:val="000000"/>
                <w:sz w:val="20"/>
                <w:szCs w:val="20"/>
              </w:rPr>
            </w:pPr>
            <w:r>
              <w:rPr>
                <w:b/>
                <w:bCs/>
                <w:color w:val="000000"/>
                <w:sz w:val="20"/>
                <w:szCs w:val="20"/>
              </w:rPr>
              <w:t xml:space="preserve">1,269 </w:t>
            </w:r>
          </w:p>
        </w:tc>
        <w:tc>
          <w:tcPr>
            <w:tcW w:w="116" w:type="pct"/>
            <w:tcBorders>
              <w:top w:val="nil"/>
              <w:left w:val="nil"/>
              <w:bottom w:val="nil"/>
              <w:right w:val="nil"/>
            </w:tcBorders>
            <w:noWrap/>
            <w:vAlign w:val="bottom"/>
          </w:tcPr>
          <w:p w:rsidR="00E32735" w:rsidRDefault="00E32735">
            <w:pPr>
              <w:rPr>
                <w:b/>
                <w:bCs/>
                <w:color w:val="000000"/>
                <w:sz w:val="20"/>
                <w:szCs w:val="20"/>
              </w:rPr>
            </w:pPr>
          </w:p>
        </w:tc>
        <w:tc>
          <w:tcPr>
            <w:tcW w:w="706" w:type="pct"/>
            <w:tcBorders>
              <w:top w:val="single" w:sz="8" w:space="0" w:color="auto"/>
              <w:left w:val="nil"/>
              <w:bottom w:val="single" w:sz="4" w:space="0" w:color="auto"/>
              <w:right w:val="nil"/>
            </w:tcBorders>
            <w:noWrap/>
            <w:vAlign w:val="bottom"/>
          </w:tcPr>
          <w:p w:rsidR="00E32735" w:rsidRDefault="00E32735">
            <w:pPr>
              <w:jc w:val="right"/>
              <w:rPr>
                <w:color w:val="000000"/>
                <w:sz w:val="20"/>
                <w:szCs w:val="20"/>
              </w:rPr>
            </w:pPr>
            <w:r>
              <w:rPr>
                <w:color w:val="000000"/>
                <w:sz w:val="20"/>
                <w:szCs w:val="20"/>
              </w:rPr>
              <w:t xml:space="preserve">3,128 </w:t>
            </w:r>
          </w:p>
        </w:tc>
      </w:tr>
      <w:tr w:rsidR="004851D7" w:rsidTr="0039741E">
        <w:trPr>
          <w:trHeight w:val="297"/>
        </w:trPr>
        <w:tc>
          <w:tcPr>
            <w:tcW w:w="3611" w:type="pct"/>
            <w:tcBorders>
              <w:top w:val="nil"/>
              <w:left w:val="nil"/>
              <w:bottom w:val="nil"/>
              <w:right w:val="nil"/>
            </w:tcBorders>
            <w:vAlign w:val="bottom"/>
          </w:tcPr>
          <w:p w:rsidR="004851D7" w:rsidRDefault="004851D7" w:rsidP="003E625E">
            <w:pPr>
              <w:ind w:firstLineChars="100" w:firstLine="200"/>
              <w:rPr>
                <w:color w:val="000000"/>
                <w:sz w:val="20"/>
                <w:szCs w:val="20"/>
              </w:rPr>
            </w:pPr>
          </w:p>
        </w:tc>
        <w:tc>
          <w:tcPr>
            <w:tcW w:w="566" w:type="pct"/>
            <w:tcBorders>
              <w:top w:val="single" w:sz="4" w:space="0" w:color="auto"/>
              <w:left w:val="nil"/>
              <w:bottom w:val="nil"/>
              <w:right w:val="nil"/>
            </w:tcBorders>
            <w:noWrap/>
            <w:vAlign w:val="bottom"/>
          </w:tcPr>
          <w:p w:rsidR="004851D7" w:rsidRDefault="004851D7">
            <w:pPr>
              <w:rPr>
                <w:b/>
                <w:bCs/>
                <w:color w:val="000000"/>
                <w:sz w:val="20"/>
                <w:szCs w:val="20"/>
              </w:rPr>
            </w:pPr>
          </w:p>
        </w:tc>
        <w:tc>
          <w:tcPr>
            <w:tcW w:w="116" w:type="pct"/>
            <w:tcBorders>
              <w:top w:val="nil"/>
              <w:left w:val="nil"/>
              <w:bottom w:val="nil"/>
              <w:right w:val="nil"/>
            </w:tcBorders>
            <w:noWrap/>
            <w:vAlign w:val="bottom"/>
          </w:tcPr>
          <w:p w:rsidR="004851D7" w:rsidRDefault="004851D7">
            <w:pPr>
              <w:rPr>
                <w:b/>
                <w:bCs/>
                <w:color w:val="000000"/>
                <w:sz w:val="20"/>
                <w:szCs w:val="20"/>
              </w:rPr>
            </w:pPr>
          </w:p>
        </w:tc>
        <w:tc>
          <w:tcPr>
            <w:tcW w:w="706" w:type="pct"/>
            <w:tcBorders>
              <w:top w:val="single" w:sz="4" w:space="0" w:color="auto"/>
              <w:left w:val="nil"/>
              <w:bottom w:val="nil"/>
              <w:right w:val="nil"/>
            </w:tcBorders>
            <w:noWrap/>
            <w:vAlign w:val="bottom"/>
          </w:tcPr>
          <w:p w:rsidR="004851D7" w:rsidRDefault="004851D7">
            <w:pPr>
              <w:rPr>
                <w:color w:val="000000"/>
                <w:sz w:val="20"/>
                <w:szCs w:val="20"/>
              </w:rPr>
            </w:pPr>
          </w:p>
        </w:tc>
      </w:tr>
      <w:tr w:rsidR="004851D7" w:rsidTr="0039741E">
        <w:trPr>
          <w:trHeight w:val="297"/>
        </w:trPr>
        <w:tc>
          <w:tcPr>
            <w:tcW w:w="3611" w:type="pct"/>
            <w:tcBorders>
              <w:top w:val="nil"/>
              <w:left w:val="nil"/>
              <w:bottom w:val="nil"/>
              <w:right w:val="nil"/>
            </w:tcBorders>
            <w:vAlign w:val="bottom"/>
          </w:tcPr>
          <w:p w:rsidR="004851D7" w:rsidRDefault="004851D7" w:rsidP="003E625E">
            <w:pPr>
              <w:ind w:firstLineChars="100" w:firstLine="201"/>
              <w:rPr>
                <w:b/>
                <w:bCs/>
                <w:color w:val="000000"/>
                <w:sz w:val="20"/>
                <w:szCs w:val="20"/>
              </w:rPr>
            </w:pPr>
            <w:r>
              <w:rPr>
                <w:b/>
                <w:bCs/>
                <w:color w:val="000000"/>
                <w:sz w:val="20"/>
                <w:szCs w:val="20"/>
              </w:rPr>
              <w:t>Cash flows from investing activities</w:t>
            </w:r>
          </w:p>
        </w:tc>
        <w:tc>
          <w:tcPr>
            <w:tcW w:w="566" w:type="pct"/>
            <w:tcBorders>
              <w:top w:val="nil"/>
              <w:left w:val="nil"/>
              <w:bottom w:val="nil"/>
              <w:right w:val="nil"/>
            </w:tcBorders>
            <w:noWrap/>
            <w:vAlign w:val="bottom"/>
          </w:tcPr>
          <w:p w:rsidR="004851D7" w:rsidRDefault="004851D7">
            <w:pPr>
              <w:rPr>
                <w:b/>
                <w:bCs/>
                <w:color w:val="000000"/>
                <w:sz w:val="20"/>
                <w:szCs w:val="20"/>
              </w:rPr>
            </w:pPr>
          </w:p>
        </w:tc>
        <w:tc>
          <w:tcPr>
            <w:tcW w:w="116" w:type="pct"/>
            <w:tcBorders>
              <w:top w:val="nil"/>
              <w:left w:val="nil"/>
              <w:bottom w:val="nil"/>
              <w:right w:val="nil"/>
            </w:tcBorders>
            <w:noWrap/>
            <w:vAlign w:val="bottom"/>
          </w:tcPr>
          <w:p w:rsidR="004851D7" w:rsidRDefault="004851D7">
            <w:pPr>
              <w:rPr>
                <w:b/>
                <w:bCs/>
                <w:color w:val="000000"/>
                <w:sz w:val="20"/>
                <w:szCs w:val="20"/>
              </w:rPr>
            </w:pPr>
          </w:p>
        </w:tc>
        <w:tc>
          <w:tcPr>
            <w:tcW w:w="706" w:type="pct"/>
            <w:tcBorders>
              <w:top w:val="nil"/>
              <w:left w:val="nil"/>
              <w:bottom w:val="nil"/>
              <w:right w:val="nil"/>
            </w:tcBorders>
            <w:noWrap/>
            <w:vAlign w:val="bottom"/>
          </w:tcPr>
          <w:p w:rsidR="004851D7" w:rsidRDefault="004851D7">
            <w:pPr>
              <w:rPr>
                <w:color w:val="000000"/>
                <w:sz w:val="20"/>
                <w:szCs w:val="20"/>
              </w:rPr>
            </w:pPr>
          </w:p>
        </w:tc>
      </w:tr>
      <w:tr w:rsidR="00E32735" w:rsidTr="0039741E">
        <w:trPr>
          <w:trHeight w:val="297"/>
        </w:trPr>
        <w:tc>
          <w:tcPr>
            <w:tcW w:w="3611" w:type="pct"/>
            <w:tcBorders>
              <w:top w:val="nil"/>
              <w:left w:val="nil"/>
              <w:bottom w:val="nil"/>
              <w:right w:val="nil"/>
            </w:tcBorders>
            <w:vAlign w:val="bottom"/>
          </w:tcPr>
          <w:p w:rsidR="00E32735" w:rsidRDefault="00E32735" w:rsidP="003E625E">
            <w:pPr>
              <w:ind w:firstLineChars="100" w:firstLine="200"/>
              <w:rPr>
                <w:color w:val="000000"/>
                <w:sz w:val="20"/>
                <w:szCs w:val="20"/>
              </w:rPr>
            </w:pPr>
            <w:r>
              <w:rPr>
                <w:color w:val="000000"/>
                <w:sz w:val="20"/>
                <w:szCs w:val="20"/>
              </w:rPr>
              <w:t xml:space="preserve">Purchases of property and equipment </w:t>
            </w:r>
          </w:p>
        </w:tc>
        <w:tc>
          <w:tcPr>
            <w:tcW w:w="566" w:type="pct"/>
            <w:tcBorders>
              <w:top w:val="nil"/>
              <w:left w:val="nil"/>
              <w:bottom w:val="nil"/>
              <w:right w:val="nil"/>
            </w:tcBorders>
            <w:noWrap/>
            <w:vAlign w:val="bottom"/>
          </w:tcPr>
          <w:p w:rsidR="00E32735" w:rsidRDefault="00E32735" w:rsidP="00223B45">
            <w:pPr>
              <w:jc w:val="right"/>
              <w:rPr>
                <w:b/>
                <w:bCs/>
                <w:color w:val="000000"/>
                <w:sz w:val="20"/>
                <w:szCs w:val="20"/>
              </w:rPr>
            </w:pPr>
            <w:r>
              <w:rPr>
                <w:b/>
                <w:bCs/>
                <w:color w:val="000000"/>
                <w:sz w:val="20"/>
                <w:szCs w:val="20"/>
              </w:rPr>
              <w:t>(346)</w:t>
            </w:r>
          </w:p>
        </w:tc>
        <w:tc>
          <w:tcPr>
            <w:tcW w:w="116" w:type="pct"/>
            <w:tcBorders>
              <w:top w:val="nil"/>
              <w:left w:val="nil"/>
              <w:bottom w:val="nil"/>
              <w:right w:val="nil"/>
            </w:tcBorders>
            <w:noWrap/>
            <w:vAlign w:val="bottom"/>
          </w:tcPr>
          <w:p w:rsidR="00E32735" w:rsidRDefault="00E32735">
            <w:pPr>
              <w:rPr>
                <w:b/>
                <w:bCs/>
                <w:color w:val="000000"/>
                <w:sz w:val="20"/>
                <w:szCs w:val="20"/>
              </w:rPr>
            </w:pPr>
          </w:p>
        </w:tc>
        <w:tc>
          <w:tcPr>
            <w:tcW w:w="706" w:type="pct"/>
            <w:tcBorders>
              <w:top w:val="nil"/>
              <w:left w:val="nil"/>
              <w:bottom w:val="nil"/>
              <w:right w:val="nil"/>
            </w:tcBorders>
            <w:noWrap/>
            <w:vAlign w:val="bottom"/>
          </w:tcPr>
          <w:p w:rsidR="00E32735" w:rsidRDefault="00E32735" w:rsidP="00223B45">
            <w:pPr>
              <w:jc w:val="right"/>
              <w:rPr>
                <w:color w:val="000000"/>
                <w:sz w:val="20"/>
                <w:szCs w:val="20"/>
              </w:rPr>
            </w:pPr>
            <w:r>
              <w:rPr>
                <w:color w:val="000000"/>
                <w:sz w:val="20"/>
                <w:szCs w:val="20"/>
              </w:rPr>
              <w:t>(143)</w:t>
            </w:r>
          </w:p>
        </w:tc>
      </w:tr>
      <w:tr w:rsidR="00E32735" w:rsidTr="0039741E">
        <w:trPr>
          <w:trHeight w:val="297"/>
        </w:trPr>
        <w:tc>
          <w:tcPr>
            <w:tcW w:w="3611" w:type="pct"/>
            <w:tcBorders>
              <w:top w:val="nil"/>
              <w:left w:val="nil"/>
              <w:bottom w:val="nil"/>
              <w:right w:val="nil"/>
            </w:tcBorders>
            <w:vAlign w:val="bottom"/>
          </w:tcPr>
          <w:p w:rsidR="00E32735" w:rsidRDefault="00E32735" w:rsidP="003E625E">
            <w:pPr>
              <w:ind w:firstLineChars="100" w:firstLine="200"/>
              <w:rPr>
                <w:color w:val="000000"/>
                <w:sz w:val="20"/>
                <w:szCs w:val="20"/>
              </w:rPr>
            </w:pPr>
            <w:r>
              <w:rPr>
                <w:color w:val="000000"/>
                <w:sz w:val="20"/>
                <w:szCs w:val="20"/>
              </w:rPr>
              <w:t xml:space="preserve">Proceeds from disposal of property and equipment </w:t>
            </w:r>
          </w:p>
        </w:tc>
        <w:tc>
          <w:tcPr>
            <w:tcW w:w="566" w:type="pct"/>
            <w:tcBorders>
              <w:top w:val="nil"/>
              <w:left w:val="nil"/>
              <w:right w:val="nil"/>
            </w:tcBorders>
            <w:noWrap/>
            <w:vAlign w:val="bottom"/>
          </w:tcPr>
          <w:p w:rsidR="00E32735" w:rsidRPr="00F2275B" w:rsidRDefault="00D62EB9">
            <w:pPr>
              <w:jc w:val="right"/>
              <w:rPr>
                <w:b/>
                <w:bCs/>
                <w:color w:val="000000"/>
                <w:sz w:val="20"/>
                <w:szCs w:val="20"/>
              </w:rPr>
            </w:pPr>
            <w:r w:rsidRPr="00F2275B">
              <w:rPr>
                <w:b/>
                <w:color w:val="000000"/>
                <w:sz w:val="20"/>
                <w:szCs w:val="20"/>
              </w:rPr>
              <w:t xml:space="preserve">- </w:t>
            </w:r>
            <w:r w:rsidR="00E32735" w:rsidRPr="00F2275B">
              <w:rPr>
                <w:b/>
                <w:bCs/>
                <w:color w:val="000000"/>
                <w:sz w:val="20"/>
                <w:szCs w:val="20"/>
              </w:rPr>
              <w:t xml:space="preserve"> </w:t>
            </w:r>
          </w:p>
        </w:tc>
        <w:tc>
          <w:tcPr>
            <w:tcW w:w="116" w:type="pct"/>
            <w:tcBorders>
              <w:top w:val="nil"/>
              <w:left w:val="nil"/>
              <w:right w:val="nil"/>
            </w:tcBorders>
            <w:noWrap/>
            <w:vAlign w:val="bottom"/>
          </w:tcPr>
          <w:p w:rsidR="00E32735" w:rsidRDefault="00E32735">
            <w:pPr>
              <w:rPr>
                <w:b/>
                <w:bCs/>
                <w:color w:val="000000"/>
                <w:sz w:val="20"/>
                <w:szCs w:val="20"/>
              </w:rPr>
            </w:pPr>
          </w:p>
        </w:tc>
        <w:tc>
          <w:tcPr>
            <w:tcW w:w="706" w:type="pct"/>
            <w:tcBorders>
              <w:top w:val="nil"/>
              <w:left w:val="nil"/>
              <w:right w:val="nil"/>
            </w:tcBorders>
            <w:noWrap/>
            <w:vAlign w:val="bottom"/>
          </w:tcPr>
          <w:p w:rsidR="00E32735" w:rsidRDefault="00E32735">
            <w:pPr>
              <w:jc w:val="right"/>
              <w:rPr>
                <w:color w:val="000000"/>
                <w:sz w:val="20"/>
                <w:szCs w:val="20"/>
              </w:rPr>
            </w:pPr>
            <w:r>
              <w:rPr>
                <w:color w:val="000000"/>
                <w:sz w:val="20"/>
                <w:szCs w:val="20"/>
              </w:rPr>
              <w:t xml:space="preserve"> 1 </w:t>
            </w:r>
          </w:p>
        </w:tc>
      </w:tr>
      <w:tr w:rsidR="00E32735" w:rsidTr="0039741E">
        <w:trPr>
          <w:trHeight w:val="297"/>
        </w:trPr>
        <w:tc>
          <w:tcPr>
            <w:tcW w:w="3611" w:type="pct"/>
            <w:tcBorders>
              <w:top w:val="nil"/>
              <w:left w:val="nil"/>
              <w:bottom w:val="nil"/>
              <w:right w:val="nil"/>
            </w:tcBorders>
            <w:vAlign w:val="bottom"/>
          </w:tcPr>
          <w:p w:rsidR="00E32735" w:rsidRDefault="00E32735" w:rsidP="007B0C04">
            <w:pPr>
              <w:ind w:firstLineChars="100" w:firstLine="200"/>
              <w:rPr>
                <w:color w:val="000000"/>
                <w:sz w:val="20"/>
                <w:szCs w:val="20"/>
              </w:rPr>
            </w:pPr>
            <w:r>
              <w:rPr>
                <w:color w:val="000000"/>
                <w:sz w:val="20"/>
                <w:szCs w:val="20"/>
              </w:rPr>
              <w:t>Business acquisitions</w:t>
            </w:r>
            <w:r w:rsidR="00F756E5">
              <w:rPr>
                <w:color w:val="000000"/>
                <w:sz w:val="20"/>
                <w:szCs w:val="20"/>
              </w:rPr>
              <w:t>, net of acquired</w:t>
            </w:r>
            <w:r w:rsidR="00394A67">
              <w:rPr>
                <w:color w:val="000000"/>
                <w:sz w:val="20"/>
                <w:szCs w:val="20"/>
              </w:rPr>
              <w:t xml:space="preserve"> cash</w:t>
            </w:r>
          </w:p>
        </w:tc>
        <w:tc>
          <w:tcPr>
            <w:tcW w:w="566" w:type="pct"/>
            <w:tcBorders>
              <w:top w:val="nil"/>
              <w:left w:val="nil"/>
              <w:right w:val="nil"/>
            </w:tcBorders>
            <w:noWrap/>
            <w:vAlign w:val="bottom"/>
          </w:tcPr>
          <w:p w:rsidR="00E32735" w:rsidRPr="00163082" w:rsidRDefault="00E32735" w:rsidP="00223B45">
            <w:pPr>
              <w:jc w:val="right"/>
              <w:rPr>
                <w:b/>
                <w:bCs/>
                <w:color w:val="000000"/>
                <w:sz w:val="20"/>
                <w:szCs w:val="20"/>
              </w:rPr>
            </w:pPr>
            <w:r w:rsidRPr="00163082">
              <w:rPr>
                <w:b/>
                <w:bCs/>
                <w:color w:val="000000"/>
                <w:sz w:val="20"/>
                <w:szCs w:val="20"/>
              </w:rPr>
              <w:t>(2,344)</w:t>
            </w:r>
          </w:p>
        </w:tc>
        <w:tc>
          <w:tcPr>
            <w:tcW w:w="116" w:type="pct"/>
            <w:tcBorders>
              <w:top w:val="nil"/>
              <w:left w:val="nil"/>
              <w:right w:val="nil"/>
            </w:tcBorders>
            <w:noWrap/>
            <w:vAlign w:val="bottom"/>
          </w:tcPr>
          <w:p w:rsidR="00E32735" w:rsidRDefault="00E32735">
            <w:pPr>
              <w:rPr>
                <w:b/>
                <w:bCs/>
                <w:color w:val="000000"/>
                <w:sz w:val="20"/>
                <w:szCs w:val="20"/>
              </w:rPr>
            </w:pPr>
          </w:p>
        </w:tc>
        <w:tc>
          <w:tcPr>
            <w:tcW w:w="706" w:type="pct"/>
            <w:tcBorders>
              <w:top w:val="nil"/>
              <w:left w:val="nil"/>
              <w:right w:val="nil"/>
            </w:tcBorders>
            <w:noWrap/>
            <w:vAlign w:val="bottom"/>
          </w:tcPr>
          <w:p w:rsidR="00E32735" w:rsidRDefault="00E32735" w:rsidP="00223B45">
            <w:pPr>
              <w:jc w:val="right"/>
              <w:rPr>
                <w:bCs/>
                <w:color w:val="000000"/>
                <w:sz w:val="20"/>
                <w:szCs w:val="20"/>
              </w:rPr>
            </w:pPr>
            <w:r>
              <w:rPr>
                <w:color w:val="000000"/>
                <w:sz w:val="20"/>
                <w:szCs w:val="20"/>
              </w:rPr>
              <w:t xml:space="preserve"> - </w:t>
            </w:r>
          </w:p>
        </w:tc>
      </w:tr>
      <w:tr w:rsidR="00E32735" w:rsidTr="0039741E">
        <w:trPr>
          <w:trHeight w:val="297"/>
        </w:trPr>
        <w:tc>
          <w:tcPr>
            <w:tcW w:w="3611" w:type="pct"/>
            <w:tcBorders>
              <w:top w:val="nil"/>
              <w:left w:val="nil"/>
              <w:bottom w:val="nil"/>
              <w:right w:val="nil"/>
            </w:tcBorders>
            <w:vAlign w:val="bottom"/>
          </w:tcPr>
          <w:p w:rsidR="00E32735" w:rsidRDefault="00E32735" w:rsidP="007B0C04">
            <w:pPr>
              <w:ind w:firstLineChars="100" w:firstLine="200"/>
              <w:rPr>
                <w:color w:val="000000"/>
                <w:sz w:val="20"/>
                <w:szCs w:val="20"/>
              </w:rPr>
            </w:pPr>
            <w:r>
              <w:rPr>
                <w:color w:val="000000"/>
                <w:sz w:val="20"/>
                <w:szCs w:val="20"/>
              </w:rPr>
              <w:t>Capitalized development and other intangibles</w:t>
            </w:r>
          </w:p>
        </w:tc>
        <w:tc>
          <w:tcPr>
            <w:tcW w:w="566" w:type="pct"/>
            <w:tcBorders>
              <w:left w:val="nil"/>
              <w:bottom w:val="single" w:sz="8" w:space="0" w:color="auto"/>
              <w:right w:val="nil"/>
            </w:tcBorders>
            <w:noWrap/>
            <w:vAlign w:val="bottom"/>
          </w:tcPr>
          <w:p w:rsidR="00E32735" w:rsidRDefault="00E32735" w:rsidP="00223B45">
            <w:pPr>
              <w:jc w:val="right"/>
              <w:rPr>
                <w:b/>
                <w:bCs/>
                <w:color w:val="000000"/>
                <w:sz w:val="20"/>
                <w:szCs w:val="20"/>
              </w:rPr>
            </w:pPr>
            <w:r>
              <w:rPr>
                <w:b/>
                <w:bCs/>
                <w:color w:val="000000"/>
                <w:sz w:val="20"/>
                <w:szCs w:val="20"/>
              </w:rPr>
              <w:t>(588)</w:t>
            </w:r>
          </w:p>
        </w:tc>
        <w:tc>
          <w:tcPr>
            <w:tcW w:w="116" w:type="pct"/>
            <w:tcBorders>
              <w:left w:val="nil"/>
              <w:bottom w:val="nil"/>
              <w:right w:val="nil"/>
            </w:tcBorders>
            <w:noWrap/>
            <w:vAlign w:val="bottom"/>
          </w:tcPr>
          <w:p w:rsidR="00E32735" w:rsidRDefault="00E32735">
            <w:pPr>
              <w:rPr>
                <w:b/>
                <w:bCs/>
                <w:color w:val="000000"/>
                <w:sz w:val="20"/>
                <w:szCs w:val="20"/>
              </w:rPr>
            </w:pPr>
          </w:p>
        </w:tc>
        <w:tc>
          <w:tcPr>
            <w:tcW w:w="706" w:type="pct"/>
            <w:tcBorders>
              <w:left w:val="nil"/>
              <w:bottom w:val="single" w:sz="8" w:space="0" w:color="auto"/>
              <w:right w:val="nil"/>
            </w:tcBorders>
            <w:noWrap/>
            <w:vAlign w:val="bottom"/>
          </w:tcPr>
          <w:p w:rsidR="00E32735" w:rsidRDefault="00E32735" w:rsidP="00223B45">
            <w:pPr>
              <w:jc w:val="right"/>
              <w:rPr>
                <w:color w:val="000000"/>
                <w:sz w:val="20"/>
                <w:szCs w:val="20"/>
              </w:rPr>
            </w:pPr>
            <w:r>
              <w:rPr>
                <w:color w:val="000000"/>
                <w:sz w:val="20"/>
                <w:szCs w:val="20"/>
              </w:rPr>
              <w:t>(511)</w:t>
            </w:r>
          </w:p>
        </w:tc>
      </w:tr>
      <w:tr w:rsidR="00E32735" w:rsidTr="0039741E">
        <w:trPr>
          <w:trHeight w:val="297"/>
        </w:trPr>
        <w:tc>
          <w:tcPr>
            <w:tcW w:w="3611" w:type="pct"/>
            <w:tcBorders>
              <w:top w:val="nil"/>
              <w:left w:val="nil"/>
              <w:bottom w:val="nil"/>
              <w:right w:val="nil"/>
            </w:tcBorders>
            <w:vAlign w:val="bottom"/>
          </w:tcPr>
          <w:p w:rsidR="00E32735" w:rsidRDefault="00E32735" w:rsidP="003E625E">
            <w:pPr>
              <w:ind w:firstLineChars="100" w:firstLine="200"/>
              <w:rPr>
                <w:color w:val="000000"/>
                <w:sz w:val="20"/>
                <w:szCs w:val="20"/>
              </w:rPr>
            </w:pPr>
            <w:r>
              <w:rPr>
                <w:color w:val="000000"/>
                <w:sz w:val="20"/>
                <w:szCs w:val="20"/>
              </w:rPr>
              <w:t>Net cash used in investing activities</w:t>
            </w:r>
          </w:p>
        </w:tc>
        <w:tc>
          <w:tcPr>
            <w:tcW w:w="566" w:type="pct"/>
            <w:tcBorders>
              <w:top w:val="single" w:sz="8" w:space="0" w:color="auto"/>
              <w:left w:val="nil"/>
              <w:bottom w:val="single" w:sz="4" w:space="0" w:color="auto"/>
              <w:right w:val="nil"/>
            </w:tcBorders>
            <w:noWrap/>
            <w:vAlign w:val="bottom"/>
          </w:tcPr>
          <w:p w:rsidR="00E32735" w:rsidRDefault="00E32735" w:rsidP="00223B45">
            <w:pPr>
              <w:jc w:val="right"/>
              <w:rPr>
                <w:b/>
                <w:bCs/>
                <w:color w:val="000000"/>
                <w:sz w:val="20"/>
                <w:szCs w:val="20"/>
              </w:rPr>
            </w:pPr>
            <w:r>
              <w:rPr>
                <w:b/>
                <w:bCs/>
                <w:color w:val="000000"/>
                <w:sz w:val="20"/>
                <w:szCs w:val="20"/>
              </w:rPr>
              <w:t>(3,278)</w:t>
            </w:r>
          </w:p>
        </w:tc>
        <w:tc>
          <w:tcPr>
            <w:tcW w:w="116" w:type="pct"/>
            <w:tcBorders>
              <w:top w:val="nil"/>
              <w:left w:val="nil"/>
              <w:bottom w:val="nil"/>
              <w:right w:val="nil"/>
            </w:tcBorders>
            <w:noWrap/>
            <w:vAlign w:val="bottom"/>
          </w:tcPr>
          <w:p w:rsidR="00E32735" w:rsidRDefault="00E32735">
            <w:pPr>
              <w:rPr>
                <w:b/>
                <w:bCs/>
                <w:color w:val="000000"/>
                <w:sz w:val="20"/>
                <w:szCs w:val="20"/>
              </w:rPr>
            </w:pPr>
          </w:p>
        </w:tc>
        <w:tc>
          <w:tcPr>
            <w:tcW w:w="706" w:type="pct"/>
            <w:tcBorders>
              <w:top w:val="single" w:sz="8" w:space="0" w:color="auto"/>
              <w:left w:val="nil"/>
              <w:bottom w:val="single" w:sz="4" w:space="0" w:color="auto"/>
              <w:right w:val="nil"/>
            </w:tcBorders>
            <w:noWrap/>
            <w:vAlign w:val="bottom"/>
          </w:tcPr>
          <w:p w:rsidR="00E32735" w:rsidRDefault="00E32735" w:rsidP="00223B45">
            <w:pPr>
              <w:jc w:val="right"/>
              <w:rPr>
                <w:color w:val="000000"/>
                <w:sz w:val="20"/>
                <w:szCs w:val="20"/>
              </w:rPr>
            </w:pPr>
            <w:r>
              <w:rPr>
                <w:color w:val="000000"/>
                <w:sz w:val="20"/>
                <w:szCs w:val="20"/>
              </w:rPr>
              <w:t>(653)</w:t>
            </w:r>
          </w:p>
        </w:tc>
      </w:tr>
      <w:tr w:rsidR="004851D7" w:rsidTr="0039741E">
        <w:trPr>
          <w:trHeight w:val="297"/>
        </w:trPr>
        <w:tc>
          <w:tcPr>
            <w:tcW w:w="3611" w:type="pct"/>
            <w:tcBorders>
              <w:top w:val="nil"/>
              <w:left w:val="nil"/>
              <w:bottom w:val="nil"/>
              <w:right w:val="nil"/>
            </w:tcBorders>
            <w:vAlign w:val="bottom"/>
          </w:tcPr>
          <w:p w:rsidR="004851D7" w:rsidRDefault="004851D7" w:rsidP="003E625E">
            <w:pPr>
              <w:ind w:firstLineChars="100" w:firstLine="201"/>
              <w:rPr>
                <w:b/>
                <w:bCs/>
                <w:color w:val="000000"/>
                <w:sz w:val="20"/>
                <w:szCs w:val="20"/>
              </w:rPr>
            </w:pPr>
          </w:p>
        </w:tc>
        <w:tc>
          <w:tcPr>
            <w:tcW w:w="566" w:type="pct"/>
            <w:tcBorders>
              <w:top w:val="single" w:sz="4" w:space="0" w:color="auto"/>
              <w:left w:val="nil"/>
              <w:bottom w:val="nil"/>
              <w:right w:val="nil"/>
            </w:tcBorders>
            <w:noWrap/>
            <w:vAlign w:val="bottom"/>
          </w:tcPr>
          <w:p w:rsidR="004851D7" w:rsidRDefault="004851D7">
            <w:pPr>
              <w:rPr>
                <w:b/>
                <w:bCs/>
                <w:color w:val="000000"/>
                <w:sz w:val="20"/>
                <w:szCs w:val="20"/>
              </w:rPr>
            </w:pPr>
          </w:p>
        </w:tc>
        <w:tc>
          <w:tcPr>
            <w:tcW w:w="116" w:type="pct"/>
            <w:tcBorders>
              <w:top w:val="nil"/>
              <w:left w:val="nil"/>
              <w:bottom w:val="nil"/>
              <w:right w:val="nil"/>
            </w:tcBorders>
            <w:noWrap/>
            <w:vAlign w:val="bottom"/>
          </w:tcPr>
          <w:p w:rsidR="004851D7" w:rsidRDefault="004851D7">
            <w:pPr>
              <w:rPr>
                <w:b/>
                <w:bCs/>
                <w:color w:val="000000"/>
                <w:sz w:val="20"/>
                <w:szCs w:val="20"/>
              </w:rPr>
            </w:pPr>
          </w:p>
        </w:tc>
        <w:tc>
          <w:tcPr>
            <w:tcW w:w="706" w:type="pct"/>
            <w:tcBorders>
              <w:top w:val="single" w:sz="4" w:space="0" w:color="auto"/>
              <w:left w:val="nil"/>
              <w:bottom w:val="nil"/>
              <w:right w:val="nil"/>
            </w:tcBorders>
            <w:noWrap/>
            <w:vAlign w:val="bottom"/>
          </w:tcPr>
          <w:p w:rsidR="004851D7" w:rsidRDefault="004851D7">
            <w:pPr>
              <w:rPr>
                <w:color w:val="000000"/>
                <w:sz w:val="20"/>
                <w:szCs w:val="20"/>
              </w:rPr>
            </w:pPr>
          </w:p>
        </w:tc>
      </w:tr>
      <w:tr w:rsidR="004851D7" w:rsidTr="0039741E">
        <w:trPr>
          <w:trHeight w:val="297"/>
        </w:trPr>
        <w:tc>
          <w:tcPr>
            <w:tcW w:w="3611" w:type="pct"/>
            <w:tcBorders>
              <w:top w:val="nil"/>
              <w:left w:val="nil"/>
              <w:bottom w:val="nil"/>
              <w:right w:val="nil"/>
            </w:tcBorders>
            <w:vAlign w:val="bottom"/>
          </w:tcPr>
          <w:p w:rsidR="004851D7" w:rsidRDefault="004851D7" w:rsidP="003E625E">
            <w:pPr>
              <w:ind w:firstLineChars="100" w:firstLine="201"/>
              <w:rPr>
                <w:b/>
                <w:bCs/>
                <w:color w:val="000000"/>
                <w:sz w:val="20"/>
                <w:szCs w:val="20"/>
              </w:rPr>
            </w:pPr>
            <w:r>
              <w:rPr>
                <w:b/>
                <w:bCs/>
                <w:color w:val="000000"/>
                <w:sz w:val="20"/>
                <w:szCs w:val="20"/>
              </w:rPr>
              <w:t>Cash flows from financing activities</w:t>
            </w:r>
          </w:p>
        </w:tc>
        <w:tc>
          <w:tcPr>
            <w:tcW w:w="566" w:type="pct"/>
            <w:tcBorders>
              <w:top w:val="nil"/>
              <w:left w:val="nil"/>
              <w:bottom w:val="nil"/>
              <w:right w:val="nil"/>
            </w:tcBorders>
            <w:noWrap/>
            <w:vAlign w:val="bottom"/>
          </w:tcPr>
          <w:p w:rsidR="004851D7" w:rsidRDefault="004851D7">
            <w:pPr>
              <w:rPr>
                <w:b/>
                <w:bCs/>
                <w:color w:val="000000"/>
                <w:sz w:val="20"/>
                <w:szCs w:val="20"/>
              </w:rPr>
            </w:pPr>
          </w:p>
        </w:tc>
        <w:tc>
          <w:tcPr>
            <w:tcW w:w="116" w:type="pct"/>
            <w:tcBorders>
              <w:top w:val="nil"/>
              <w:left w:val="nil"/>
              <w:bottom w:val="nil"/>
              <w:right w:val="nil"/>
            </w:tcBorders>
            <w:noWrap/>
            <w:vAlign w:val="bottom"/>
          </w:tcPr>
          <w:p w:rsidR="004851D7" w:rsidRDefault="004851D7">
            <w:pPr>
              <w:rPr>
                <w:b/>
                <w:bCs/>
                <w:color w:val="000000"/>
                <w:sz w:val="20"/>
                <w:szCs w:val="20"/>
              </w:rPr>
            </w:pPr>
          </w:p>
        </w:tc>
        <w:tc>
          <w:tcPr>
            <w:tcW w:w="706" w:type="pct"/>
            <w:tcBorders>
              <w:top w:val="nil"/>
              <w:left w:val="nil"/>
              <w:bottom w:val="nil"/>
              <w:right w:val="nil"/>
            </w:tcBorders>
            <w:noWrap/>
            <w:vAlign w:val="bottom"/>
          </w:tcPr>
          <w:p w:rsidR="004851D7" w:rsidRDefault="004851D7">
            <w:pPr>
              <w:rPr>
                <w:color w:val="000000"/>
                <w:sz w:val="20"/>
                <w:szCs w:val="20"/>
              </w:rPr>
            </w:pPr>
          </w:p>
        </w:tc>
      </w:tr>
      <w:tr w:rsidR="00E32735" w:rsidTr="0039741E">
        <w:trPr>
          <w:trHeight w:val="297"/>
        </w:trPr>
        <w:tc>
          <w:tcPr>
            <w:tcW w:w="3611" w:type="pct"/>
            <w:tcBorders>
              <w:top w:val="nil"/>
              <w:left w:val="nil"/>
              <w:bottom w:val="nil"/>
              <w:right w:val="nil"/>
            </w:tcBorders>
            <w:vAlign w:val="bottom"/>
          </w:tcPr>
          <w:p w:rsidR="00E32735" w:rsidRDefault="00E32735" w:rsidP="00251F51">
            <w:pPr>
              <w:ind w:firstLineChars="100" w:firstLine="200"/>
              <w:rPr>
                <w:color w:val="000000"/>
                <w:sz w:val="20"/>
                <w:szCs w:val="20"/>
              </w:rPr>
            </w:pPr>
            <w:r>
              <w:rPr>
                <w:color w:val="000000"/>
                <w:sz w:val="20"/>
                <w:szCs w:val="20"/>
              </w:rPr>
              <w:t>Proceeds from stock options exercised</w:t>
            </w:r>
          </w:p>
        </w:tc>
        <w:tc>
          <w:tcPr>
            <w:tcW w:w="566" w:type="pct"/>
            <w:tcBorders>
              <w:top w:val="nil"/>
              <w:left w:val="nil"/>
              <w:bottom w:val="nil"/>
              <w:right w:val="nil"/>
            </w:tcBorders>
            <w:noWrap/>
            <w:vAlign w:val="bottom"/>
          </w:tcPr>
          <w:p w:rsidR="00E32735" w:rsidRDefault="00E32735">
            <w:pPr>
              <w:jc w:val="right"/>
              <w:rPr>
                <w:b/>
                <w:bCs/>
                <w:color w:val="000000"/>
                <w:sz w:val="20"/>
                <w:szCs w:val="20"/>
              </w:rPr>
            </w:pPr>
            <w:r>
              <w:rPr>
                <w:b/>
                <w:bCs/>
                <w:color w:val="000000"/>
                <w:sz w:val="20"/>
                <w:szCs w:val="20"/>
              </w:rPr>
              <w:t xml:space="preserve">111 </w:t>
            </w:r>
          </w:p>
        </w:tc>
        <w:tc>
          <w:tcPr>
            <w:tcW w:w="116" w:type="pct"/>
            <w:tcBorders>
              <w:top w:val="nil"/>
              <w:left w:val="nil"/>
              <w:bottom w:val="nil"/>
              <w:right w:val="nil"/>
            </w:tcBorders>
            <w:noWrap/>
            <w:vAlign w:val="bottom"/>
          </w:tcPr>
          <w:p w:rsidR="00E32735" w:rsidRDefault="00E32735">
            <w:pPr>
              <w:rPr>
                <w:b/>
                <w:bCs/>
                <w:color w:val="000000"/>
                <w:sz w:val="20"/>
                <w:szCs w:val="20"/>
              </w:rPr>
            </w:pPr>
          </w:p>
        </w:tc>
        <w:tc>
          <w:tcPr>
            <w:tcW w:w="706" w:type="pct"/>
            <w:tcBorders>
              <w:top w:val="nil"/>
              <w:left w:val="nil"/>
              <w:bottom w:val="nil"/>
              <w:right w:val="nil"/>
            </w:tcBorders>
            <w:noWrap/>
            <w:vAlign w:val="bottom"/>
          </w:tcPr>
          <w:p w:rsidR="00E32735" w:rsidRDefault="00E32735">
            <w:pPr>
              <w:jc w:val="right"/>
              <w:rPr>
                <w:color w:val="000000"/>
                <w:sz w:val="20"/>
                <w:szCs w:val="20"/>
              </w:rPr>
            </w:pPr>
            <w:r>
              <w:rPr>
                <w:color w:val="000000"/>
                <w:sz w:val="20"/>
                <w:szCs w:val="20"/>
              </w:rPr>
              <w:t xml:space="preserve">181 </w:t>
            </w:r>
          </w:p>
        </w:tc>
      </w:tr>
      <w:tr w:rsidR="00E32735" w:rsidTr="0039741E">
        <w:trPr>
          <w:trHeight w:val="297"/>
        </w:trPr>
        <w:tc>
          <w:tcPr>
            <w:tcW w:w="3611" w:type="pct"/>
            <w:tcBorders>
              <w:top w:val="nil"/>
              <w:left w:val="nil"/>
              <w:bottom w:val="nil"/>
              <w:right w:val="nil"/>
            </w:tcBorders>
            <w:vAlign w:val="bottom"/>
          </w:tcPr>
          <w:p w:rsidR="00E32735" w:rsidRDefault="00E32735" w:rsidP="00251F51">
            <w:pPr>
              <w:ind w:firstLineChars="100" w:firstLine="200"/>
              <w:rPr>
                <w:color w:val="000000"/>
                <w:sz w:val="20"/>
                <w:szCs w:val="20"/>
              </w:rPr>
            </w:pPr>
            <w:r>
              <w:rPr>
                <w:color w:val="000000"/>
                <w:sz w:val="20"/>
                <w:szCs w:val="20"/>
              </w:rPr>
              <w:t>Payments for redemption of stock options</w:t>
            </w:r>
          </w:p>
        </w:tc>
        <w:tc>
          <w:tcPr>
            <w:tcW w:w="566" w:type="pct"/>
            <w:tcBorders>
              <w:top w:val="nil"/>
              <w:left w:val="nil"/>
              <w:bottom w:val="nil"/>
              <w:right w:val="nil"/>
            </w:tcBorders>
            <w:noWrap/>
            <w:vAlign w:val="bottom"/>
          </w:tcPr>
          <w:p w:rsidR="00E32735" w:rsidRDefault="00E32735" w:rsidP="00223B45">
            <w:pPr>
              <w:jc w:val="right"/>
              <w:rPr>
                <w:b/>
                <w:bCs/>
                <w:color w:val="000000"/>
                <w:sz w:val="20"/>
                <w:szCs w:val="20"/>
              </w:rPr>
            </w:pPr>
            <w:r>
              <w:rPr>
                <w:b/>
                <w:bCs/>
                <w:color w:val="000000"/>
                <w:sz w:val="20"/>
                <w:szCs w:val="20"/>
              </w:rPr>
              <w:t>(22)</w:t>
            </w:r>
          </w:p>
        </w:tc>
        <w:tc>
          <w:tcPr>
            <w:tcW w:w="116" w:type="pct"/>
            <w:tcBorders>
              <w:top w:val="nil"/>
              <w:left w:val="nil"/>
              <w:bottom w:val="nil"/>
              <w:right w:val="nil"/>
            </w:tcBorders>
            <w:noWrap/>
            <w:vAlign w:val="bottom"/>
          </w:tcPr>
          <w:p w:rsidR="00E32735" w:rsidRDefault="00E32735">
            <w:pPr>
              <w:rPr>
                <w:b/>
                <w:bCs/>
                <w:color w:val="000000"/>
                <w:sz w:val="20"/>
                <w:szCs w:val="20"/>
              </w:rPr>
            </w:pPr>
          </w:p>
        </w:tc>
        <w:tc>
          <w:tcPr>
            <w:tcW w:w="706" w:type="pct"/>
            <w:tcBorders>
              <w:top w:val="nil"/>
              <w:left w:val="nil"/>
              <w:bottom w:val="nil"/>
              <w:right w:val="nil"/>
            </w:tcBorders>
            <w:noWrap/>
            <w:vAlign w:val="bottom"/>
          </w:tcPr>
          <w:p w:rsidR="00E32735" w:rsidRDefault="00E32735" w:rsidP="00223B45">
            <w:pPr>
              <w:jc w:val="right"/>
              <w:rPr>
                <w:color w:val="000000"/>
                <w:sz w:val="20"/>
                <w:szCs w:val="20"/>
              </w:rPr>
            </w:pPr>
            <w:r>
              <w:rPr>
                <w:color w:val="000000"/>
                <w:sz w:val="20"/>
                <w:szCs w:val="20"/>
              </w:rPr>
              <w:t>(6)</w:t>
            </w:r>
          </w:p>
        </w:tc>
      </w:tr>
      <w:tr w:rsidR="00E32735" w:rsidTr="0039741E">
        <w:trPr>
          <w:trHeight w:val="297"/>
        </w:trPr>
        <w:tc>
          <w:tcPr>
            <w:tcW w:w="3611" w:type="pct"/>
            <w:tcBorders>
              <w:top w:val="nil"/>
              <w:left w:val="nil"/>
              <w:bottom w:val="nil"/>
              <w:right w:val="nil"/>
            </w:tcBorders>
            <w:vAlign w:val="bottom"/>
          </w:tcPr>
          <w:p w:rsidR="00E32735" w:rsidRDefault="00E32735" w:rsidP="00251F51">
            <w:pPr>
              <w:ind w:firstLineChars="100" w:firstLine="200"/>
              <w:rPr>
                <w:color w:val="000000"/>
                <w:sz w:val="20"/>
                <w:szCs w:val="20"/>
              </w:rPr>
            </w:pPr>
            <w:r>
              <w:rPr>
                <w:color w:val="000000"/>
                <w:sz w:val="20"/>
                <w:szCs w:val="20"/>
              </w:rPr>
              <w:t>Repurchase of common stock</w:t>
            </w:r>
          </w:p>
        </w:tc>
        <w:tc>
          <w:tcPr>
            <w:tcW w:w="566" w:type="pct"/>
            <w:tcBorders>
              <w:top w:val="nil"/>
              <w:left w:val="nil"/>
              <w:bottom w:val="nil"/>
              <w:right w:val="nil"/>
            </w:tcBorders>
            <w:noWrap/>
            <w:vAlign w:val="bottom"/>
          </w:tcPr>
          <w:p w:rsidR="00E32735" w:rsidRDefault="00E32735">
            <w:pPr>
              <w:jc w:val="right"/>
              <w:rPr>
                <w:b/>
                <w:bCs/>
                <w:color w:val="000000"/>
                <w:sz w:val="20"/>
                <w:szCs w:val="20"/>
              </w:rPr>
            </w:pPr>
            <w:r>
              <w:rPr>
                <w:b/>
                <w:bCs/>
                <w:color w:val="000000"/>
                <w:sz w:val="20"/>
                <w:szCs w:val="20"/>
              </w:rPr>
              <w:t>(291)</w:t>
            </w:r>
          </w:p>
        </w:tc>
        <w:tc>
          <w:tcPr>
            <w:tcW w:w="116" w:type="pct"/>
            <w:tcBorders>
              <w:top w:val="nil"/>
              <w:left w:val="nil"/>
              <w:bottom w:val="nil"/>
              <w:right w:val="nil"/>
            </w:tcBorders>
            <w:noWrap/>
            <w:vAlign w:val="bottom"/>
          </w:tcPr>
          <w:p w:rsidR="00E32735" w:rsidRDefault="00E32735">
            <w:pPr>
              <w:rPr>
                <w:b/>
                <w:bCs/>
                <w:color w:val="000000"/>
                <w:sz w:val="20"/>
                <w:szCs w:val="20"/>
              </w:rPr>
            </w:pPr>
          </w:p>
        </w:tc>
        <w:tc>
          <w:tcPr>
            <w:tcW w:w="706" w:type="pct"/>
            <w:tcBorders>
              <w:top w:val="nil"/>
              <w:left w:val="nil"/>
              <w:bottom w:val="nil"/>
              <w:right w:val="nil"/>
            </w:tcBorders>
            <w:noWrap/>
            <w:vAlign w:val="bottom"/>
          </w:tcPr>
          <w:p w:rsidR="00E32735" w:rsidRDefault="001A2887">
            <w:pPr>
              <w:jc w:val="right"/>
              <w:rPr>
                <w:bCs/>
                <w:color w:val="000000"/>
                <w:sz w:val="20"/>
                <w:szCs w:val="20"/>
              </w:rPr>
            </w:pPr>
            <w:r>
              <w:rPr>
                <w:color w:val="000000"/>
                <w:sz w:val="20"/>
                <w:szCs w:val="20"/>
              </w:rPr>
              <w:t>-</w:t>
            </w:r>
            <w:r w:rsidR="00E32735">
              <w:rPr>
                <w:color w:val="000000"/>
                <w:sz w:val="20"/>
                <w:szCs w:val="20"/>
              </w:rPr>
              <w:t xml:space="preserve"> </w:t>
            </w:r>
          </w:p>
        </w:tc>
      </w:tr>
      <w:tr w:rsidR="00E32735" w:rsidTr="0039741E">
        <w:trPr>
          <w:trHeight w:val="297"/>
        </w:trPr>
        <w:tc>
          <w:tcPr>
            <w:tcW w:w="3611" w:type="pct"/>
            <w:tcBorders>
              <w:top w:val="nil"/>
              <w:left w:val="nil"/>
              <w:bottom w:val="nil"/>
              <w:right w:val="nil"/>
            </w:tcBorders>
            <w:vAlign w:val="bottom"/>
          </w:tcPr>
          <w:p w:rsidR="00E32735" w:rsidRDefault="00E32735" w:rsidP="003E625E">
            <w:pPr>
              <w:ind w:firstLineChars="100" w:firstLine="200"/>
              <w:rPr>
                <w:color w:val="000000"/>
                <w:sz w:val="20"/>
                <w:szCs w:val="20"/>
              </w:rPr>
            </w:pPr>
            <w:r>
              <w:rPr>
                <w:color w:val="000000"/>
                <w:sz w:val="20"/>
                <w:szCs w:val="20"/>
              </w:rPr>
              <w:t>Principal payments on capital leases</w:t>
            </w:r>
          </w:p>
        </w:tc>
        <w:tc>
          <w:tcPr>
            <w:tcW w:w="566" w:type="pct"/>
            <w:tcBorders>
              <w:top w:val="nil"/>
              <w:left w:val="nil"/>
              <w:bottom w:val="single" w:sz="8" w:space="0" w:color="auto"/>
              <w:right w:val="nil"/>
            </w:tcBorders>
            <w:noWrap/>
            <w:vAlign w:val="bottom"/>
          </w:tcPr>
          <w:p w:rsidR="00E32735" w:rsidRDefault="00E32735" w:rsidP="00223B45">
            <w:pPr>
              <w:jc w:val="right"/>
              <w:rPr>
                <w:b/>
                <w:bCs/>
                <w:color w:val="000000"/>
                <w:sz w:val="20"/>
                <w:szCs w:val="20"/>
              </w:rPr>
            </w:pPr>
            <w:r>
              <w:rPr>
                <w:b/>
                <w:bCs/>
                <w:color w:val="000000"/>
                <w:sz w:val="20"/>
                <w:szCs w:val="20"/>
              </w:rPr>
              <w:t>(25)</w:t>
            </w:r>
          </w:p>
        </w:tc>
        <w:tc>
          <w:tcPr>
            <w:tcW w:w="116" w:type="pct"/>
            <w:tcBorders>
              <w:top w:val="nil"/>
              <w:left w:val="nil"/>
              <w:bottom w:val="nil"/>
              <w:right w:val="nil"/>
            </w:tcBorders>
            <w:noWrap/>
            <w:vAlign w:val="bottom"/>
          </w:tcPr>
          <w:p w:rsidR="00E32735" w:rsidRDefault="00E32735">
            <w:pPr>
              <w:rPr>
                <w:b/>
                <w:bCs/>
                <w:color w:val="000000"/>
                <w:sz w:val="20"/>
                <w:szCs w:val="20"/>
              </w:rPr>
            </w:pPr>
          </w:p>
        </w:tc>
        <w:tc>
          <w:tcPr>
            <w:tcW w:w="706" w:type="pct"/>
            <w:tcBorders>
              <w:top w:val="nil"/>
              <w:left w:val="nil"/>
              <w:bottom w:val="single" w:sz="8" w:space="0" w:color="auto"/>
              <w:right w:val="nil"/>
            </w:tcBorders>
            <w:noWrap/>
            <w:vAlign w:val="bottom"/>
          </w:tcPr>
          <w:p w:rsidR="00E32735" w:rsidRDefault="00E32735" w:rsidP="00223B45">
            <w:pPr>
              <w:jc w:val="right"/>
              <w:rPr>
                <w:color w:val="000000"/>
                <w:sz w:val="20"/>
                <w:szCs w:val="20"/>
              </w:rPr>
            </w:pPr>
            <w:r>
              <w:rPr>
                <w:color w:val="000000"/>
                <w:sz w:val="20"/>
                <w:szCs w:val="20"/>
              </w:rPr>
              <w:t>(61)</w:t>
            </w:r>
          </w:p>
        </w:tc>
      </w:tr>
      <w:tr w:rsidR="00E32735" w:rsidTr="0039741E">
        <w:trPr>
          <w:trHeight w:val="297"/>
        </w:trPr>
        <w:tc>
          <w:tcPr>
            <w:tcW w:w="3611" w:type="pct"/>
            <w:tcBorders>
              <w:top w:val="nil"/>
              <w:left w:val="nil"/>
              <w:bottom w:val="nil"/>
              <w:right w:val="nil"/>
            </w:tcBorders>
            <w:vAlign w:val="bottom"/>
          </w:tcPr>
          <w:p w:rsidR="00E32735" w:rsidRDefault="00E32735" w:rsidP="00E32735">
            <w:pPr>
              <w:ind w:firstLineChars="100" w:firstLine="200"/>
              <w:rPr>
                <w:color w:val="000000"/>
                <w:sz w:val="20"/>
                <w:szCs w:val="20"/>
              </w:rPr>
            </w:pPr>
            <w:r>
              <w:rPr>
                <w:color w:val="000000"/>
                <w:sz w:val="20"/>
                <w:szCs w:val="20"/>
              </w:rPr>
              <w:t>Net cash (used in) provided by financing activities</w:t>
            </w:r>
          </w:p>
        </w:tc>
        <w:tc>
          <w:tcPr>
            <w:tcW w:w="566" w:type="pct"/>
            <w:tcBorders>
              <w:top w:val="single" w:sz="8" w:space="0" w:color="auto"/>
              <w:left w:val="nil"/>
              <w:bottom w:val="single" w:sz="8" w:space="0" w:color="auto"/>
              <w:right w:val="nil"/>
            </w:tcBorders>
            <w:noWrap/>
            <w:vAlign w:val="bottom"/>
          </w:tcPr>
          <w:p w:rsidR="00E32735" w:rsidRDefault="00E32735">
            <w:pPr>
              <w:jc w:val="right"/>
              <w:rPr>
                <w:b/>
                <w:bCs/>
                <w:color w:val="000000"/>
                <w:sz w:val="20"/>
                <w:szCs w:val="20"/>
              </w:rPr>
            </w:pPr>
            <w:r>
              <w:rPr>
                <w:b/>
                <w:bCs/>
                <w:color w:val="000000"/>
                <w:sz w:val="20"/>
                <w:szCs w:val="20"/>
              </w:rPr>
              <w:t>(227)</w:t>
            </w:r>
          </w:p>
        </w:tc>
        <w:tc>
          <w:tcPr>
            <w:tcW w:w="116" w:type="pct"/>
            <w:tcBorders>
              <w:top w:val="nil"/>
              <w:left w:val="nil"/>
              <w:right w:val="nil"/>
            </w:tcBorders>
            <w:noWrap/>
            <w:vAlign w:val="bottom"/>
          </w:tcPr>
          <w:p w:rsidR="00E32735" w:rsidRDefault="00E32735">
            <w:pPr>
              <w:rPr>
                <w:b/>
                <w:bCs/>
                <w:color w:val="000000"/>
                <w:sz w:val="20"/>
                <w:szCs w:val="20"/>
              </w:rPr>
            </w:pPr>
          </w:p>
        </w:tc>
        <w:tc>
          <w:tcPr>
            <w:tcW w:w="706" w:type="pct"/>
            <w:tcBorders>
              <w:top w:val="single" w:sz="8" w:space="0" w:color="auto"/>
              <w:left w:val="nil"/>
              <w:bottom w:val="single" w:sz="8" w:space="0" w:color="auto"/>
              <w:right w:val="nil"/>
            </w:tcBorders>
            <w:noWrap/>
            <w:vAlign w:val="bottom"/>
          </w:tcPr>
          <w:p w:rsidR="00E32735" w:rsidRDefault="00E32735" w:rsidP="00223B45">
            <w:pPr>
              <w:jc w:val="right"/>
              <w:rPr>
                <w:color w:val="000000"/>
                <w:sz w:val="20"/>
                <w:szCs w:val="20"/>
              </w:rPr>
            </w:pPr>
            <w:r>
              <w:rPr>
                <w:color w:val="000000"/>
                <w:sz w:val="20"/>
                <w:szCs w:val="20"/>
              </w:rPr>
              <w:t xml:space="preserve">114 </w:t>
            </w:r>
          </w:p>
        </w:tc>
      </w:tr>
      <w:tr w:rsidR="004851D7" w:rsidTr="0039741E">
        <w:trPr>
          <w:trHeight w:val="297"/>
        </w:trPr>
        <w:tc>
          <w:tcPr>
            <w:tcW w:w="3611" w:type="pct"/>
            <w:tcBorders>
              <w:top w:val="nil"/>
              <w:left w:val="nil"/>
              <w:bottom w:val="nil"/>
              <w:right w:val="nil"/>
            </w:tcBorders>
            <w:vAlign w:val="bottom"/>
          </w:tcPr>
          <w:p w:rsidR="004851D7" w:rsidRDefault="004851D7" w:rsidP="003E625E">
            <w:pPr>
              <w:ind w:firstLineChars="100" w:firstLine="200"/>
              <w:rPr>
                <w:color w:val="000000"/>
                <w:sz w:val="20"/>
                <w:szCs w:val="20"/>
              </w:rPr>
            </w:pPr>
          </w:p>
        </w:tc>
        <w:tc>
          <w:tcPr>
            <w:tcW w:w="566" w:type="pct"/>
            <w:tcBorders>
              <w:top w:val="single" w:sz="8" w:space="0" w:color="auto"/>
              <w:left w:val="nil"/>
              <w:right w:val="nil"/>
            </w:tcBorders>
            <w:noWrap/>
            <w:vAlign w:val="bottom"/>
          </w:tcPr>
          <w:p w:rsidR="004851D7" w:rsidRDefault="004851D7">
            <w:pPr>
              <w:rPr>
                <w:b/>
                <w:bCs/>
                <w:color w:val="000000"/>
                <w:sz w:val="20"/>
                <w:szCs w:val="20"/>
              </w:rPr>
            </w:pPr>
          </w:p>
        </w:tc>
        <w:tc>
          <w:tcPr>
            <w:tcW w:w="116" w:type="pct"/>
            <w:tcBorders>
              <w:top w:val="nil"/>
              <w:left w:val="nil"/>
              <w:bottom w:val="nil"/>
              <w:right w:val="nil"/>
            </w:tcBorders>
            <w:noWrap/>
            <w:vAlign w:val="bottom"/>
          </w:tcPr>
          <w:p w:rsidR="004851D7" w:rsidRDefault="004851D7">
            <w:pPr>
              <w:rPr>
                <w:b/>
                <w:bCs/>
                <w:color w:val="000000"/>
                <w:sz w:val="20"/>
                <w:szCs w:val="20"/>
              </w:rPr>
            </w:pPr>
          </w:p>
        </w:tc>
        <w:tc>
          <w:tcPr>
            <w:tcW w:w="706" w:type="pct"/>
            <w:tcBorders>
              <w:top w:val="single" w:sz="8" w:space="0" w:color="auto"/>
              <w:left w:val="nil"/>
              <w:right w:val="nil"/>
            </w:tcBorders>
            <w:noWrap/>
            <w:vAlign w:val="bottom"/>
          </w:tcPr>
          <w:p w:rsidR="004851D7" w:rsidRDefault="004851D7">
            <w:pPr>
              <w:rPr>
                <w:color w:val="000000"/>
                <w:sz w:val="20"/>
                <w:szCs w:val="20"/>
              </w:rPr>
            </w:pPr>
          </w:p>
        </w:tc>
      </w:tr>
      <w:tr w:rsidR="000678D6" w:rsidTr="0039741E">
        <w:trPr>
          <w:trHeight w:val="297"/>
        </w:trPr>
        <w:tc>
          <w:tcPr>
            <w:tcW w:w="3611" w:type="pct"/>
            <w:tcBorders>
              <w:top w:val="nil"/>
              <w:left w:val="nil"/>
              <w:bottom w:val="nil"/>
              <w:right w:val="nil"/>
            </w:tcBorders>
            <w:vAlign w:val="bottom"/>
          </w:tcPr>
          <w:p w:rsidR="000678D6" w:rsidRDefault="000678D6" w:rsidP="003E625E">
            <w:pPr>
              <w:ind w:firstLineChars="100" w:firstLine="200"/>
              <w:rPr>
                <w:color w:val="000000"/>
                <w:sz w:val="20"/>
                <w:szCs w:val="20"/>
              </w:rPr>
            </w:pPr>
            <w:r>
              <w:rPr>
                <w:color w:val="000000"/>
                <w:sz w:val="20"/>
                <w:szCs w:val="20"/>
              </w:rPr>
              <w:t>Net</w:t>
            </w:r>
            <w:r w:rsidR="00E32735">
              <w:rPr>
                <w:color w:val="000000"/>
                <w:sz w:val="20"/>
                <w:szCs w:val="20"/>
              </w:rPr>
              <w:t xml:space="preserve"> (decrease)</w:t>
            </w:r>
            <w:r>
              <w:rPr>
                <w:color w:val="000000"/>
                <w:sz w:val="20"/>
                <w:szCs w:val="20"/>
              </w:rPr>
              <w:t xml:space="preserve"> increase in cash and cash equivalents</w:t>
            </w:r>
          </w:p>
        </w:tc>
        <w:tc>
          <w:tcPr>
            <w:tcW w:w="566" w:type="pct"/>
            <w:tcBorders>
              <w:left w:val="nil"/>
              <w:bottom w:val="nil"/>
              <w:right w:val="nil"/>
            </w:tcBorders>
            <w:noWrap/>
            <w:vAlign w:val="bottom"/>
          </w:tcPr>
          <w:p w:rsidR="000678D6" w:rsidRDefault="000678D6">
            <w:pPr>
              <w:jc w:val="right"/>
              <w:rPr>
                <w:b/>
                <w:bCs/>
                <w:color w:val="000000"/>
                <w:sz w:val="20"/>
                <w:szCs w:val="20"/>
              </w:rPr>
            </w:pPr>
            <w:r>
              <w:rPr>
                <w:b/>
                <w:bCs/>
                <w:color w:val="000000"/>
                <w:sz w:val="20"/>
                <w:szCs w:val="20"/>
              </w:rPr>
              <w:t>(2,236)</w:t>
            </w:r>
          </w:p>
        </w:tc>
        <w:tc>
          <w:tcPr>
            <w:tcW w:w="116" w:type="pct"/>
            <w:tcBorders>
              <w:top w:val="nil"/>
              <w:left w:val="nil"/>
              <w:bottom w:val="nil"/>
              <w:right w:val="nil"/>
            </w:tcBorders>
            <w:noWrap/>
            <w:vAlign w:val="bottom"/>
          </w:tcPr>
          <w:p w:rsidR="000678D6" w:rsidRDefault="000678D6">
            <w:pPr>
              <w:rPr>
                <w:b/>
                <w:bCs/>
                <w:color w:val="000000"/>
                <w:sz w:val="20"/>
                <w:szCs w:val="20"/>
              </w:rPr>
            </w:pPr>
          </w:p>
        </w:tc>
        <w:tc>
          <w:tcPr>
            <w:tcW w:w="706" w:type="pct"/>
            <w:tcBorders>
              <w:left w:val="nil"/>
              <w:bottom w:val="nil"/>
              <w:right w:val="nil"/>
            </w:tcBorders>
            <w:noWrap/>
            <w:vAlign w:val="bottom"/>
          </w:tcPr>
          <w:p w:rsidR="000678D6" w:rsidRDefault="000678D6">
            <w:pPr>
              <w:jc w:val="right"/>
              <w:rPr>
                <w:color w:val="000000"/>
                <w:sz w:val="20"/>
                <w:szCs w:val="20"/>
              </w:rPr>
            </w:pPr>
            <w:r>
              <w:rPr>
                <w:color w:val="000000"/>
                <w:sz w:val="20"/>
                <w:szCs w:val="20"/>
              </w:rPr>
              <w:t xml:space="preserve">2,589 </w:t>
            </w:r>
          </w:p>
        </w:tc>
      </w:tr>
      <w:tr w:rsidR="000678D6" w:rsidTr="0039741E">
        <w:trPr>
          <w:trHeight w:val="297"/>
        </w:trPr>
        <w:tc>
          <w:tcPr>
            <w:tcW w:w="3611" w:type="pct"/>
            <w:tcBorders>
              <w:top w:val="nil"/>
              <w:left w:val="nil"/>
              <w:bottom w:val="nil"/>
              <w:right w:val="nil"/>
            </w:tcBorders>
            <w:vAlign w:val="bottom"/>
          </w:tcPr>
          <w:p w:rsidR="000678D6" w:rsidRDefault="000678D6" w:rsidP="003E625E">
            <w:pPr>
              <w:ind w:firstLineChars="100" w:firstLine="200"/>
              <w:rPr>
                <w:color w:val="000000"/>
                <w:sz w:val="20"/>
                <w:szCs w:val="20"/>
              </w:rPr>
            </w:pPr>
            <w:r>
              <w:rPr>
                <w:color w:val="000000"/>
                <w:sz w:val="20"/>
                <w:szCs w:val="20"/>
              </w:rPr>
              <w:t>Cash and cash equivalents, beginning of year</w:t>
            </w:r>
          </w:p>
        </w:tc>
        <w:tc>
          <w:tcPr>
            <w:tcW w:w="566" w:type="pct"/>
            <w:tcBorders>
              <w:top w:val="nil"/>
              <w:left w:val="nil"/>
              <w:bottom w:val="single" w:sz="8" w:space="0" w:color="auto"/>
              <w:right w:val="nil"/>
            </w:tcBorders>
            <w:noWrap/>
            <w:vAlign w:val="bottom"/>
          </w:tcPr>
          <w:p w:rsidR="000678D6" w:rsidRDefault="000678D6">
            <w:pPr>
              <w:jc w:val="right"/>
              <w:rPr>
                <w:b/>
                <w:bCs/>
                <w:color w:val="000000"/>
                <w:sz w:val="20"/>
                <w:szCs w:val="20"/>
              </w:rPr>
            </w:pPr>
            <w:r>
              <w:rPr>
                <w:b/>
                <w:bCs/>
                <w:color w:val="000000"/>
                <w:sz w:val="20"/>
                <w:szCs w:val="20"/>
              </w:rPr>
              <w:t xml:space="preserve">11,532 </w:t>
            </w:r>
          </w:p>
        </w:tc>
        <w:tc>
          <w:tcPr>
            <w:tcW w:w="116" w:type="pct"/>
            <w:tcBorders>
              <w:top w:val="nil"/>
              <w:left w:val="nil"/>
              <w:bottom w:val="nil"/>
              <w:right w:val="nil"/>
            </w:tcBorders>
            <w:noWrap/>
            <w:vAlign w:val="bottom"/>
          </w:tcPr>
          <w:p w:rsidR="000678D6" w:rsidRDefault="000678D6">
            <w:pPr>
              <w:rPr>
                <w:b/>
                <w:bCs/>
                <w:color w:val="000000"/>
                <w:sz w:val="20"/>
                <w:szCs w:val="20"/>
              </w:rPr>
            </w:pPr>
          </w:p>
        </w:tc>
        <w:tc>
          <w:tcPr>
            <w:tcW w:w="706" w:type="pct"/>
            <w:tcBorders>
              <w:top w:val="nil"/>
              <w:left w:val="nil"/>
              <w:bottom w:val="single" w:sz="8" w:space="0" w:color="auto"/>
              <w:right w:val="nil"/>
            </w:tcBorders>
            <w:noWrap/>
            <w:vAlign w:val="bottom"/>
          </w:tcPr>
          <w:p w:rsidR="000678D6" w:rsidRDefault="000678D6">
            <w:pPr>
              <w:jc w:val="right"/>
              <w:rPr>
                <w:color w:val="000000"/>
                <w:sz w:val="20"/>
                <w:szCs w:val="20"/>
              </w:rPr>
            </w:pPr>
            <w:r>
              <w:rPr>
                <w:color w:val="000000"/>
                <w:sz w:val="20"/>
                <w:szCs w:val="20"/>
              </w:rPr>
              <w:t xml:space="preserve">8,943 </w:t>
            </w:r>
          </w:p>
        </w:tc>
      </w:tr>
      <w:tr w:rsidR="000678D6" w:rsidTr="0039741E">
        <w:trPr>
          <w:trHeight w:val="297"/>
        </w:trPr>
        <w:tc>
          <w:tcPr>
            <w:tcW w:w="3611" w:type="pct"/>
            <w:tcBorders>
              <w:top w:val="nil"/>
              <w:left w:val="nil"/>
              <w:bottom w:val="nil"/>
              <w:right w:val="nil"/>
            </w:tcBorders>
            <w:vAlign w:val="bottom"/>
          </w:tcPr>
          <w:p w:rsidR="000678D6" w:rsidRDefault="000678D6" w:rsidP="003E625E">
            <w:pPr>
              <w:ind w:firstLineChars="100" w:firstLine="200"/>
              <w:rPr>
                <w:color w:val="000000"/>
                <w:sz w:val="20"/>
                <w:szCs w:val="20"/>
              </w:rPr>
            </w:pPr>
            <w:r>
              <w:rPr>
                <w:color w:val="000000"/>
                <w:sz w:val="20"/>
                <w:szCs w:val="20"/>
              </w:rPr>
              <w:t>Cash and cash equivalents, end of year</w:t>
            </w:r>
          </w:p>
        </w:tc>
        <w:tc>
          <w:tcPr>
            <w:tcW w:w="566" w:type="pct"/>
            <w:tcBorders>
              <w:top w:val="nil"/>
              <w:left w:val="nil"/>
              <w:bottom w:val="double" w:sz="6" w:space="0" w:color="auto"/>
              <w:right w:val="nil"/>
            </w:tcBorders>
            <w:noWrap/>
            <w:vAlign w:val="bottom"/>
          </w:tcPr>
          <w:p w:rsidR="000678D6" w:rsidRDefault="000678D6" w:rsidP="00223B45">
            <w:pPr>
              <w:jc w:val="right"/>
              <w:rPr>
                <w:b/>
                <w:bCs/>
                <w:color w:val="000000"/>
                <w:sz w:val="20"/>
                <w:szCs w:val="20"/>
              </w:rPr>
            </w:pPr>
            <w:r>
              <w:rPr>
                <w:b/>
                <w:bCs/>
                <w:color w:val="000000"/>
                <w:sz w:val="20"/>
                <w:szCs w:val="20"/>
              </w:rPr>
              <w:t xml:space="preserve">$9,296 </w:t>
            </w:r>
          </w:p>
        </w:tc>
        <w:tc>
          <w:tcPr>
            <w:tcW w:w="116" w:type="pct"/>
            <w:tcBorders>
              <w:top w:val="nil"/>
              <w:left w:val="nil"/>
              <w:bottom w:val="nil"/>
              <w:right w:val="nil"/>
            </w:tcBorders>
            <w:noWrap/>
            <w:vAlign w:val="bottom"/>
          </w:tcPr>
          <w:p w:rsidR="000678D6" w:rsidRDefault="000678D6">
            <w:pPr>
              <w:rPr>
                <w:b/>
                <w:bCs/>
                <w:color w:val="000000"/>
                <w:sz w:val="20"/>
                <w:szCs w:val="20"/>
              </w:rPr>
            </w:pPr>
          </w:p>
        </w:tc>
        <w:tc>
          <w:tcPr>
            <w:tcW w:w="706" w:type="pct"/>
            <w:tcBorders>
              <w:top w:val="nil"/>
              <w:left w:val="nil"/>
              <w:bottom w:val="double" w:sz="6" w:space="0" w:color="auto"/>
              <w:right w:val="nil"/>
            </w:tcBorders>
            <w:noWrap/>
            <w:vAlign w:val="bottom"/>
          </w:tcPr>
          <w:p w:rsidR="000678D6" w:rsidRDefault="000678D6" w:rsidP="00223B45">
            <w:pPr>
              <w:jc w:val="right"/>
              <w:rPr>
                <w:color w:val="000000"/>
                <w:sz w:val="20"/>
                <w:szCs w:val="20"/>
              </w:rPr>
            </w:pPr>
            <w:r>
              <w:rPr>
                <w:color w:val="000000"/>
                <w:sz w:val="20"/>
                <w:szCs w:val="20"/>
              </w:rPr>
              <w:t xml:space="preserve">$11,532 </w:t>
            </w:r>
          </w:p>
        </w:tc>
      </w:tr>
      <w:tr w:rsidR="004851D7" w:rsidTr="0039741E">
        <w:trPr>
          <w:trHeight w:val="297"/>
        </w:trPr>
        <w:tc>
          <w:tcPr>
            <w:tcW w:w="3611" w:type="pct"/>
            <w:tcBorders>
              <w:top w:val="nil"/>
              <w:left w:val="nil"/>
              <w:bottom w:val="nil"/>
              <w:right w:val="nil"/>
            </w:tcBorders>
            <w:vAlign w:val="bottom"/>
          </w:tcPr>
          <w:p w:rsidR="004851D7" w:rsidRPr="00D25EF8" w:rsidRDefault="004851D7" w:rsidP="003E625E">
            <w:pPr>
              <w:ind w:firstLineChars="100" w:firstLine="200"/>
              <w:rPr>
                <w:color w:val="000000"/>
                <w:sz w:val="20"/>
                <w:szCs w:val="20"/>
              </w:rPr>
            </w:pPr>
          </w:p>
        </w:tc>
        <w:tc>
          <w:tcPr>
            <w:tcW w:w="566" w:type="pct"/>
            <w:tcBorders>
              <w:top w:val="nil"/>
              <w:left w:val="nil"/>
              <w:bottom w:val="nil"/>
              <w:right w:val="nil"/>
            </w:tcBorders>
            <w:noWrap/>
            <w:vAlign w:val="bottom"/>
          </w:tcPr>
          <w:p w:rsidR="004851D7" w:rsidRDefault="004851D7">
            <w:pPr>
              <w:rPr>
                <w:b/>
                <w:bCs/>
                <w:color w:val="000000"/>
                <w:sz w:val="20"/>
                <w:szCs w:val="20"/>
              </w:rPr>
            </w:pPr>
          </w:p>
        </w:tc>
        <w:tc>
          <w:tcPr>
            <w:tcW w:w="116" w:type="pct"/>
            <w:tcBorders>
              <w:top w:val="nil"/>
              <w:left w:val="nil"/>
              <w:bottom w:val="nil"/>
              <w:right w:val="nil"/>
            </w:tcBorders>
            <w:noWrap/>
            <w:vAlign w:val="bottom"/>
          </w:tcPr>
          <w:p w:rsidR="004851D7" w:rsidRDefault="004851D7">
            <w:pPr>
              <w:rPr>
                <w:b/>
                <w:bCs/>
                <w:color w:val="000000"/>
                <w:sz w:val="20"/>
                <w:szCs w:val="20"/>
              </w:rPr>
            </w:pPr>
          </w:p>
        </w:tc>
        <w:tc>
          <w:tcPr>
            <w:tcW w:w="706" w:type="pct"/>
            <w:tcBorders>
              <w:top w:val="nil"/>
              <w:left w:val="nil"/>
              <w:bottom w:val="nil"/>
              <w:right w:val="nil"/>
            </w:tcBorders>
            <w:noWrap/>
            <w:vAlign w:val="bottom"/>
          </w:tcPr>
          <w:p w:rsidR="004851D7" w:rsidRDefault="004851D7">
            <w:pPr>
              <w:rPr>
                <w:color w:val="000000"/>
                <w:sz w:val="20"/>
                <w:szCs w:val="20"/>
              </w:rPr>
            </w:pPr>
          </w:p>
        </w:tc>
      </w:tr>
      <w:tr w:rsidR="004851D7" w:rsidTr="0039741E">
        <w:trPr>
          <w:trHeight w:val="297"/>
        </w:trPr>
        <w:tc>
          <w:tcPr>
            <w:tcW w:w="3611" w:type="pct"/>
            <w:tcBorders>
              <w:top w:val="nil"/>
              <w:left w:val="nil"/>
              <w:bottom w:val="nil"/>
              <w:right w:val="nil"/>
            </w:tcBorders>
            <w:vAlign w:val="bottom"/>
          </w:tcPr>
          <w:p w:rsidR="004851D7" w:rsidRPr="00D25EF8" w:rsidRDefault="004851D7" w:rsidP="003E625E">
            <w:pPr>
              <w:ind w:firstLineChars="100" w:firstLine="201"/>
              <w:rPr>
                <w:b/>
                <w:bCs/>
                <w:color w:val="000000"/>
                <w:sz w:val="20"/>
                <w:szCs w:val="20"/>
              </w:rPr>
            </w:pPr>
            <w:r w:rsidRPr="00D25EF8">
              <w:rPr>
                <w:b/>
                <w:bCs/>
                <w:color w:val="000000"/>
                <w:sz w:val="20"/>
                <w:szCs w:val="20"/>
              </w:rPr>
              <w:t>Supplemental disclosure of cash flow information</w:t>
            </w:r>
          </w:p>
        </w:tc>
        <w:tc>
          <w:tcPr>
            <w:tcW w:w="566" w:type="pct"/>
            <w:tcBorders>
              <w:top w:val="nil"/>
              <w:left w:val="nil"/>
              <w:bottom w:val="nil"/>
              <w:right w:val="nil"/>
            </w:tcBorders>
            <w:noWrap/>
            <w:vAlign w:val="bottom"/>
          </w:tcPr>
          <w:p w:rsidR="004851D7" w:rsidRDefault="004851D7">
            <w:pPr>
              <w:rPr>
                <w:b/>
                <w:bCs/>
                <w:color w:val="000000"/>
                <w:sz w:val="20"/>
                <w:szCs w:val="20"/>
              </w:rPr>
            </w:pPr>
          </w:p>
        </w:tc>
        <w:tc>
          <w:tcPr>
            <w:tcW w:w="116" w:type="pct"/>
            <w:tcBorders>
              <w:top w:val="nil"/>
              <w:left w:val="nil"/>
              <w:bottom w:val="nil"/>
              <w:right w:val="nil"/>
            </w:tcBorders>
            <w:noWrap/>
            <w:vAlign w:val="bottom"/>
          </w:tcPr>
          <w:p w:rsidR="004851D7" w:rsidRDefault="004851D7">
            <w:pPr>
              <w:rPr>
                <w:b/>
                <w:bCs/>
                <w:color w:val="000000"/>
                <w:sz w:val="20"/>
                <w:szCs w:val="20"/>
              </w:rPr>
            </w:pPr>
          </w:p>
        </w:tc>
        <w:tc>
          <w:tcPr>
            <w:tcW w:w="706" w:type="pct"/>
            <w:tcBorders>
              <w:top w:val="nil"/>
              <w:left w:val="nil"/>
              <w:bottom w:val="nil"/>
              <w:right w:val="nil"/>
            </w:tcBorders>
            <w:noWrap/>
            <w:vAlign w:val="bottom"/>
          </w:tcPr>
          <w:p w:rsidR="004851D7" w:rsidRDefault="004851D7">
            <w:pPr>
              <w:rPr>
                <w:color w:val="000000"/>
                <w:sz w:val="20"/>
                <w:szCs w:val="20"/>
              </w:rPr>
            </w:pPr>
          </w:p>
        </w:tc>
      </w:tr>
      <w:tr w:rsidR="004851D7" w:rsidTr="0039741E">
        <w:trPr>
          <w:trHeight w:val="252"/>
        </w:trPr>
        <w:tc>
          <w:tcPr>
            <w:tcW w:w="3611" w:type="pct"/>
            <w:tcBorders>
              <w:top w:val="nil"/>
              <w:left w:val="nil"/>
              <w:bottom w:val="nil"/>
              <w:right w:val="nil"/>
            </w:tcBorders>
            <w:vAlign w:val="bottom"/>
          </w:tcPr>
          <w:p w:rsidR="004851D7" w:rsidRDefault="004851D7" w:rsidP="003E625E">
            <w:pPr>
              <w:ind w:firstLineChars="100" w:firstLine="200"/>
              <w:rPr>
                <w:color w:val="000000"/>
                <w:sz w:val="20"/>
                <w:szCs w:val="20"/>
              </w:rPr>
            </w:pPr>
            <w:r>
              <w:rPr>
                <w:color w:val="000000"/>
                <w:sz w:val="20"/>
                <w:szCs w:val="20"/>
              </w:rPr>
              <w:t>Interest paid</w:t>
            </w:r>
          </w:p>
        </w:tc>
        <w:tc>
          <w:tcPr>
            <w:tcW w:w="566" w:type="pct"/>
            <w:tcBorders>
              <w:top w:val="nil"/>
              <w:left w:val="nil"/>
              <w:bottom w:val="nil"/>
              <w:right w:val="nil"/>
            </w:tcBorders>
            <w:noWrap/>
            <w:vAlign w:val="bottom"/>
          </w:tcPr>
          <w:p w:rsidR="004851D7" w:rsidRPr="00D25EF8" w:rsidRDefault="004851D7" w:rsidP="00D25EF8">
            <w:pPr>
              <w:jc w:val="right"/>
              <w:rPr>
                <w:b/>
                <w:bCs/>
                <w:color w:val="000000"/>
                <w:sz w:val="20"/>
                <w:szCs w:val="20"/>
              </w:rPr>
            </w:pPr>
            <w:r w:rsidRPr="00D25EF8">
              <w:rPr>
                <w:b/>
                <w:bCs/>
                <w:color w:val="000000"/>
                <w:sz w:val="20"/>
                <w:szCs w:val="20"/>
              </w:rPr>
              <w:t>$</w:t>
            </w:r>
            <w:r w:rsidR="00D25EF8" w:rsidRPr="00D25EF8">
              <w:rPr>
                <w:b/>
                <w:bCs/>
                <w:color w:val="000000"/>
                <w:sz w:val="20"/>
                <w:szCs w:val="20"/>
              </w:rPr>
              <w:t>3</w:t>
            </w:r>
          </w:p>
        </w:tc>
        <w:tc>
          <w:tcPr>
            <w:tcW w:w="116" w:type="pct"/>
            <w:tcBorders>
              <w:top w:val="nil"/>
              <w:left w:val="nil"/>
              <w:bottom w:val="nil"/>
              <w:right w:val="nil"/>
            </w:tcBorders>
            <w:noWrap/>
            <w:vAlign w:val="bottom"/>
          </w:tcPr>
          <w:p w:rsidR="004851D7" w:rsidRPr="00D25EF8" w:rsidRDefault="004851D7">
            <w:pPr>
              <w:jc w:val="right"/>
              <w:rPr>
                <w:b/>
                <w:bCs/>
                <w:color w:val="000000"/>
                <w:sz w:val="20"/>
                <w:szCs w:val="20"/>
              </w:rPr>
            </w:pPr>
          </w:p>
        </w:tc>
        <w:tc>
          <w:tcPr>
            <w:tcW w:w="706" w:type="pct"/>
            <w:tcBorders>
              <w:top w:val="nil"/>
              <w:left w:val="nil"/>
              <w:bottom w:val="nil"/>
              <w:right w:val="nil"/>
            </w:tcBorders>
            <w:noWrap/>
            <w:vAlign w:val="bottom"/>
          </w:tcPr>
          <w:p w:rsidR="004851D7" w:rsidRPr="00D25EF8" w:rsidRDefault="004851D7" w:rsidP="00D25EF8">
            <w:pPr>
              <w:jc w:val="right"/>
              <w:rPr>
                <w:color w:val="000000"/>
                <w:sz w:val="20"/>
                <w:szCs w:val="20"/>
              </w:rPr>
            </w:pPr>
            <w:r w:rsidRPr="00D25EF8">
              <w:rPr>
                <w:bCs/>
                <w:color w:val="000000"/>
                <w:sz w:val="20"/>
                <w:szCs w:val="20"/>
              </w:rPr>
              <w:t>$</w:t>
            </w:r>
            <w:r w:rsidR="00D25EF8" w:rsidRPr="00D25EF8">
              <w:rPr>
                <w:bCs/>
                <w:color w:val="000000"/>
                <w:sz w:val="20"/>
                <w:szCs w:val="20"/>
              </w:rPr>
              <w:t>6</w:t>
            </w:r>
            <w:r w:rsidR="00E3728E" w:rsidRPr="00D25EF8">
              <w:rPr>
                <w:bCs/>
                <w:color w:val="000000"/>
                <w:sz w:val="20"/>
                <w:szCs w:val="20"/>
              </w:rPr>
              <w:t xml:space="preserve"> </w:t>
            </w:r>
          </w:p>
        </w:tc>
      </w:tr>
      <w:tr w:rsidR="004851D7" w:rsidTr="0039741E">
        <w:trPr>
          <w:trHeight w:val="252"/>
        </w:trPr>
        <w:tc>
          <w:tcPr>
            <w:tcW w:w="3611" w:type="pct"/>
            <w:tcBorders>
              <w:top w:val="nil"/>
              <w:left w:val="nil"/>
              <w:bottom w:val="nil"/>
              <w:right w:val="nil"/>
            </w:tcBorders>
            <w:vAlign w:val="bottom"/>
          </w:tcPr>
          <w:p w:rsidR="004851D7" w:rsidRDefault="004851D7">
            <w:pPr>
              <w:rPr>
                <w:color w:val="000000"/>
                <w:sz w:val="20"/>
                <w:szCs w:val="20"/>
              </w:rPr>
            </w:pPr>
            <w:r>
              <w:rPr>
                <w:color w:val="000000"/>
                <w:sz w:val="20"/>
                <w:szCs w:val="20"/>
              </w:rPr>
              <w:t xml:space="preserve">    Income taxes paid</w:t>
            </w:r>
          </w:p>
        </w:tc>
        <w:tc>
          <w:tcPr>
            <w:tcW w:w="566" w:type="pct"/>
            <w:tcBorders>
              <w:top w:val="nil"/>
              <w:left w:val="nil"/>
              <w:bottom w:val="nil"/>
              <w:right w:val="nil"/>
            </w:tcBorders>
            <w:noWrap/>
          </w:tcPr>
          <w:p w:rsidR="004851D7" w:rsidRPr="00D25EF8" w:rsidRDefault="00D25EF8" w:rsidP="00D25EF8">
            <w:pPr>
              <w:jc w:val="right"/>
              <w:rPr>
                <w:b/>
                <w:bCs/>
                <w:sz w:val="20"/>
                <w:szCs w:val="20"/>
              </w:rPr>
            </w:pPr>
            <w:r w:rsidRPr="00D25EF8">
              <w:rPr>
                <w:b/>
                <w:bCs/>
                <w:sz w:val="20"/>
                <w:szCs w:val="20"/>
              </w:rPr>
              <w:t>124</w:t>
            </w:r>
            <w:r w:rsidR="00E3728E" w:rsidRPr="00D25EF8">
              <w:rPr>
                <w:b/>
                <w:bCs/>
                <w:sz w:val="20"/>
                <w:szCs w:val="20"/>
              </w:rPr>
              <w:t xml:space="preserve"> </w:t>
            </w:r>
          </w:p>
        </w:tc>
        <w:tc>
          <w:tcPr>
            <w:tcW w:w="116" w:type="pct"/>
            <w:tcBorders>
              <w:top w:val="nil"/>
              <w:left w:val="nil"/>
              <w:bottom w:val="nil"/>
              <w:right w:val="nil"/>
            </w:tcBorders>
            <w:noWrap/>
          </w:tcPr>
          <w:p w:rsidR="004851D7" w:rsidRPr="00D25EF8" w:rsidRDefault="004851D7">
            <w:pPr>
              <w:jc w:val="right"/>
              <w:rPr>
                <w:b/>
                <w:bCs/>
                <w:sz w:val="20"/>
                <w:szCs w:val="20"/>
              </w:rPr>
            </w:pPr>
          </w:p>
        </w:tc>
        <w:tc>
          <w:tcPr>
            <w:tcW w:w="706" w:type="pct"/>
            <w:tcBorders>
              <w:top w:val="nil"/>
              <w:left w:val="nil"/>
              <w:bottom w:val="nil"/>
              <w:right w:val="nil"/>
            </w:tcBorders>
            <w:noWrap/>
          </w:tcPr>
          <w:p w:rsidR="004851D7" w:rsidRPr="00D25EF8" w:rsidRDefault="00D25EF8">
            <w:pPr>
              <w:jc w:val="right"/>
              <w:rPr>
                <w:sz w:val="20"/>
                <w:szCs w:val="20"/>
              </w:rPr>
            </w:pPr>
            <w:r w:rsidRPr="00D25EF8">
              <w:rPr>
                <w:bCs/>
                <w:sz w:val="20"/>
                <w:szCs w:val="20"/>
              </w:rPr>
              <w:t>136</w:t>
            </w:r>
            <w:r w:rsidR="002E7DC2" w:rsidRPr="00D25EF8">
              <w:rPr>
                <w:bCs/>
                <w:sz w:val="20"/>
                <w:szCs w:val="20"/>
              </w:rPr>
              <w:t xml:space="preserve"> </w:t>
            </w:r>
          </w:p>
        </w:tc>
      </w:tr>
    </w:tbl>
    <w:p w:rsidR="004851D7" w:rsidRDefault="004851D7">
      <w:pPr>
        <w:rPr>
          <w:i/>
          <w:iCs/>
          <w:color w:val="000000"/>
          <w:sz w:val="20"/>
          <w:szCs w:val="20"/>
        </w:rPr>
      </w:pPr>
      <w:r>
        <w:rPr>
          <w:i/>
          <w:iCs/>
          <w:color w:val="000000"/>
          <w:sz w:val="20"/>
          <w:szCs w:val="20"/>
        </w:rPr>
        <w:t>See accompanying notes.</w:t>
      </w:r>
    </w:p>
    <w:p w:rsidR="004851D7" w:rsidRDefault="004851D7">
      <w:pPr>
        <w:rPr>
          <w:b/>
          <w:bCs/>
          <w:color w:val="000000"/>
          <w:sz w:val="20"/>
        </w:rPr>
      </w:pPr>
      <w:r>
        <w:rPr>
          <w:b/>
          <w:bCs/>
          <w:color w:val="000000"/>
          <w:sz w:val="20"/>
        </w:rPr>
        <w:t>Notes to Financial Statements</w:t>
      </w:r>
    </w:p>
    <w:p w:rsidR="004851D7" w:rsidRDefault="004851D7">
      <w:pPr>
        <w:rPr>
          <w:color w:val="000000"/>
          <w:sz w:val="20"/>
        </w:rPr>
      </w:pPr>
    </w:p>
    <w:p w:rsidR="004851D7" w:rsidRDefault="004851D7">
      <w:pPr>
        <w:rPr>
          <w:b/>
          <w:bCs/>
          <w:color w:val="000000"/>
          <w:sz w:val="20"/>
        </w:rPr>
      </w:pPr>
      <w:r>
        <w:rPr>
          <w:b/>
          <w:bCs/>
          <w:color w:val="000000"/>
          <w:sz w:val="20"/>
        </w:rPr>
        <w:t>1.  Description of Business</w:t>
      </w:r>
    </w:p>
    <w:p w:rsidR="004851D7" w:rsidRDefault="004851D7">
      <w:pPr>
        <w:rPr>
          <w:color w:val="000000"/>
          <w:sz w:val="20"/>
        </w:rPr>
      </w:pPr>
    </w:p>
    <w:p w:rsidR="004851D7" w:rsidRDefault="004851D7">
      <w:pPr>
        <w:ind w:firstLine="720"/>
        <w:rPr>
          <w:color w:val="000000"/>
          <w:sz w:val="20"/>
        </w:rPr>
      </w:pPr>
      <w:proofErr w:type="spellStart"/>
      <w:r>
        <w:rPr>
          <w:color w:val="000000"/>
          <w:sz w:val="20"/>
        </w:rPr>
        <w:t>MakeMusic</w:t>
      </w:r>
      <w:proofErr w:type="spellEnd"/>
      <w:r>
        <w:rPr>
          <w:color w:val="000000"/>
          <w:sz w:val="20"/>
        </w:rPr>
        <w:t xml:space="preserve"> develops and markets proprietary music technology solutions under the Finale</w:t>
      </w:r>
      <w:r>
        <w:rPr>
          <w:color w:val="000000"/>
          <w:sz w:val="20"/>
          <w:vertAlign w:val="superscript"/>
        </w:rPr>
        <w:t>®</w:t>
      </w:r>
      <w:r>
        <w:rPr>
          <w:color w:val="000000"/>
          <w:sz w:val="20"/>
        </w:rPr>
        <w:t xml:space="preserve"> and </w:t>
      </w:r>
      <w:proofErr w:type="spellStart"/>
      <w:r>
        <w:rPr>
          <w:color w:val="000000"/>
          <w:sz w:val="20"/>
        </w:rPr>
        <w:t>SmartMusic</w:t>
      </w:r>
      <w:proofErr w:type="spellEnd"/>
      <w:r>
        <w:rPr>
          <w:color w:val="000000"/>
          <w:sz w:val="20"/>
          <w:vertAlign w:val="superscript"/>
        </w:rPr>
        <w:t>®</w:t>
      </w:r>
      <w:r>
        <w:rPr>
          <w:color w:val="000000"/>
          <w:sz w:val="20"/>
        </w:rPr>
        <w:t xml:space="preserve"> brands that enhance music learning and composition, increase productivity and make practicing and performing music engaging. Our innovative products provide easy-to-use, efficient alternatives to traditional practice, education, and composition techniques. Software product sales are made through traditional distribution channels and </w:t>
      </w:r>
      <w:proofErr w:type="spellStart"/>
      <w:r>
        <w:rPr>
          <w:color w:val="000000"/>
          <w:sz w:val="20"/>
        </w:rPr>
        <w:t>MakeMusic’s</w:t>
      </w:r>
      <w:proofErr w:type="spellEnd"/>
      <w:r>
        <w:rPr>
          <w:color w:val="000000"/>
          <w:sz w:val="20"/>
        </w:rPr>
        <w:t xml:space="preserve"> websites. </w:t>
      </w:r>
      <w:r w:rsidR="00EE0C39">
        <w:rPr>
          <w:color w:val="000000"/>
          <w:sz w:val="20"/>
        </w:rPr>
        <w:t xml:space="preserve">During the fourth quarter of 2011 </w:t>
      </w:r>
      <w:proofErr w:type="spellStart"/>
      <w:r w:rsidR="00EE0C39">
        <w:rPr>
          <w:color w:val="000000"/>
          <w:sz w:val="20"/>
        </w:rPr>
        <w:t>MakeMusic</w:t>
      </w:r>
      <w:proofErr w:type="spellEnd"/>
      <w:r w:rsidR="00EE0C39">
        <w:rPr>
          <w:color w:val="000000"/>
          <w:sz w:val="20"/>
        </w:rPr>
        <w:t xml:space="preserve"> acquired Garritan Corporation, a developer and provider of software sound libraries and select assets of </w:t>
      </w:r>
      <w:proofErr w:type="spellStart"/>
      <w:r w:rsidR="00EE0C39">
        <w:rPr>
          <w:color w:val="000000"/>
          <w:sz w:val="20"/>
        </w:rPr>
        <w:t>Recordare</w:t>
      </w:r>
      <w:proofErr w:type="spellEnd"/>
      <w:r w:rsidR="00EE0C39">
        <w:rPr>
          <w:color w:val="000000"/>
          <w:sz w:val="20"/>
        </w:rPr>
        <w:t xml:space="preserve"> LLC, an internet music publishing and software company. </w:t>
      </w:r>
    </w:p>
    <w:p w:rsidR="00EE0C39" w:rsidRDefault="00EE0C39">
      <w:pPr>
        <w:rPr>
          <w:b/>
          <w:bCs/>
          <w:color w:val="000000"/>
          <w:sz w:val="20"/>
        </w:rPr>
      </w:pPr>
    </w:p>
    <w:p w:rsidR="004851D7" w:rsidRDefault="004851D7">
      <w:pPr>
        <w:rPr>
          <w:b/>
          <w:bCs/>
          <w:color w:val="000000"/>
          <w:sz w:val="20"/>
        </w:rPr>
      </w:pPr>
      <w:r>
        <w:rPr>
          <w:b/>
          <w:bCs/>
          <w:color w:val="000000"/>
          <w:sz w:val="20"/>
        </w:rPr>
        <w:t>2.  Summary of Significant Accounting Policies</w:t>
      </w:r>
    </w:p>
    <w:p w:rsidR="004851D7" w:rsidRDefault="004851D7">
      <w:pPr>
        <w:rPr>
          <w:b/>
          <w:bCs/>
          <w:color w:val="000000"/>
          <w:sz w:val="20"/>
        </w:rPr>
      </w:pPr>
    </w:p>
    <w:p w:rsidR="004851D7" w:rsidRDefault="004851D7">
      <w:pPr>
        <w:rPr>
          <w:b/>
          <w:bCs/>
          <w:color w:val="000000"/>
          <w:sz w:val="20"/>
        </w:rPr>
      </w:pPr>
      <w:r>
        <w:rPr>
          <w:b/>
          <w:bCs/>
          <w:color w:val="000000"/>
          <w:sz w:val="20"/>
        </w:rPr>
        <w:t>Revenue Recognition</w:t>
      </w:r>
    </w:p>
    <w:p w:rsidR="004851D7" w:rsidRDefault="004851D7">
      <w:pPr>
        <w:rPr>
          <w:color w:val="000000"/>
          <w:sz w:val="20"/>
        </w:rPr>
      </w:pPr>
    </w:p>
    <w:p w:rsidR="004851D7" w:rsidRDefault="0097695F">
      <w:pPr>
        <w:ind w:firstLine="720"/>
        <w:rPr>
          <w:color w:val="000000"/>
          <w:sz w:val="20"/>
        </w:rPr>
      </w:pPr>
      <w:r>
        <w:rPr>
          <w:color w:val="000000"/>
          <w:sz w:val="20"/>
        </w:rPr>
        <w:t>Notation revenue is primarily derived from the sale of perpetual license agreements to end users and a dealer network for “off the shelf” products which are easily installed and used by the customer.</w:t>
      </w:r>
      <w:r w:rsidR="00FD0755">
        <w:rPr>
          <w:color w:val="000000"/>
          <w:sz w:val="20"/>
        </w:rPr>
        <w:t xml:space="preserve"> </w:t>
      </w:r>
      <w:r w:rsidR="008A7E05">
        <w:rPr>
          <w:color w:val="000000"/>
          <w:sz w:val="20"/>
        </w:rPr>
        <w:t xml:space="preserve">Post contract support revenue is recognized at the time of sale, the cost associated with the support is accrued. </w:t>
      </w:r>
      <w:proofErr w:type="spellStart"/>
      <w:r w:rsidR="004851D7">
        <w:rPr>
          <w:color w:val="000000"/>
          <w:sz w:val="20"/>
        </w:rPr>
        <w:t>SmartMusic</w:t>
      </w:r>
      <w:proofErr w:type="spellEnd"/>
      <w:r w:rsidR="004851D7">
        <w:rPr>
          <w:color w:val="000000"/>
          <w:sz w:val="20"/>
        </w:rPr>
        <w:t xml:space="preserve"> subscription revenue is </w:t>
      </w:r>
      <w:r>
        <w:rPr>
          <w:color w:val="000000"/>
          <w:sz w:val="20"/>
        </w:rPr>
        <w:t>generated from the sale of term license agree</w:t>
      </w:r>
      <w:r w:rsidR="008A7E05">
        <w:rPr>
          <w:color w:val="000000"/>
          <w:sz w:val="20"/>
        </w:rPr>
        <w:t>ments with a subscription to our</w:t>
      </w:r>
      <w:r>
        <w:rPr>
          <w:color w:val="000000"/>
          <w:sz w:val="20"/>
        </w:rPr>
        <w:t xml:space="preserve"> </w:t>
      </w:r>
      <w:r w:rsidR="00367019">
        <w:rPr>
          <w:color w:val="000000"/>
          <w:sz w:val="20"/>
        </w:rPr>
        <w:t xml:space="preserve">current </w:t>
      </w:r>
      <w:r>
        <w:rPr>
          <w:color w:val="000000"/>
          <w:sz w:val="20"/>
        </w:rPr>
        <w:t>repertoire</w:t>
      </w:r>
      <w:r w:rsidR="008A7E05">
        <w:rPr>
          <w:color w:val="000000"/>
          <w:sz w:val="20"/>
        </w:rPr>
        <w:t xml:space="preserve"> of songs</w:t>
      </w:r>
      <w:r w:rsidR="00367019">
        <w:rPr>
          <w:color w:val="000000"/>
          <w:sz w:val="20"/>
        </w:rPr>
        <w:t xml:space="preserve"> and access to all future titles released during the subscription period</w:t>
      </w:r>
      <w:r>
        <w:rPr>
          <w:color w:val="000000"/>
          <w:sz w:val="20"/>
        </w:rPr>
        <w:t xml:space="preserve">. </w:t>
      </w:r>
      <w:proofErr w:type="spellStart"/>
      <w:r>
        <w:rPr>
          <w:color w:val="000000"/>
          <w:sz w:val="20"/>
        </w:rPr>
        <w:t>SmartMusic</w:t>
      </w:r>
      <w:proofErr w:type="spellEnd"/>
      <w:r>
        <w:rPr>
          <w:color w:val="000000"/>
          <w:sz w:val="20"/>
        </w:rPr>
        <w:t xml:space="preserve"> revenue is </w:t>
      </w:r>
      <w:r w:rsidR="004851D7">
        <w:rPr>
          <w:color w:val="000000"/>
          <w:sz w:val="20"/>
        </w:rPr>
        <w:t xml:space="preserve">recognized over the lives of the </w:t>
      </w:r>
      <w:r>
        <w:rPr>
          <w:color w:val="000000"/>
          <w:sz w:val="20"/>
        </w:rPr>
        <w:t>term license agreement</w:t>
      </w:r>
      <w:r w:rsidR="008A7E05">
        <w:rPr>
          <w:color w:val="000000"/>
          <w:sz w:val="20"/>
        </w:rPr>
        <w:t>s</w:t>
      </w:r>
      <w:r w:rsidR="004851D7">
        <w:rPr>
          <w:color w:val="000000"/>
          <w:sz w:val="20"/>
        </w:rPr>
        <w:t xml:space="preserve">. Software revenue is recognized in accordance with ASC 985-605, </w:t>
      </w:r>
      <w:r w:rsidR="004851D7">
        <w:rPr>
          <w:i/>
          <w:color w:val="000000"/>
          <w:sz w:val="20"/>
        </w:rPr>
        <w:t>Software – Software Revenue Recognition</w:t>
      </w:r>
      <w:r w:rsidR="004851D7">
        <w:rPr>
          <w:i/>
          <w:iCs/>
          <w:color w:val="000000"/>
          <w:sz w:val="20"/>
        </w:rPr>
        <w:t xml:space="preserve"> </w:t>
      </w:r>
      <w:r w:rsidR="004851D7">
        <w:rPr>
          <w:color w:val="000000"/>
          <w:sz w:val="20"/>
        </w:rPr>
        <w:t xml:space="preserve">when all of the following conditions are met: there is evidence of an agreement with the customer (normally a purchase order), delivery has occurred, the total sales price is fixed and determinable, collection is probable, and any uncertainties with regard to customer acceptance are insignificant. </w:t>
      </w:r>
      <w:r w:rsidR="00BE2A62">
        <w:rPr>
          <w:color w:val="000000"/>
          <w:sz w:val="20"/>
        </w:rPr>
        <w:t>W</w:t>
      </w:r>
      <w:r w:rsidR="004851D7">
        <w:rPr>
          <w:color w:val="000000"/>
          <w:sz w:val="20"/>
        </w:rPr>
        <w:t xml:space="preserve">e recognize revenue </w:t>
      </w:r>
      <w:r w:rsidR="00BE2A62">
        <w:rPr>
          <w:color w:val="000000"/>
          <w:sz w:val="20"/>
        </w:rPr>
        <w:t xml:space="preserve">from the sale of </w:t>
      </w:r>
      <w:proofErr w:type="spellStart"/>
      <w:r w:rsidR="00BE2A62">
        <w:rPr>
          <w:color w:val="000000"/>
          <w:sz w:val="20"/>
        </w:rPr>
        <w:t>SmartMusic</w:t>
      </w:r>
      <w:proofErr w:type="spellEnd"/>
      <w:r w:rsidR="00BE2A62">
        <w:rPr>
          <w:color w:val="000000"/>
          <w:sz w:val="20"/>
        </w:rPr>
        <w:t xml:space="preserve"> accessories </w:t>
      </w:r>
      <w:r w:rsidR="004851D7">
        <w:rPr>
          <w:color w:val="000000"/>
          <w:sz w:val="20"/>
        </w:rPr>
        <w:t>based on the fair value of the individual components</w:t>
      </w:r>
      <w:r w:rsidR="00BE2A62">
        <w:rPr>
          <w:color w:val="000000"/>
          <w:sz w:val="20"/>
        </w:rPr>
        <w:t xml:space="preserve"> based on standalone sales</w:t>
      </w:r>
      <w:r w:rsidR="004851D7">
        <w:rPr>
          <w:color w:val="000000"/>
          <w:sz w:val="20"/>
        </w:rPr>
        <w:t>.</w:t>
      </w:r>
    </w:p>
    <w:p w:rsidR="004851D7" w:rsidRDefault="004851D7">
      <w:pPr>
        <w:ind w:firstLine="720"/>
        <w:rPr>
          <w:color w:val="000000"/>
          <w:sz w:val="20"/>
        </w:rPr>
      </w:pPr>
    </w:p>
    <w:p w:rsidR="004851D7" w:rsidRDefault="004851D7">
      <w:pPr>
        <w:ind w:firstLine="720"/>
        <w:rPr>
          <w:color w:val="000000"/>
          <w:sz w:val="20"/>
        </w:rPr>
      </w:pPr>
      <w:r>
        <w:rPr>
          <w:color w:val="000000"/>
          <w:sz w:val="20"/>
        </w:rPr>
        <w:t>When a new version of Finale is released, dealers retain the right to return any unsold versions of the prior release (normally 10% of total prior year sales) in exchange for an equal number of units of the updated version of the product that is returned. The history of these returns is tracked and revenue is deferred based on the expected return rate until the new product is released, at which time the product may be returned for credit provided the customer places an equivalent (number of units) order for the new version.</w:t>
      </w:r>
    </w:p>
    <w:p w:rsidR="004851D7" w:rsidRDefault="004851D7">
      <w:pPr>
        <w:rPr>
          <w:color w:val="000000"/>
          <w:sz w:val="20"/>
        </w:rPr>
      </w:pPr>
    </w:p>
    <w:p w:rsidR="004851D7" w:rsidRDefault="004851D7">
      <w:pPr>
        <w:ind w:firstLine="720"/>
        <w:rPr>
          <w:color w:val="000000"/>
          <w:sz w:val="20"/>
        </w:rPr>
      </w:pPr>
      <w:r>
        <w:rPr>
          <w:color w:val="000000"/>
          <w:sz w:val="20"/>
        </w:rPr>
        <w:t xml:space="preserve">Shipping and handling charges are accounted for in accordance with ASC 605-45, </w:t>
      </w:r>
      <w:r>
        <w:rPr>
          <w:i/>
          <w:color w:val="000000"/>
          <w:sz w:val="20"/>
        </w:rPr>
        <w:t xml:space="preserve">Revenue Recognition – Principal Agent Considerations, </w:t>
      </w:r>
      <w:r>
        <w:rPr>
          <w:color w:val="000000"/>
          <w:sz w:val="20"/>
        </w:rPr>
        <w:t xml:space="preserve">(formerly EITF No. 00-10) with all charges to customers for shipping and handling included in revenues and all costs in cost of revenues. Net revenue for the years ended December 31, </w:t>
      </w:r>
      <w:r w:rsidR="002E7DC2">
        <w:rPr>
          <w:color w:val="000000"/>
          <w:sz w:val="20"/>
        </w:rPr>
        <w:t>2011</w:t>
      </w:r>
      <w:r>
        <w:rPr>
          <w:color w:val="000000"/>
          <w:sz w:val="20"/>
        </w:rPr>
        <w:t xml:space="preserve">, and </w:t>
      </w:r>
      <w:r w:rsidR="002E7DC2">
        <w:rPr>
          <w:color w:val="000000"/>
          <w:sz w:val="20"/>
        </w:rPr>
        <w:t xml:space="preserve">2010 </w:t>
      </w:r>
      <w:r w:rsidRPr="00163082">
        <w:rPr>
          <w:color w:val="000000"/>
          <w:sz w:val="20"/>
        </w:rPr>
        <w:t>includes $</w:t>
      </w:r>
      <w:r w:rsidR="00AC4FFC" w:rsidRPr="00F2275B">
        <w:rPr>
          <w:color w:val="000000"/>
          <w:sz w:val="20"/>
        </w:rPr>
        <w:t>528</w:t>
      </w:r>
      <w:r w:rsidRPr="00163082">
        <w:rPr>
          <w:color w:val="000000"/>
          <w:sz w:val="20"/>
        </w:rPr>
        <w:t>,000</w:t>
      </w:r>
      <w:r w:rsidRPr="00F2275B">
        <w:rPr>
          <w:color w:val="000000"/>
          <w:sz w:val="20"/>
        </w:rPr>
        <w:t xml:space="preserve"> and</w:t>
      </w:r>
      <w:r>
        <w:rPr>
          <w:color w:val="000000"/>
          <w:sz w:val="20"/>
        </w:rPr>
        <w:t xml:space="preserve"> $</w:t>
      </w:r>
      <w:r w:rsidR="002E7DC2">
        <w:rPr>
          <w:color w:val="000000"/>
          <w:sz w:val="20"/>
        </w:rPr>
        <w:t>746,000</w:t>
      </w:r>
      <w:r>
        <w:rPr>
          <w:color w:val="000000"/>
          <w:sz w:val="20"/>
        </w:rPr>
        <w:t xml:space="preserve"> of shipping and handling revenue, respectively. Cost of revenue for the years ended December 31, </w:t>
      </w:r>
      <w:r w:rsidR="002E7DC2">
        <w:rPr>
          <w:color w:val="000000"/>
          <w:sz w:val="20"/>
        </w:rPr>
        <w:t xml:space="preserve">2011 </w:t>
      </w:r>
      <w:r>
        <w:rPr>
          <w:color w:val="000000"/>
          <w:sz w:val="20"/>
        </w:rPr>
        <w:t xml:space="preserve">and </w:t>
      </w:r>
      <w:r w:rsidR="002E7DC2">
        <w:rPr>
          <w:color w:val="000000"/>
          <w:sz w:val="20"/>
        </w:rPr>
        <w:t xml:space="preserve">2010 </w:t>
      </w:r>
      <w:r w:rsidRPr="00163082">
        <w:rPr>
          <w:color w:val="000000"/>
          <w:sz w:val="20"/>
        </w:rPr>
        <w:t>includes $</w:t>
      </w:r>
      <w:r w:rsidR="00394A67">
        <w:rPr>
          <w:color w:val="000000"/>
          <w:sz w:val="20"/>
        </w:rPr>
        <w:t>348</w:t>
      </w:r>
      <w:r w:rsidRPr="00163082">
        <w:rPr>
          <w:color w:val="000000"/>
          <w:sz w:val="20"/>
        </w:rPr>
        <w:t>,000</w:t>
      </w:r>
      <w:r w:rsidRPr="00F2275B">
        <w:rPr>
          <w:color w:val="000000"/>
          <w:sz w:val="20"/>
        </w:rPr>
        <w:t xml:space="preserve"> and</w:t>
      </w:r>
      <w:r>
        <w:rPr>
          <w:color w:val="000000"/>
          <w:sz w:val="20"/>
        </w:rPr>
        <w:t xml:space="preserve"> $</w:t>
      </w:r>
      <w:r w:rsidR="002E7DC2">
        <w:rPr>
          <w:color w:val="000000"/>
          <w:sz w:val="20"/>
        </w:rPr>
        <w:t xml:space="preserve">444,000 </w:t>
      </w:r>
      <w:r>
        <w:rPr>
          <w:color w:val="000000"/>
          <w:sz w:val="20"/>
        </w:rPr>
        <w:t>of shipping expense, respectively.</w:t>
      </w:r>
    </w:p>
    <w:p w:rsidR="004851D7" w:rsidRDefault="004851D7">
      <w:pPr>
        <w:ind w:firstLine="720"/>
        <w:rPr>
          <w:color w:val="000000"/>
          <w:sz w:val="20"/>
        </w:rPr>
      </w:pPr>
    </w:p>
    <w:p w:rsidR="004851D7" w:rsidRDefault="004851D7">
      <w:pPr>
        <w:ind w:firstLine="720"/>
        <w:rPr>
          <w:color w:val="000000"/>
          <w:sz w:val="20"/>
        </w:rPr>
      </w:pPr>
      <w:r>
        <w:rPr>
          <w:color w:val="000000"/>
          <w:sz w:val="20"/>
        </w:rPr>
        <w:t>We record revenue net of any sales tax, use tax and value added tax. Sales taxes collected from our customers are included in accounts payable until remitted to the appropriate taxing jurisdiction.</w:t>
      </w:r>
    </w:p>
    <w:p w:rsidR="004851D7" w:rsidRDefault="004851D7">
      <w:pPr>
        <w:ind w:firstLine="720"/>
        <w:rPr>
          <w:color w:val="000000"/>
          <w:sz w:val="20"/>
        </w:rPr>
      </w:pPr>
    </w:p>
    <w:p w:rsidR="004851D7" w:rsidRDefault="004851D7">
      <w:pPr>
        <w:rPr>
          <w:b/>
          <w:bCs/>
          <w:color w:val="000000"/>
          <w:sz w:val="20"/>
        </w:rPr>
      </w:pPr>
      <w:r w:rsidRPr="003D027F">
        <w:rPr>
          <w:b/>
          <w:bCs/>
          <w:color w:val="000000"/>
          <w:sz w:val="20"/>
        </w:rPr>
        <w:t xml:space="preserve">Net Income </w:t>
      </w:r>
      <w:proofErr w:type="gramStart"/>
      <w:r w:rsidRPr="003D027F">
        <w:rPr>
          <w:b/>
          <w:bCs/>
          <w:color w:val="000000"/>
          <w:sz w:val="20"/>
        </w:rPr>
        <w:t>Per</w:t>
      </w:r>
      <w:proofErr w:type="gramEnd"/>
      <w:r w:rsidRPr="003D027F">
        <w:rPr>
          <w:b/>
          <w:bCs/>
          <w:color w:val="000000"/>
          <w:sz w:val="20"/>
        </w:rPr>
        <w:t xml:space="preserve"> Common Share</w:t>
      </w:r>
    </w:p>
    <w:p w:rsidR="004851D7" w:rsidRDefault="004851D7">
      <w:pPr>
        <w:rPr>
          <w:color w:val="000000"/>
          <w:sz w:val="20"/>
        </w:rPr>
      </w:pPr>
      <w:r>
        <w:rPr>
          <w:color w:val="000000"/>
          <w:sz w:val="20"/>
        </w:rPr>
        <w:tab/>
      </w:r>
    </w:p>
    <w:p w:rsidR="004851D7" w:rsidRDefault="004851D7">
      <w:pPr>
        <w:ind w:firstLine="720"/>
        <w:rPr>
          <w:color w:val="000000"/>
          <w:sz w:val="20"/>
        </w:rPr>
      </w:pPr>
      <w:r>
        <w:rPr>
          <w:color w:val="000000"/>
          <w:sz w:val="20"/>
        </w:rPr>
        <w:t xml:space="preserve">For years ended December 31, </w:t>
      </w:r>
      <w:r w:rsidR="002E7DC2">
        <w:rPr>
          <w:color w:val="000000"/>
          <w:sz w:val="20"/>
        </w:rPr>
        <w:t>2011</w:t>
      </w:r>
      <w:r>
        <w:rPr>
          <w:color w:val="000000"/>
          <w:sz w:val="20"/>
        </w:rPr>
        <w:t xml:space="preserve">, and </w:t>
      </w:r>
      <w:r w:rsidR="002E7DC2">
        <w:rPr>
          <w:color w:val="000000"/>
          <w:sz w:val="20"/>
        </w:rPr>
        <w:t xml:space="preserve">2010 </w:t>
      </w:r>
      <w:r>
        <w:rPr>
          <w:color w:val="000000"/>
          <w:sz w:val="20"/>
        </w:rPr>
        <w:t xml:space="preserve">diluted net income per common share was computed by dividing net income by the weighted average number of common shares outstanding during the year, including potentially dilutive shares such as options and warrants to purchase shares of common stock at various amounts per share (Note 5). The dilutive effect of the additional shares for the years ended December 31, </w:t>
      </w:r>
      <w:r w:rsidR="002E7DC2">
        <w:rPr>
          <w:color w:val="000000"/>
          <w:sz w:val="20"/>
        </w:rPr>
        <w:t xml:space="preserve">2011 </w:t>
      </w:r>
      <w:r>
        <w:rPr>
          <w:color w:val="000000"/>
          <w:sz w:val="20"/>
        </w:rPr>
        <w:t xml:space="preserve">and </w:t>
      </w:r>
      <w:r w:rsidR="002E7DC2">
        <w:rPr>
          <w:color w:val="000000"/>
          <w:sz w:val="20"/>
        </w:rPr>
        <w:t xml:space="preserve">2010 </w:t>
      </w:r>
      <w:r>
        <w:rPr>
          <w:color w:val="000000"/>
          <w:sz w:val="20"/>
        </w:rPr>
        <w:t xml:space="preserve">was to increase the weighted average common shares outstanding </w:t>
      </w:r>
      <w:r w:rsidRPr="003D027F">
        <w:rPr>
          <w:color w:val="000000"/>
          <w:sz w:val="20"/>
        </w:rPr>
        <w:t xml:space="preserve">by </w:t>
      </w:r>
      <w:r w:rsidR="003D027F">
        <w:rPr>
          <w:color w:val="000000"/>
          <w:sz w:val="20"/>
        </w:rPr>
        <w:t xml:space="preserve">20,635 </w:t>
      </w:r>
      <w:r>
        <w:rPr>
          <w:color w:val="000000"/>
          <w:sz w:val="20"/>
        </w:rPr>
        <w:t xml:space="preserve">and </w:t>
      </w:r>
      <w:r w:rsidR="002E7DC2">
        <w:rPr>
          <w:color w:val="000000"/>
          <w:sz w:val="20"/>
        </w:rPr>
        <w:t>78,409</w:t>
      </w:r>
      <w:r>
        <w:rPr>
          <w:color w:val="000000"/>
          <w:sz w:val="20"/>
        </w:rPr>
        <w:t xml:space="preserve"> respectively.</w:t>
      </w:r>
    </w:p>
    <w:p w:rsidR="004851D7" w:rsidRDefault="004851D7">
      <w:pPr>
        <w:rPr>
          <w:color w:val="000000"/>
          <w:sz w:val="20"/>
        </w:rPr>
      </w:pPr>
    </w:p>
    <w:p w:rsidR="004851D7" w:rsidRDefault="004851D7">
      <w:pPr>
        <w:rPr>
          <w:b/>
          <w:bCs/>
          <w:color w:val="000000"/>
          <w:sz w:val="20"/>
        </w:rPr>
      </w:pPr>
    </w:p>
    <w:p w:rsidR="004851D7" w:rsidRDefault="004851D7">
      <w:pPr>
        <w:rPr>
          <w:b/>
          <w:bCs/>
          <w:color w:val="000000"/>
          <w:sz w:val="20"/>
        </w:rPr>
      </w:pPr>
    </w:p>
    <w:p w:rsidR="004851D7" w:rsidRDefault="004851D7">
      <w:pPr>
        <w:rPr>
          <w:b/>
          <w:bCs/>
          <w:color w:val="000000"/>
          <w:sz w:val="20"/>
        </w:rPr>
      </w:pPr>
    </w:p>
    <w:p w:rsidR="004851D7" w:rsidRDefault="004851D7">
      <w:pPr>
        <w:rPr>
          <w:b/>
          <w:bCs/>
          <w:color w:val="000000"/>
          <w:sz w:val="20"/>
        </w:rPr>
      </w:pPr>
    </w:p>
    <w:p w:rsidR="004851D7" w:rsidRDefault="004851D7">
      <w:pPr>
        <w:rPr>
          <w:b/>
          <w:bCs/>
          <w:color w:val="000000"/>
          <w:sz w:val="20"/>
        </w:rPr>
      </w:pPr>
    </w:p>
    <w:p w:rsidR="004851D7" w:rsidRDefault="004851D7">
      <w:pPr>
        <w:rPr>
          <w:b/>
          <w:bCs/>
          <w:color w:val="000000"/>
          <w:sz w:val="20"/>
        </w:rPr>
      </w:pPr>
      <w:r>
        <w:rPr>
          <w:b/>
          <w:bCs/>
          <w:color w:val="000000"/>
          <w:sz w:val="20"/>
        </w:rPr>
        <w:t>2.  Summary of Significant Accounting Policies (Continued)</w:t>
      </w:r>
    </w:p>
    <w:p w:rsidR="004851D7" w:rsidRDefault="004851D7">
      <w:pPr>
        <w:rPr>
          <w:b/>
          <w:bCs/>
          <w:color w:val="000000"/>
          <w:sz w:val="20"/>
        </w:rPr>
      </w:pPr>
    </w:p>
    <w:p w:rsidR="004851D7" w:rsidRDefault="004851D7">
      <w:pPr>
        <w:rPr>
          <w:b/>
          <w:bCs/>
          <w:color w:val="000000"/>
          <w:sz w:val="20"/>
        </w:rPr>
      </w:pPr>
      <w:r>
        <w:rPr>
          <w:b/>
          <w:bCs/>
          <w:color w:val="000000"/>
          <w:sz w:val="20"/>
        </w:rPr>
        <w:t>Fair Value of Financial Instruments</w:t>
      </w:r>
    </w:p>
    <w:p w:rsidR="004851D7" w:rsidRDefault="004851D7">
      <w:pPr>
        <w:rPr>
          <w:color w:val="000000"/>
          <w:sz w:val="20"/>
        </w:rPr>
      </w:pPr>
    </w:p>
    <w:p w:rsidR="004851D7" w:rsidRDefault="004851D7">
      <w:pPr>
        <w:ind w:firstLine="720"/>
        <w:rPr>
          <w:color w:val="000000"/>
          <w:sz w:val="20"/>
        </w:rPr>
      </w:pPr>
      <w:r>
        <w:rPr>
          <w:color w:val="000000"/>
          <w:sz w:val="20"/>
        </w:rPr>
        <w:t xml:space="preserve">At December 31, </w:t>
      </w:r>
      <w:r w:rsidR="008F6D47">
        <w:rPr>
          <w:color w:val="000000"/>
          <w:sz w:val="20"/>
        </w:rPr>
        <w:t>2011</w:t>
      </w:r>
      <w:r>
        <w:rPr>
          <w:color w:val="000000"/>
          <w:sz w:val="20"/>
        </w:rPr>
        <w:t xml:space="preserve">, and </w:t>
      </w:r>
      <w:r w:rsidR="008F6D47">
        <w:rPr>
          <w:color w:val="000000"/>
          <w:sz w:val="20"/>
        </w:rPr>
        <w:t xml:space="preserve">2010 </w:t>
      </w:r>
      <w:r>
        <w:rPr>
          <w:color w:val="000000"/>
          <w:sz w:val="20"/>
        </w:rPr>
        <w:t>the carrying values of financial instruments such as cash and cash equivalents, accounts receivable, and accounts payable approximated their market values based on the short-term maturities of these instruments.</w:t>
      </w:r>
    </w:p>
    <w:p w:rsidR="004851D7" w:rsidRDefault="004851D7">
      <w:pPr>
        <w:rPr>
          <w:color w:val="000000"/>
          <w:sz w:val="20"/>
        </w:rPr>
      </w:pPr>
    </w:p>
    <w:p w:rsidR="004851D7" w:rsidRDefault="004851D7">
      <w:pPr>
        <w:rPr>
          <w:b/>
          <w:bCs/>
          <w:color w:val="000000"/>
          <w:sz w:val="20"/>
        </w:rPr>
      </w:pPr>
    </w:p>
    <w:p w:rsidR="004851D7" w:rsidRDefault="004851D7">
      <w:pPr>
        <w:rPr>
          <w:b/>
          <w:bCs/>
          <w:color w:val="000000"/>
          <w:sz w:val="20"/>
        </w:rPr>
      </w:pPr>
      <w:r>
        <w:rPr>
          <w:b/>
          <w:bCs/>
          <w:color w:val="000000"/>
          <w:sz w:val="20"/>
        </w:rPr>
        <w:t>Cash and Cash Equivalents</w:t>
      </w:r>
    </w:p>
    <w:p w:rsidR="004851D7" w:rsidRDefault="004851D7">
      <w:pPr>
        <w:rPr>
          <w:color w:val="000000"/>
          <w:sz w:val="20"/>
        </w:rPr>
      </w:pPr>
    </w:p>
    <w:p w:rsidR="004851D7" w:rsidRDefault="004851D7">
      <w:pPr>
        <w:ind w:firstLine="720"/>
        <w:rPr>
          <w:color w:val="000000"/>
          <w:sz w:val="20"/>
        </w:rPr>
      </w:pPr>
      <w:r>
        <w:rPr>
          <w:color w:val="000000"/>
          <w:sz w:val="20"/>
        </w:rPr>
        <w:t xml:space="preserve">Cash equivalents consist of money market instruments with original maturities of 90 days or less. Cash equivalents are recorded at cost, which approximates fair value. Cash balances at December 31, </w:t>
      </w:r>
      <w:r w:rsidR="008F6D47">
        <w:rPr>
          <w:color w:val="000000"/>
          <w:sz w:val="20"/>
        </w:rPr>
        <w:t xml:space="preserve">2011 </w:t>
      </w:r>
      <w:r>
        <w:rPr>
          <w:color w:val="000000"/>
          <w:sz w:val="20"/>
        </w:rPr>
        <w:t xml:space="preserve">and </w:t>
      </w:r>
      <w:r w:rsidR="008F6D47">
        <w:rPr>
          <w:color w:val="000000"/>
          <w:sz w:val="20"/>
        </w:rPr>
        <w:t xml:space="preserve">2010 </w:t>
      </w:r>
      <w:r>
        <w:rPr>
          <w:color w:val="000000"/>
          <w:sz w:val="20"/>
        </w:rPr>
        <w:t>exceed FDIC insurance limits. The Company has not experienced any losses in such accounts.</w:t>
      </w:r>
    </w:p>
    <w:p w:rsidR="004851D7" w:rsidRDefault="004851D7">
      <w:pPr>
        <w:rPr>
          <w:color w:val="000000"/>
          <w:sz w:val="20"/>
        </w:rPr>
      </w:pPr>
    </w:p>
    <w:p w:rsidR="004851D7" w:rsidRDefault="004851D7">
      <w:pPr>
        <w:rPr>
          <w:b/>
          <w:bCs/>
          <w:color w:val="000000"/>
          <w:sz w:val="20"/>
        </w:rPr>
      </w:pPr>
      <w:r>
        <w:rPr>
          <w:b/>
          <w:bCs/>
          <w:color w:val="000000"/>
          <w:sz w:val="20"/>
        </w:rPr>
        <w:t>Accounts Receivable</w:t>
      </w:r>
    </w:p>
    <w:p w:rsidR="004851D7" w:rsidRDefault="004851D7">
      <w:pPr>
        <w:rPr>
          <w:color w:val="000000"/>
          <w:sz w:val="20"/>
        </w:rPr>
      </w:pPr>
    </w:p>
    <w:p w:rsidR="004851D7" w:rsidRDefault="004851D7">
      <w:pPr>
        <w:ind w:firstLine="720"/>
        <w:rPr>
          <w:color w:val="000000"/>
          <w:sz w:val="20"/>
        </w:rPr>
      </w:pPr>
      <w:r>
        <w:rPr>
          <w:color w:val="000000"/>
          <w:sz w:val="20"/>
        </w:rPr>
        <w:t>Accounts receivable are recorded for all credit sales at the time the products are shipped to the customers. Credit terms for dealers and distributors are generally net 30 days and are granted on the basis of credit references and payment history. Certain large volume dealers and distributors are granted payment terms of greater than 30 days. Schools submit purchase orders for shipments with payment due in 30 days. Sales to individuals are paid prior to shipment with a credit card or prepayment with the order. Payments not received within the agreed-upon terms are considered past due.</w:t>
      </w:r>
    </w:p>
    <w:p w:rsidR="004851D7" w:rsidRDefault="004851D7">
      <w:pPr>
        <w:rPr>
          <w:color w:val="000000"/>
          <w:sz w:val="20"/>
        </w:rPr>
      </w:pPr>
    </w:p>
    <w:p w:rsidR="004851D7" w:rsidRDefault="004851D7">
      <w:pPr>
        <w:ind w:firstLine="720"/>
        <w:rPr>
          <w:color w:val="000000"/>
          <w:sz w:val="20"/>
        </w:rPr>
      </w:pPr>
      <w:r>
        <w:rPr>
          <w:color w:val="000000"/>
          <w:sz w:val="20"/>
        </w:rPr>
        <w:t xml:space="preserve">The Company maintains an allowance for doubtful accounts based on bad debt history and analysis of specific past due accounts. Analysis of the customers’ ability to pay includes contact through statements, e-mail, and telephone as well as consideration of the customers’ payment history. If the analysis indicates any customers are unlikely to pay, the accounts are written off against the allowance for doubtful accounts, and if significant, sent to collections. </w:t>
      </w:r>
    </w:p>
    <w:p w:rsidR="004851D7" w:rsidRDefault="004851D7">
      <w:pPr>
        <w:rPr>
          <w:color w:val="000000"/>
          <w:sz w:val="20"/>
        </w:rPr>
      </w:pPr>
    </w:p>
    <w:p w:rsidR="004851D7" w:rsidRDefault="004851D7">
      <w:pPr>
        <w:rPr>
          <w:b/>
          <w:bCs/>
          <w:color w:val="000000"/>
          <w:sz w:val="20"/>
        </w:rPr>
      </w:pPr>
      <w:r w:rsidRPr="000D48D6">
        <w:rPr>
          <w:b/>
          <w:bCs/>
          <w:color w:val="000000"/>
          <w:sz w:val="20"/>
        </w:rPr>
        <w:t>Inventories</w:t>
      </w:r>
    </w:p>
    <w:p w:rsidR="004851D7" w:rsidRDefault="004851D7">
      <w:pPr>
        <w:rPr>
          <w:color w:val="000000"/>
          <w:sz w:val="20"/>
        </w:rPr>
      </w:pPr>
    </w:p>
    <w:p w:rsidR="004851D7" w:rsidRDefault="004851D7">
      <w:pPr>
        <w:ind w:firstLine="720"/>
        <w:rPr>
          <w:color w:val="000000"/>
          <w:sz w:val="20"/>
        </w:rPr>
      </w:pPr>
      <w:r>
        <w:rPr>
          <w:color w:val="000000"/>
          <w:sz w:val="20"/>
        </w:rPr>
        <w:t>Inventories are stated at the lower of weighted average cost or market, using the first-in first-out (FIFO) method, and consist of finished products and components, net of a reserve for obsolescence.</w:t>
      </w:r>
      <w:r>
        <w:rPr>
          <w:color w:val="3366FF"/>
          <w:sz w:val="20"/>
        </w:rPr>
        <w:t xml:space="preserve"> </w:t>
      </w:r>
      <w:r>
        <w:rPr>
          <w:color w:val="000000"/>
          <w:sz w:val="20"/>
          <w:szCs w:val="20"/>
        </w:rPr>
        <w:t>An analysis of obsolescence reserves is conducted quarterly.</w:t>
      </w:r>
    </w:p>
    <w:p w:rsidR="004851D7" w:rsidRDefault="004851D7">
      <w:pPr>
        <w:rPr>
          <w:b/>
          <w:bCs/>
          <w:color w:val="000000"/>
          <w:sz w:val="20"/>
        </w:rPr>
      </w:pPr>
    </w:p>
    <w:p w:rsidR="004851D7" w:rsidRDefault="004851D7">
      <w:pPr>
        <w:rPr>
          <w:b/>
          <w:bCs/>
          <w:color w:val="000000"/>
          <w:sz w:val="20"/>
        </w:rPr>
      </w:pPr>
      <w:r>
        <w:rPr>
          <w:b/>
          <w:bCs/>
          <w:color w:val="000000"/>
          <w:sz w:val="20"/>
        </w:rPr>
        <w:t>Property and Equipment</w:t>
      </w:r>
    </w:p>
    <w:p w:rsidR="004851D7" w:rsidRDefault="004851D7">
      <w:pPr>
        <w:rPr>
          <w:color w:val="000000"/>
          <w:sz w:val="20"/>
        </w:rPr>
      </w:pPr>
    </w:p>
    <w:p w:rsidR="004851D7" w:rsidRDefault="004851D7">
      <w:pPr>
        <w:ind w:firstLine="720"/>
        <w:rPr>
          <w:color w:val="000000"/>
          <w:sz w:val="20"/>
        </w:rPr>
      </w:pPr>
      <w:r>
        <w:rPr>
          <w:color w:val="000000"/>
          <w:sz w:val="20"/>
        </w:rPr>
        <w:t>Property and equipment are stated at their acquisition costs net of accumulated depreciation. Depreciation is computed by using the straight-line method over the estimated useful lives of the purchased software (three years), computer equipment (three years), and furniture (five years).</w:t>
      </w:r>
    </w:p>
    <w:p w:rsidR="004851D7" w:rsidRDefault="004851D7">
      <w:pPr>
        <w:rPr>
          <w:color w:val="000000"/>
          <w:sz w:val="20"/>
        </w:rPr>
      </w:pPr>
    </w:p>
    <w:p w:rsidR="004851D7" w:rsidRDefault="004851D7">
      <w:pPr>
        <w:ind w:firstLine="720"/>
        <w:rPr>
          <w:color w:val="000000"/>
          <w:sz w:val="20"/>
        </w:rPr>
      </w:pPr>
      <w:r>
        <w:rPr>
          <w:color w:val="000000"/>
          <w:sz w:val="20"/>
        </w:rPr>
        <w:t>Property and equipment held under capital leases are capitalized and depreciated over the useful lives of the assets, in case of a contractual option to buy, or over the residual lives of the lease contracts.</w:t>
      </w:r>
    </w:p>
    <w:p w:rsidR="004851D7" w:rsidRDefault="004851D7">
      <w:pPr>
        <w:rPr>
          <w:color w:val="000000"/>
          <w:sz w:val="20"/>
        </w:rPr>
      </w:pPr>
    </w:p>
    <w:p w:rsidR="004851D7" w:rsidRDefault="004851D7">
      <w:pPr>
        <w:rPr>
          <w:b/>
          <w:bCs/>
          <w:color w:val="000000"/>
          <w:sz w:val="20"/>
        </w:rPr>
      </w:pPr>
      <w:r>
        <w:rPr>
          <w:b/>
          <w:bCs/>
          <w:color w:val="000000"/>
          <w:sz w:val="20"/>
        </w:rPr>
        <w:t>Capitalized Software Products</w:t>
      </w:r>
    </w:p>
    <w:p w:rsidR="004851D7" w:rsidRDefault="004851D7">
      <w:pPr>
        <w:rPr>
          <w:color w:val="000000"/>
          <w:sz w:val="20"/>
        </w:rPr>
      </w:pPr>
    </w:p>
    <w:p w:rsidR="004851D7" w:rsidRDefault="004851D7">
      <w:pPr>
        <w:rPr>
          <w:color w:val="000000"/>
          <w:sz w:val="20"/>
        </w:rPr>
      </w:pPr>
      <w:r>
        <w:rPr>
          <w:color w:val="000000"/>
          <w:sz w:val="20"/>
        </w:rPr>
        <w:tab/>
        <w:t>Capitalized software products consist of expenditures to develop software products for sale, including repertoire software.</w:t>
      </w:r>
    </w:p>
    <w:p w:rsidR="004851D7" w:rsidRDefault="004851D7">
      <w:pPr>
        <w:rPr>
          <w:color w:val="000000"/>
          <w:sz w:val="20"/>
        </w:rPr>
      </w:pPr>
      <w:r>
        <w:rPr>
          <w:color w:val="000000"/>
          <w:sz w:val="20"/>
        </w:rPr>
        <w:t xml:space="preserve">   </w:t>
      </w:r>
    </w:p>
    <w:p w:rsidR="004851D7" w:rsidRDefault="004851D7">
      <w:pPr>
        <w:rPr>
          <w:b/>
          <w:bCs/>
          <w:color w:val="000000"/>
          <w:sz w:val="20"/>
        </w:rPr>
      </w:pPr>
    </w:p>
    <w:p w:rsidR="004851D7" w:rsidRDefault="004851D7">
      <w:pPr>
        <w:rPr>
          <w:b/>
          <w:bCs/>
          <w:color w:val="000000"/>
          <w:sz w:val="20"/>
        </w:rPr>
      </w:pPr>
    </w:p>
    <w:p w:rsidR="004851D7" w:rsidRDefault="004851D7">
      <w:pPr>
        <w:rPr>
          <w:b/>
          <w:bCs/>
          <w:color w:val="000000"/>
          <w:sz w:val="20"/>
        </w:rPr>
      </w:pPr>
    </w:p>
    <w:p w:rsidR="00095858" w:rsidRDefault="00095858">
      <w:pPr>
        <w:rPr>
          <w:b/>
          <w:bCs/>
          <w:color w:val="000000"/>
          <w:sz w:val="20"/>
        </w:rPr>
      </w:pPr>
    </w:p>
    <w:p w:rsidR="00095858" w:rsidRDefault="00095858">
      <w:pPr>
        <w:rPr>
          <w:b/>
          <w:bCs/>
          <w:color w:val="000000"/>
          <w:sz w:val="20"/>
        </w:rPr>
      </w:pPr>
    </w:p>
    <w:p w:rsidR="00095858" w:rsidRDefault="00095858">
      <w:pPr>
        <w:rPr>
          <w:b/>
          <w:bCs/>
          <w:color w:val="000000"/>
          <w:sz w:val="20"/>
        </w:rPr>
      </w:pPr>
    </w:p>
    <w:p w:rsidR="004851D7" w:rsidRDefault="004851D7">
      <w:pPr>
        <w:rPr>
          <w:b/>
          <w:bCs/>
          <w:color w:val="000000"/>
          <w:sz w:val="20"/>
        </w:rPr>
      </w:pPr>
      <w:r>
        <w:rPr>
          <w:b/>
          <w:bCs/>
          <w:color w:val="000000"/>
          <w:sz w:val="20"/>
        </w:rPr>
        <w:t>2.  Summary of Significant Accounting Policies (Continued)</w:t>
      </w:r>
    </w:p>
    <w:p w:rsidR="004851D7" w:rsidRDefault="004851D7">
      <w:pPr>
        <w:rPr>
          <w:b/>
          <w:bCs/>
          <w:color w:val="000000"/>
          <w:sz w:val="20"/>
        </w:rPr>
      </w:pPr>
    </w:p>
    <w:p w:rsidR="004851D7" w:rsidRDefault="004851D7">
      <w:pPr>
        <w:rPr>
          <w:b/>
          <w:bCs/>
          <w:color w:val="000000"/>
          <w:sz w:val="20"/>
        </w:rPr>
      </w:pPr>
      <w:r>
        <w:rPr>
          <w:b/>
          <w:bCs/>
          <w:color w:val="000000"/>
          <w:sz w:val="20"/>
        </w:rPr>
        <w:t xml:space="preserve">Product development </w:t>
      </w:r>
    </w:p>
    <w:p w:rsidR="004851D7" w:rsidRDefault="004851D7">
      <w:pPr>
        <w:rPr>
          <w:b/>
          <w:bCs/>
          <w:color w:val="000000"/>
          <w:sz w:val="20"/>
        </w:rPr>
      </w:pPr>
    </w:p>
    <w:p w:rsidR="004851D7" w:rsidRDefault="004851D7">
      <w:pPr>
        <w:ind w:firstLine="720"/>
        <w:rPr>
          <w:color w:val="000000"/>
          <w:sz w:val="20"/>
        </w:rPr>
      </w:pPr>
      <w:r>
        <w:rPr>
          <w:color w:val="000000"/>
          <w:sz w:val="20"/>
        </w:rPr>
        <w:t xml:space="preserve">Costs incurred in the development of software products are capitalized in accordance with ASC 985-20, </w:t>
      </w:r>
      <w:r>
        <w:rPr>
          <w:i/>
          <w:color w:val="000000"/>
          <w:sz w:val="20"/>
        </w:rPr>
        <w:t>Software – Costs of Software to be Sold, Leased or Marketed</w:t>
      </w:r>
      <w:r>
        <w:rPr>
          <w:color w:val="000000"/>
          <w:sz w:val="20"/>
        </w:rPr>
        <w:t>.</w:t>
      </w:r>
      <w:r w:rsidR="008A7E05">
        <w:rPr>
          <w:color w:val="000000"/>
          <w:sz w:val="20"/>
        </w:rPr>
        <w:t xml:space="preserve"> The Company evaluates the unamortized capitalized costs compared to the estimated net realizable value of the product to determine if the capitalized costs are recoverable.</w:t>
      </w:r>
      <w:r w:rsidR="00AB0244">
        <w:rPr>
          <w:color w:val="000000"/>
          <w:sz w:val="20"/>
        </w:rPr>
        <w:t xml:space="preserve"> Costs incurred on notation products relating to the annual development of upgrades </w:t>
      </w:r>
      <w:r w:rsidR="00201810">
        <w:rPr>
          <w:color w:val="000000"/>
          <w:sz w:val="20"/>
        </w:rPr>
        <w:t>are</w:t>
      </w:r>
      <w:r w:rsidR="00AB0244">
        <w:rPr>
          <w:color w:val="000000"/>
          <w:sz w:val="20"/>
        </w:rPr>
        <w:t xml:space="preserve"> expensed as incurred.</w:t>
      </w:r>
      <w:r>
        <w:rPr>
          <w:color w:val="000000"/>
          <w:sz w:val="20"/>
        </w:rPr>
        <w:t xml:space="preserve"> </w:t>
      </w:r>
    </w:p>
    <w:p w:rsidR="004851D7" w:rsidRDefault="004851D7">
      <w:pPr>
        <w:rPr>
          <w:color w:val="000000"/>
          <w:sz w:val="20"/>
        </w:rPr>
      </w:pPr>
    </w:p>
    <w:p w:rsidR="004851D7" w:rsidRDefault="004851D7">
      <w:pPr>
        <w:ind w:firstLine="720"/>
        <w:rPr>
          <w:color w:val="000000"/>
          <w:sz w:val="20"/>
        </w:rPr>
      </w:pPr>
      <w:r>
        <w:rPr>
          <w:color w:val="000000"/>
          <w:sz w:val="20"/>
        </w:rPr>
        <w:t xml:space="preserve">Costs capitalized in accordance with ASC 985-20 for the development of </w:t>
      </w:r>
      <w:proofErr w:type="spellStart"/>
      <w:r>
        <w:rPr>
          <w:color w:val="000000"/>
          <w:sz w:val="20"/>
        </w:rPr>
        <w:t>SmartMusic</w:t>
      </w:r>
      <w:proofErr w:type="spellEnd"/>
      <w:r>
        <w:rPr>
          <w:color w:val="000000"/>
          <w:sz w:val="20"/>
        </w:rPr>
        <w:t xml:space="preserve"> </w:t>
      </w:r>
      <w:proofErr w:type="spellStart"/>
      <w:r>
        <w:rPr>
          <w:color w:val="000000"/>
          <w:sz w:val="20"/>
        </w:rPr>
        <w:t>Gradebook</w:t>
      </w:r>
      <w:proofErr w:type="spellEnd"/>
      <w:r>
        <w:rPr>
          <w:color w:val="000000"/>
          <w:sz w:val="20"/>
        </w:rPr>
        <w:t xml:space="preserve"> application as of December 31, </w:t>
      </w:r>
      <w:r w:rsidR="008F6D47">
        <w:rPr>
          <w:color w:val="000000"/>
          <w:sz w:val="20"/>
        </w:rPr>
        <w:t xml:space="preserve">2011 </w:t>
      </w:r>
      <w:r>
        <w:rPr>
          <w:color w:val="000000"/>
          <w:sz w:val="20"/>
        </w:rPr>
        <w:t xml:space="preserve">and </w:t>
      </w:r>
      <w:r w:rsidR="008F6D47">
        <w:rPr>
          <w:color w:val="000000"/>
          <w:sz w:val="20"/>
        </w:rPr>
        <w:t>2010</w:t>
      </w:r>
      <w:r>
        <w:rPr>
          <w:color w:val="000000"/>
          <w:sz w:val="20"/>
        </w:rPr>
        <w:t>, net of amortization and reserves were $</w:t>
      </w:r>
      <w:r w:rsidR="00380840">
        <w:rPr>
          <w:color w:val="000000"/>
          <w:sz w:val="20"/>
        </w:rPr>
        <w:t>25</w:t>
      </w:r>
      <w:r>
        <w:rPr>
          <w:color w:val="000000"/>
          <w:sz w:val="20"/>
        </w:rPr>
        <w:t>,000 and $</w:t>
      </w:r>
      <w:r w:rsidR="008F6D47">
        <w:rPr>
          <w:color w:val="000000"/>
          <w:sz w:val="20"/>
        </w:rPr>
        <w:t>128</w:t>
      </w:r>
      <w:r>
        <w:rPr>
          <w:color w:val="000000"/>
          <w:sz w:val="20"/>
        </w:rPr>
        <w:t xml:space="preserve">,000 respectively. The capitalized amount represents costs of developing the </w:t>
      </w:r>
      <w:proofErr w:type="spellStart"/>
      <w:r>
        <w:rPr>
          <w:color w:val="000000"/>
          <w:sz w:val="20"/>
        </w:rPr>
        <w:t>SmartMusic</w:t>
      </w:r>
      <w:proofErr w:type="spellEnd"/>
      <w:r>
        <w:rPr>
          <w:color w:val="000000"/>
          <w:sz w:val="20"/>
        </w:rPr>
        <w:t xml:space="preserve"> </w:t>
      </w:r>
      <w:proofErr w:type="spellStart"/>
      <w:r>
        <w:rPr>
          <w:color w:val="000000"/>
          <w:sz w:val="20"/>
        </w:rPr>
        <w:t>Gradebook</w:t>
      </w:r>
      <w:proofErr w:type="spellEnd"/>
      <w:r>
        <w:rPr>
          <w:color w:val="000000"/>
          <w:sz w:val="20"/>
        </w:rPr>
        <w:t xml:space="preserve"> interface to the </w:t>
      </w:r>
      <w:proofErr w:type="spellStart"/>
      <w:r>
        <w:rPr>
          <w:color w:val="000000"/>
          <w:sz w:val="20"/>
        </w:rPr>
        <w:t>SmartMusic</w:t>
      </w:r>
      <w:proofErr w:type="spellEnd"/>
      <w:r>
        <w:rPr>
          <w:color w:val="000000"/>
          <w:sz w:val="20"/>
        </w:rPr>
        <w:t xml:space="preserve"> application as technological feasibility had been established through the successful selling of the core </w:t>
      </w:r>
      <w:proofErr w:type="spellStart"/>
      <w:r>
        <w:rPr>
          <w:color w:val="000000"/>
          <w:sz w:val="20"/>
        </w:rPr>
        <w:t>SmartMusic</w:t>
      </w:r>
      <w:proofErr w:type="spellEnd"/>
      <w:r>
        <w:rPr>
          <w:color w:val="000000"/>
          <w:sz w:val="20"/>
        </w:rPr>
        <w:t xml:space="preserve"> application. The capitalized costs are being amortized over a five-year period. </w:t>
      </w:r>
      <w:r w:rsidR="008A7E05">
        <w:rPr>
          <w:color w:val="000000"/>
          <w:sz w:val="20"/>
        </w:rPr>
        <w:t>The Company evaluates the unamortized capitalized costs compared to the estimated net realizable value of the product to determine if the capitalized costs are recoverable.</w:t>
      </w:r>
      <w:r>
        <w:rPr>
          <w:color w:val="000000"/>
          <w:sz w:val="20"/>
        </w:rPr>
        <w:t xml:space="preserve">   </w:t>
      </w:r>
    </w:p>
    <w:p w:rsidR="004851D7" w:rsidRDefault="004851D7">
      <w:pPr>
        <w:ind w:firstLine="720"/>
        <w:rPr>
          <w:color w:val="000000"/>
          <w:sz w:val="20"/>
        </w:rPr>
      </w:pPr>
    </w:p>
    <w:p w:rsidR="004851D7" w:rsidRDefault="004851D7">
      <w:pPr>
        <w:rPr>
          <w:color w:val="000000"/>
          <w:sz w:val="20"/>
        </w:rPr>
      </w:pPr>
      <w:r>
        <w:rPr>
          <w:color w:val="000000"/>
          <w:sz w:val="20"/>
        </w:rPr>
        <w:tab/>
        <w:t xml:space="preserve">As of December 31, </w:t>
      </w:r>
      <w:r w:rsidR="008F6D47">
        <w:rPr>
          <w:color w:val="000000"/>
          <w:sz w:val="20"/>
        </w:rPr>
        <w:t>2011</w:t>
      </w:r>
      <w:r>
        <w:rPr>
          <w:color w:val="000000"/>
          <w:sz w:val="20"/>
        </w:rPr>
        <w:t xml:space="preserve">, and </w:t>
      </w:r>
      <w:r w:rsidR="008F6D47">
        <w:rPr>
          <w:color w:val="000000"/>
          <w:sz w:val="20"/>
        </w:rPr>
        <w:t>2010</w:t>
      </w:r>
      <w:r>
        <w:rPr>
          <w:color w:val="000000"/>
          <w:sz w:val="20"/>
        </w:rPr>
        <w:t>, costs capitalized for the development of repertoire software, net of amortization and reserves, were $</w:t>
      </w:r>
      <w:r w:rsidR="001167F7">
        <w:rPr>
          <w:color w:val="000000"/>
          <w:sz w:val="20"/>
        </w:rPr>
        <w:t>2,102</w:t>
      </w:r>
      <w:r>
        <w:rPr>
          <w:color w:val="000000"/>
          <w:sz w:val="20"/>
        </w:rPr>
        <w:t>,000 and $2,</w:t>
      </w:r>
      <w:r w:rsidR="00FB6471">
        <w:rPr>
          <w:color w:val="000000"/>
          <w:sz w:val="20"/>
        </w:rPr>
        <w:t>296</w:t>
      </w:r>
      <w:r>
        <w:rPr>
          <w:color w:val="000000"/>
          <w:sz w:val="20"/>
        </w:rPr>
        <w:t xml:space="preserve">,000, respectively. The capitalized amount represents costs of producing product masters for new songs as technological feasibility had been established by the inclusion of solo repertoire in earlier </w:t>
      </w:r>
      <w:proofErr w:type="spellStart"/>
      <w:r>
        <w:rPr>
          <w:color w:val="000000"/>
          <w:sz w:val="20"/>
        </w:rPr>
        <w:t>SmartMusic</w:t>
      </w:r>
      <w:proofErr w:type="spellEnd"/>
      <w:r>
        <w:rPr>
          <w:color w:val="000000"/>
          <w:sz w:val="20"/>
        </w:rPr>
        <w:t xml:space="preserve"> versions. When a title is available for release, expenditures related to that title are no longer capitalized and the capitalized cost of the title is amortized over a five-year period using the straight-line method. </w:t>
      </w:r>
      <w:r w:rsidR="008A7E05">
        <w:rPr>
          <w:color w:val="000000"/>
          <w:sz w:val="20"/>
        </w:rPr>
        <w:t>The Company evaluates the unamortized capitalized costs compared to the estimated net realizable value of the product to determine if the capitalized costs are recoverable.</w:t>
      </w:r>
      <w:r>
        <w:rPr>
          <w:color w:val="000000"/>
          <w:sz w:val="20"/>
        </w:rPr>
        <w:t xml:space="preserve">    </w:t>
      </w:r>
    </w:p>
    <w:p w:rsidR="00F477B4" w:rsidRDefault="00F477B4">
      <w:pPr>
        <w:rPr>
          <w:color w:val="000000"/>
          <w:sz w:val="20"/>
        </w:rPr>
      </w:pPr>
    </w:p>
    <w:p w:rsidR="00F477B4" w:rsidRDefault="00F477B4">
      <w:pPr>
        <w:rPr>
          <w:color w:val="000000"/>
          <w:sz w:val="20"/>
        </w:rPr>
      </w:pPr>
      <w:r>
        <w:rPr>
          <w:color w:val="000000"/>
          <w:sz w:val="20"/>
        </w:rPr>
        <w:tab/>
        <w:t>During the fourth quar</w:t>
      </w:r>
      <w:r w:rsidR="00380840">
        <w:rPr>
          <w:color w:val="000000"/>
          <w:sz w:val="20"/>
        </w:rPr>
        <w:t xml:space="preserve">ter of 2011, </w:t>
      </w:r>
      <w:proofErr w:type="spellStart"/>
      <w:r w:rsidR="00380840">
        <w:rPr>
          <w:color w:val="000000"/>
          <w:sz w:val="20"/>
        </w:rPr>
        <w:t>MakeMusic</w:t>
      </w:r>
      <w:proofErr w:type="spellEnd"/>
      <w:r w:rsidR="00380840">
        <w:rPr>
          <w:color w:val="000000"/>
          <w:sz w:val="20"/>
        </w:rPr>
        <w:t xml:space="preserve"> </w:t>
      </w:r>
      <w:r w:rsidR="0011777F">
        <w:rPr>
          <w:color w:val="000000"/>
          <w:sz w:val="20"/>
        </w:rPr>
        <w:t>obtained</w:t>
      </w:r>
      <w:r>
        <w:rPr>
          <w:color w:val="000000"/>
          <w:sz w:val="20"/>
        </w:rPr>
        <w:t xml:space="preserve"> </w:t>
      </w:r>
      <w:r w:rsidR="00322478">
        <w:rPr>
          <w:color w:val="000000"/>
          <w:sz w:val="20"/>
        </w:rPr>
        <w:t>developed</w:t>
      </w:r>
      <w:r>
        <w:rPr>
          <w:color w:val="000000"/>
          <w:sz w:val="20"/>
        </w:rPr>
        <w:t xml:space="preserve"> software </w:t>
      </w:r>
      <w:r w:rsidR="00380840">
        <w:rPr>
          <w:color w:val="000000"/>
          <w:sz w:val="20"/>
        </w:rPr>
        <w:t>in the</w:t>
      </w:r>
      <w:r w:rsidR="0011777F">
        <w:rPr>
          <w:color w:val="000000"/>
          <w:sz w:val="20"/>
        </w:rPr>
        <w:t xml:space="preserve"> acquisitions of </w:t>
      </w:r>
      <w:proofErr w:type="spellStart"/>
      <w:r w:rsidR="0011777F">
        <w:rPr>
          <w:color w:val="000000"/>
          <w:sz w:val="20"/>
        </w:rPr>
        <w:t>Recordare</w:t>
      </w:r>
      <w:proofErr w:type="spellEnd"/>
      <w:r w:rsidR="0011777F">
        <w:rPr>
          <w:color w:val="000000"/>
          <w:sz w:val="20"/>
        </w:rPr>
        <w:t xml:space="preserve"> LLC and </w:t>
      </w:r>
      <w:r>
        <w:rPr>
          <w:color w:val="000000"/>
          <w:sz w:val="20"/>
        </w:rPr>
        <w:t>Garritan Corporation</w:t>
      </w:r>
      <w:r w:rsidR="0011777F">
        <w:rPr>
          <w:color w:val="000000"/>
          <w:sz w:val="20"/>
        </w:rPr>
        <w:t>.</w:t>
      </w:r>
      <w:r w:rsidR="00380840">
        <w:rPr>
          <w:color w:val="000000"/>
          <w:sz w:val="20"/>
        </w:rPr>
        <w:t xml:space="preserve"> </w:t>
      </w:r>
      <w:r w:rsidR="0011777F">
        <w:rPr>
          <w:color w:val="000000"/>
          <w:sz w:val="20"/>
        </w:rPr>
        <w:t>Software a</w:t>
      </w:r>
      <w:r w:rsidR="00322478">
        <w:rPr>
          <w:color w:val="000000"/>
          <w:sz w:val="20"/>
        </w:rPr>
        <w:t>c</w:t>
      </w:r>
      <w:r w:rsidR="0011777F">
        <w:rPr>
          <w:color w:val="000000"/>
          <w:sz w:val="20"/>
        </w:rPr>
        <w:t>quired</w:t>
      </w:r>
      <w:r w:rsidR="00380840">
        <w:rPr>
          <w:color w:val="000000"/>
          <w:sz w:val="20"/>
        </w:rPr>
        <w:t xml:space="preserve"> includes Music XML, </w:t>
      </w:r>
      <w:proofErr w:type="spellStart"/>
      <w:r w:rsidR="00380840">
        <w:rPr>
          <w:color w:val="000000"/>
          <w:sz w:val="20"/>
        </w:rPr>
        <w:t>Dolet</w:t>
      </w:r>
      <w:proofErr w:type="spellEnd"/>
      <w:r w:rsidR="00380840">
        <w:rPr>
          <w:color w:val="000000"/>
          <w:sz w:val="20"/>
        </w:rPr>
        <w:t xml:space="preserve"> Software</w:t>
      </w:r>
      <w:r w:rsidR="00833DC0">
        <w:rPr>
          <w:color w:val="000000"/>
          <w:sz w:val="20"/>
        </w:rPr>
        <w:t xml:space="preserve"> and Aria Player</w:t>
      </w:r>
      <w:r w:rsidR="00380840">
        <w:rPr>
          <w:color w:val="000000"/>
          <w:sz w:val="20"/>
        </w:rPr>
        <w:t>. As</w:t>
      </w:r>
      <w:r>
        <w:rPr>
          <w:color w:val="000000"/>
          <w:sz w:val="20"/>
        </w:rPr>
        <w:t xml:space="preserve"> of December 31, 2011</w:t>
      </w:r>
      <w:r w:rsidR="00833DC0">
        <w:rPr>
          <w:color w:val="000000"/>
          <w:sz w:val="20"/>
        </w:rPr>
        <w:t xml:space="preserve">, </w:t>
      </w:r>
      <w:r w:rsidR="00322478">
        <w:rPr>
          <w:color w:val="000000"/>
          <w:sz w:val="20"/>
        </w:rPr>
        <w:t xml:space="preserve">purchased </w:t>
      </w:r>
      <w:r w:rsidR="00833DC0">
        <w:rPr>
          <w:color w:val="000000"/>
          <w:sz w:val="20"/>
        </w:rPr>
        <w:t>capitalized</w:t>
      </w:r>
      <w:r w:rsidR="00322478">
        <w:rPr>
          <w:color w:val="000000"/>
          <w:sz w:val="20"/>
        </w:rPr>
        <w:t xml:space="preserve"> software</w:t>
      </w:r>
      <w:r w:rsidR="00380840">
        <w:rPr>
          <w:color w:val="000000"/>
          <w:sz w:val="20"/>
        </w:rPr>
        <w:t>, net of amortization</w:t>
      </w:r>
      <w:r w:rsidR="00322478">
        <w:rPr>
          <w:color w:val="000000"/>
          <w:sz w:val="20"/>
        </w:rPr>
        <w:t>,</w:t>
      </w:r>
      <w:r w:rsidR="00380840">
        <w:rPr>
          <w:color w:val="000000"/>
          <w:sz w:val="20"/>
        </w:rPr>
        <w:t xml:space="preserve"> w</w:t>
      </w:r>
      <w:r w:rsidR="00322478">
        <w:rPr>
          <w:color w:val="000000"/>
          <w:sz w:val="20"/>
        </w:rPr>
        <w:t>as</w:t>
      </w:r>
      <w:r w:rsidR="00380840">
        <w:rPr>
          <w:color w:val="000000"/>
          <w:sz w:val="20"/>
        </w:rPr>
        <w:t xml:space="preserve"> $986,000. There was </w:t>
      </w:r>
      <w:r w:rsidR="00235919">
        <w:rPr>
          <w:color w:val="000000"/>
          <w:sz w:val="20"/>
        </w:rPr>
        <w:t xml:space="preserve">no comparable </w:t>
      </w:r>
      <w:r w:rsidR="00322478">
        <w:rPr>
          <w:color w:val="000000"/>
          <w:sz w:val="20"/>
        </w:rPr>
        <w:t>capitalized software as of December 31, 2010. Capitalized software is amortized over a five to twenty-year period using the straight-line method.</w:t>
      </w:r>
      <w:r w:rsidR="00380840">
        <w:rPr>
          <w:color w:val="000000"/>
          <w:sz w:val="20"/>
        </w:rPr>
        <w:t xml:space="preserve"> </w:t>
      </w:r>
      <w:r w:rsidR="00833DC0">
        <w:rPr>
          <w:color w:val="000000"/>
          <w:sz w:val="20"/>
        </w:rPr>
        <w:t xml:space="preserve">The Company evaluates the unamortized capitalized costs compared to the estimated net realizable value of the product to determine if the capitalized costs are recoverable. </w:t>
      </w:r>
      <w:r w:rsidR="00322478">
        <w:rPr>
          <w:color w:val="000000"/>
          <w:sz w:val="20"/>
        </w:rPr>
        <w:t xml:space="preserve">For the years ended December 31, 2011 and 2010, amortization expense </w:t>
      </w:r>
      <w:r w:rsidR="00322478" w:rsidRPr="00985448">
        <w:rPr>
          <w:color w:val="000000"/>
          <w:sz w:val="20"/>
        </w:rPr>
        <w:t>was $</w:t>
      </w:r>
      <w:r w:rsidR="00322478" w:rsidRPr="003424AD">
        <w:rPr>
          <w:color w:val="000000"/>
          <w:sz w:val="20"/>
        </w:rPr>
        <w:t>891</w:t>
      </w:r>
      <w:r w:rsidR="00322478" w:rsidRPr="00985448">
        <w:rPr>
          <w:color w:val="000000"/>
          <w:sz w:val="20"/>
        </w:rPr>
        <w:t>,000 and $735,000,</w:t>
      </w:r>
      <w:r w:rsidR="00322478">
        <w:rPr>
          <w:color w:val="000000"/>
          <w:sz w:val="20"/>
        </w:rPr>
        <w:t xml:space="preserve"> respectively.</w:t>
      </w:r>
    </w:p>
    <w:p w:rsidR="004851D7" w:rsidRDefault="004851D7">
      <w:pPr>
        <w:rPr>
          <w:color w:val="000000"/>
          <w:sz w:val="20"/>
        </w:rPr>
      </w:pPr>
    </w:p>
    <w:p w:rsidR="007104AD" w:rsidRPr="00F756E5" w:rsidRDefault="00C0351C">
      <w:pPr>
        <w:rPr>
          <w:b/>
          <w:color w:val="000000"/>
          <w:sz w:val="20"/>
        </w:rPr>
      </w:pPr>
      <w:r w:rsidRPr="00F756E5">
        <w:rPr>
          <w:b/>
          <w:color w:val="000000"/>
          <w:sz w:val="20"/>
        </w:rPr>
        <w:t>Finite Life Intangible Assets</w:t>
      </w:r>
    </w:p>
    <w:p w:rsidR="007104AD" w:rsidRDefault="007104AD">
      <w:pPr>
        <w:rPr>
          <w:color w:val="000000"/>
          <w:sz w:val="20"/>
        </w:rPr>
      </w:pPr>
    </w:p>
    <w:p w:rsidR="007104AD" w:rsidRDefault="007104AD">
      <w:pPr>
        <w:rPr>
          <w:color w:val="000000"/>
          <w:sz w:val="20"/>
        </w:rPr>
      </w:pPr>
      <w:r>
        <w:rPr>
          <w:color w:val="000000"/>
          <w:sz w:val="20"/>
        </w:rPr>
        <w:tab/>
        <w:t xml:space="preserve">Finite life intangible assets are primarily related to </w:t>
      </w:r>
      <w:proofErr w:type="gramStart"/>
      <w:r>
        <w:rPr>
          <w:color w:val="000000"/>
          <w:sz w:val="20"/>
        </w:rPr>
        <w:t>acquired</w:t>
      </w:r>
      <w:proofErr w:type="gramEnd"/>
      <w:r>
        <w:rPr>
          <w:color w:val="000000"/>
          <w:sz w:val="20"/>
        </w:rPr>
        <w:t xml:space="preserve"> sound sample libraries and trademarks and are amortized over their estimated useful lives</w:t>
      </w:r>
      <w:r w:rsidR="00E61EA2">
        <w:rPr>
          <w:color w:val="000000"/>
          <w:sz w:val="20"/>
        </w:rPr>
        <w:t xml:space="preserve"> of 3 to 7 years for the libraries and 20 years for the trademarks.</w:t>
      </w:r>
    </w:p>
    <w:p w:rsidR="007104AD" w:rsidRDefault="007104AD">
      <w:pPr>
        <w:rPr>
          <w:color w:val="000000"/>
          <w:sz w:val="20"/>
        </w:rPr>
      </w:pPr>
    </w:p>
    <w:p w:rsidR="004851D7" w:rsidRDefault="004851D7">
      <w:pPr>
        <w:rPr>
          <w:b/>
          <w:bCs/>
          <w:color w:val="000000"/>
          <w:sz w:val="20"/>
        </w:rPr>
      </w:pPr>
      <w:r>
        <w:rPr>
          <w:b/>
          <w:bCs/>
          <w:color w:val="000000"/>
          <w:sz w:val="20"/>
        </w:rPr>
        <w:t>Goodwill</w:t>
      </w:r>
    </w:p>
    <w:p w:rsidR="004851D7" w:rsidRDefault="004851D7">
      <w:pPr>
        <w:rPr>
          <w:color w:val="000000"/>
          <w:sz w:val="20"/>
        </w:rPr>
      </w:pPr>
    </w:p>
    <w:p w:rsidR="004851D7" w:rsidRDefault="004851D7">
      <w:pPr>
        <w:rPr>
          <w:color w:val="000000"/>
          <w:sz w:val="20"/>
        </w:rPr>
      </w:pPr>
      <w:r>
        <w:rPr>
          <w:color w:val="000000"/>
          <w:sz w:val="20"/>
        </w:rPr>
        <w:tab/>
        <w:t xml:space="preserve">Goodwill represents the cost in excess of fair value of the tangible and identified intangible assets of businesses acquired. In accordance with ASC 350, </w:t>
      </w:r>
      <w:r>
        <w:rPr>
          <w:i/>
          <w:color w:val="000000"/>
          <w:sz w:val="20"/>
        </w:rPr>
        <w:t xml:space="preserve">Intangibles – Goodwill and Other, </w:t>
      </w:r>
      <w:r>
        <w:rPr>
          <w:color w:val="000000"/>
          <w:sz w:val="20"/>
        </w:rPr>
        <w:t xml:space="preserve">goodwill is not amortized but rather is reviewed for impairment annually in the fourth quarter of </w:t>
      </w:r>
      <w:proofErr w:type="spellStart"/>
      <w:r>
        <w:rPr>
          <w:color w:val="000000"/>
          <w:sz w:val="20"/>
        </w:rPr>
        <w:t>MakeMusic’s</w:t>
      </w:r>
      <w:proofErr w:type="spellEnd"/>
      <w:r>
        <w:rPr>
          <w:color w:val="000000"/>
          <w:sz w:val="20"/>
        </w:rPr>
        <w:t xml:space="preserve"> fiscal year, or more often if indicators of impairment exist (see Note 4).</w:t>
      </w:r>
    </w:p>
    <w:p w:rsidR="004851D7" w:rsidRDefault="004851D7">
      <w:pPr>
        <w:ind w:firstLine="720"/>
        <w:rPr>
          <w:color w:val="000000"/>
          <w:sz w:val="20"/>
        </w:rPr>
      </w:pPr>
      <w:r>
        <w:rPr>
          <w:color w:val="000000"/>
          <w:sz w:val="20"/>
        </w:rPr>
        <w:tab/>
      </w:r>
    </w:p>
    <w:p w:rsidR="004851D7" w:rsidRDefault="004851D7">
      <w:pPr>
        <w:rPr>
          <w:b/>
          <w:bCs/>
          <w:color w:val="000000"/>
          <w:sz w:val="20"/>
        </w:rPr>
      </w:pPr>
      <w:r>
        <w:rPr>
          <w:b/>
          <w:bCs/>
          <w:color w:val="000000"/>
          <w:sz w:val="20"/>
        </w:rPr>
        <w:t xml:space="preserve">Impairment of Long-Lived Assets </w:t>
      </w:r>
    </w:p>
    <w:p w:rsidR="004851D7" w:rsidRDefault="004851D7">
      <w:pPr>
        <w:rPr>
          <w:color w:val="000000"/>
          <w:sz w:val="20"/>
        </w:rPr>
      </w:pPr>
    </w:p>
    <w:p w:rsidR="004851D7" w:rsidRDefault="004851D7">
      <w:pPr>
        <w:rPr>
          <w:color w:val="000000"/>
          <w:sz w:val="20"/>
        </w:rPr>
      </w:pPr>
      <w:r>
        <w:rPr>
          <w:color w:val="000000"/>
          <w:sz w:val="20"/>
        </w:rPr>
        <w:tab/>
        <w:t xml:space="preserve">Long-lived assets, excluding goodwill, are reviewed for impairment when events or changes in circumstances indicate that the carrying amount of an asset may not be recoverable. If impairment indicators are present and the estimated undiscounted cash flows are less than the carrying value of the assets, the carrying value of the assets may require a reduction to their estimated fair value as measured by discounted cash flows or appraised values. </w:t>
      </w:r>
    </w:p>
    <w:p w:rsidR="004851D7" w:rsidRDefault="004851D7">
      <w:pPr>
        <w:rPr>
          <w:color w:val="000000"/>
          <w:sz w:val="20"/>
        </w:rPr>
      </w:pPr>
    </w:p>
    <w:p w:rsidR="004851D7" w:rsidRDefault="004851D7">
      <w:pPr>
        <w:rPr>
          <w:b/>
          <w:bCs/>
          <w:color w:val="000000"/>
          <w:sz w:val="20"/>
        </w:rPr>
      </w:pPr>
      <w:r>
        <w:rPr>
          <w:b/>
          <w:bCs/>
          <w:color w:val="000000"/>
          <w:sz w:val="20"/>
        </w:rPr>
        <w:br w:type="page"/>
        <w:t>2.  Summary of Significant Accounting Policies (Continued)</w:t>
      </w:r>
    </w:p>
    <w:p w:rsidR="004851D7" w:rsidRDefault="004851D7">
      <w:pPr>
        <w:rPr>
          <w:b/>
          <w:bCs/>
          <w:color w:val="000000"/>
          <w:sz w:val="20"/>
        </w:rPr>
      </w:pPr>
    </w:p>
    <w:p w:rsidR="004851D7" w:rsidRDefault="004851D7">
      <w:pPr>
        <w:rPr>
          <w:b/>
          <w:bCs/>
          <w:color w:val="000000"/>
          <w:sz w:val="20"/>
        </w:rPr>
      </w:pPr>
      <w:r w:rsidRPr="005A7992">
        <w:rPr>
          <w:b/>
          <w:bCs/>
          <w:color w:val="000000"/>
          <w:sz w:val="20"/>
        </w:rPr>
        <w:t>Income Taxes</w:t>
      </w:r>
    </w:p>
    <w:p w:rsidR="004851D7" w:rsidRDefault="004851D7">
      <w:pPr>
        <w:rPr>
          <w:color w:val="000000"/>
          <w:sz w:val="20"/>
        </w:rPr>
      </w:pPr>
    </w:p>
    <w:p w:rsidR="00A054FE" w:rsidRPr="00787B7C" w:rsidRDefault="00A054FE" w:rsidP="00E61549">
      <w:pPr>
        <w:ind w:firstLine="720"/>
        <w:rPr>
          <w:color w:val="000000"/>
          <w:sz w:val="20"/>
        </w:rPr>
      </w:pPr>
      <w:r w:rsidRPr="00787B7C">
        <w:rPr>
          <w:color w:val="000000"/>
          <w:sz w:val="20"/>
        </w:rPr>
        <w:t>Deferred taxes are provided on a liability method whereby deferred tax assets are recognized for deductible temporary differences and operating loss or tax credit carry-forwards and deferred tax liabilities are recognized for taxable temporary differences. Temporary differences are the differences between the amounts of assets and liabilities recorded for income tax and financial reporting purposes. Deferred tax assets are reduced by a valuation allowance when management determines that it is more likely than not that some portion or all of the deferred tax assets will not be realized. Deferred tax assets and liabilities are adjusted for the effects of changes in tax laws and tax rates on the date of enactment.</w:t>
      </w:r>
    </w:p>
    <w:p w:rsidR="00A054FE" w:rsidRPr="00787B7C" w:rsidRDefault="00A054FE" w:rsidP="00A054FE">
      <w:pPr>
        <w:rPr>
          <w:color w:val="000000"/>
          <w:sz w:val="20"/>
        </w:rPr>
      </w:pPr>
    </w:p>
    <w:p w:rsidR="00A054FE" w:rsidRPr="00787B7C" w:rsidRDefault="00A054FE" w:rsidP="0039741E">
      <w:pPr>
        <w:spacing w:after="240"/>
        <w:ind w:firstLine="720"/>
        <w:rPr>
          <w:color w:val="000000"/>
          <w:sz w:val="20"/>
        </w:rPr>
      </w:pPr>
      <w:r w:rsidRPr="00787B7C">
        <w:rPr>
          <w:rFonts w:ascii="Times" w:hAnsi="Times" w:cs="Times"/>
          <w:sz w:val="20"/>
          <w:szCs w:val="20"/>
        </w:rPr>
        <w:t xml:space="preserve">In the fourth quarter of 2009, we determined that it had become more likely than not that we would realize a portion of our net deferred tax assets. As a result, </w:t>
      </w:r>
      <w:r>
        <w:rPr>
          <w:rFonts w:ascii="Times" w:hAnsi="Times" w:cs="Times"/>
          <w:sz w:val="20"/>
          <w:szCs w:val="20"/>
        </w:rPr>
        <w:t xml:space="preserve">based on the estimated tax on three years of forecasted net income, </w:t>
      </w:r>
      <w:r w:rsidRPr="00787B7C">
        <w:rPr>
          <w:rFonts w:ascii="Times" w:hAnsi="Times" w:cs="Times"/>
          <w:sz w:val="20"/>
          <w:szCs w:val="20"/>
        </w:rPr>
        <w:t xml:space="preserve">we </w:t>
      </w:r>
      <w:r>
        <w:rPr>
          <w:rFonts w:ascii="Times" w:hAnsi="Times" w:cs="Times"/>
          <w:sz w:val="20"/>
          <w:szCs w:val="20"/>
        </w:rPr>
        <w:t>reversed</w:t>
      </w:r>
      <w:r w:rsidRPr="00787B7C">
        <w:rPr>
          <w:rFonts w:ascii="Times" w:hAnsi="Times" w:cs="Times"/>
          <w:sz w:val="20"/>
          <w:szCs w:val="20"/>
        </w:rPr>
        <w:t xml:space="preserve"> approximately $2,564,000 of our valuation allowance in fiscal year 2009 w</w:t>
      </w:r>
      <w:r>
        <w:rPr>
          <w:rFonts w:ascii="Times" w:hAnsi="Times" w:cs="Times"/>
          <w:sz w:val="20"/>
          <w:szCs w:val="20"/>
        </w:rPr>
        <w:t xml:space="preserve">hich was recorded as an </w:t>
      </w:r>
      <w:r w:rsidRPr="00787B7C">
        <w:rPr>
          <w:rFonts w:ascii="Times" w:hAnsi="Times" w:cs="Times"/>
          <w:sz w:val="20"/>
          <w:szCs w:val="20"/>
        </w:rPr>
        <w:t xml:space="preserve">income tax benefit. </w:t>
      </w:r>
      <w:r>
        <w:rPr>
          <w:rFonts w:ascii="Times" w:hAnsi="Times" w:cs="Times"/>
          <w:sz w:val="20"/>
          <w:szCs w:val="20"/>
        </w:rPr>
        <w:t xml:space="preserve"> </w:t>
      </w:r>
      <w:r w:rsidRPr="00787B7C">
        <w:rPr>
          <w:rFonts w:ascii="Times" w:hAnsi="Times" w:cs="Times"/>
          <w:sz w:val="20"/>
          <w:szCs w:val="20"/>
        </w:rPr>
        <w:t xml:space="preserve">As of December 31, </w:t>
      </w:r>
      <w:r>
        <w:rPr>
          <w:rFonts w:ascii="Times" w:hAnsi="Times" w:cs="Times"/>
          <w:sz w:val="20"/>
          <w:szCs w:val="20"/>
        </w:rPr>
        <w:t xml:space="preserve">2011 and December 31, 2010, we have retained a </w:t>
      </w:r>
      <w:r w:rsidRPr="00787B7C">
        <w:rPr>
          <w:rFonts w:ascii="Times" w:hAnsi="Times" w:cs="Times"/>
          <w:sz w:val="20"/>
          <w:szCs w:val="20"/>
        </w:rPr>
        <w:t>valuation allowance of approximately $</w:t>
      </w:r>
      <w:r>
        <w:rPr>
          <w:rFonts w:ascii="Times" w:hAnsi="Times" w:cs="Times"/>
          <w:sz w:val="20"/>
          <w:szCs w:val="20"/>
        </w:rPr>
        <w:t>5,690,000</w:t>
      </w:r>
      <w:r w:rsidRPr="00787B7C">
        <w:rPr>
          <w:rFonts w:ascii="Times" w:hAnsi="Times" w:cs="Times"/>
          <w:sz w:val="20"/>
          <w:szCs w:val="20"/>
        </w:rPr>
        <w:t xml:space="preserve"> </w:t>
      </w:r>
      <w:r>
        <w:rPr>
          <w:rFonts w:ascii="Times" w:hAnsi="Times" w:cs="Times"/>
          <w:sz w:val="20"/>
          <w:szCs w:val="20"/>
        </w:rPr>
        <w:t xml:space="preserve">against net deferred tax assets. </w:t>
      </w:r>
      <w:r w:rsidRPr="00787B7C">
        <w:rPr>
          <w:color w:val="000000"/>
          <w:sz w:val="20"/>
          <w:szCs w:val="20"/>
        </w:rPr>
        <w:t xml:space="preserve">The </w:t>
      </w:r>
      <w:r>
        <w:rPr>
          <w:color w:val="000000"/>
          <w:sz w:val="20"/>
          <w:szCs w:val="20"/>
        </w:rPr>
        <w:t xml:space="preserve">additional future </w:t>
      </w:r>
      <w:r w:rsidRPr="00787B7C">
        <w:rPr>
          <w:color w:val="000000"/>
          <w:sz w:val="20"/>
          <w:szCs w:val="20"/>
        </w:rPr>
        <w:t xml:space="preserve">potential decrease of the valuation allowance is dependent on our future ability to realize the deferred tax assets that are affected by the future profitability of </w:t>
      </w:r>
      <w:proofErr w:type="spellStart"/>
      <w:r w:rsidRPr="00787B7C">
        <w:rPr>
          <w:color w:val="000000"/>
          <w:sz w:val="20"/>
          <w:szCs w:val="20"/>
        </w:rPr>
        <w:t>MakeMusic</w:t>
      </w:r>
      <w:proofErr w:type="spellEnd"/>
      <w:r w:rsidRPr="00787B7C">
        <w:rPr>
          <w:color w:val="000000"/>
          <w:sz w:val="20"/>
          <w:szCs w:val="20"/>
        </w:rPr>
        <w:t>.</w:t>
      </w:r>
      <w:r w:rsidR="00AD66E1" w:rsidRPr="00AD66E1">
        <w:rPr>
          <w:color w:val="000000"/>
          <w:sz w:val="20"/>
          <w:szCs w:val="20"/>
        </w:rPr>
        <w:t xml:space="preserve"> </w:t>
      </w:r>
      <w:r w:rsidR="00B2164C">
        <w:rPr>
          <w:color w:val="000000"/>
          <w:sz w:val="20"/>
          <w:szCs w:val="20"/>
        </w:rPr>
        <w:t xml:space="preserve">An ownership change would also limit the use of the tax benefits in </w:t>
      </w:r>
      <w:proofErr w:type="spellStart"/>
      <w:r w:rsidR="00B2164C">
        <w:rPr>
          <w:color w:val="000000"/>
          <w:sz w:val="20"/>
          <w:szCs w:val="20"/>
        </w:rPr>
        <w:t>MakeMusic’s</w:t>
      </w:r>
      <w:proofErr w:type="spellEnd"/>
      <w:r w:rsidR="00B2164C">
        <w:rPr>
          <w:color w:val="000000"/>
          <w:sz w:val="20"/>
          <w:szCs w:val="20"/>
        </w:rPr>
        <w:t xml:space="preserve"> NOL carry-</w:t>
      </w:r>
      <w:proofErr w:type="gramStart"/>
      <w:r w:rsidR="00B2164C">
        <w:rPr>
          <w:color w:val="000000"/>
          <w:sz w:val="20"/>
          <w:szCs w:val="20"/>
        </w:rPr>
        <w:t>forwards,</w:t>
      </w:r>
      <w:proofErr w:type="gramEnd"/>
      <w:r w:rsidR="00B2164C">
        <w:rPr>
          <w:color w:val="000000"/>
          <w:sz w:val="20"/>
          <w:szCs w:val="20"/>
        </w:rPr>
        <w:t xml:space="preserve"> </w:t>
      </w:r>
      <w:proofErr w:type="spellStart"/>
      <w:r w:rsidR="00B2164C">
        <w:rPr>
          <w:color w:val="000000"/>
          <w:sz w:val="20"/>
          <w:szCs w:val="20"/>
        </w:rPr>
        <w:t>MakeMusic’s</w:t>
      </w:r>
      <w:proofErr w:type="spellEnd"/>
      <w:r w:rsidR="00AD66E1">
        <w:rPr>
          <w:color w:val="000000"/>
          <w:sz w:val="20"/>
          <w:szCs w:val="20"/>
        </w:rPr>
        <w:t xml:space="preserve"> Board of Directors has adopted a Tax Asset Protection Plan in order to </w:t>
      </w:r>
      <w:r w:rsidR="00B2164C">
        <w:rPr>
          <w:color w:val="000000"/>
          <w:sz w:val="20"/>
          <w:szCs w:val="20"/>
        </w:rPr>
        <w:t xml:space="preserve">discourage any person or group from becoming a 5-percent shareholder and dissuade existing 5-percent or greater shareholders from acquiring additional shares of </w:t>
      </w:r>
      <w:proofErr w:type="spellStart"/>
      <w:r w:rsidR="00B2164C">
        <w:rPr>
          <w:color w:val="000000"/>
          <w:sz w:val="20"/>
          <w:szCs w:val="20"/>
        </w:rPr>
        <w:t>MakeMusic</w:t>
      </w:r>
      <w:proofErr w:type="spellEnd"/>
      <w:r w:rsidR="00B2164C">
        <w:rPr>
          <w:color w:val="000000"/>
          <w:sz w:val="20"/>
          <w:szCs w:val="20"/>
        </w:rPr>
        <w:t xml:space="preserve"> common stock. For more information regarding the Plan, please refer to </w:t>
      </w:r>
      <w:proofErr w:type="spellStart"/>
      <w:r w:rsidR="00B2164C">
        <w:rPr>
          <w:color w:val="000000"/>
          <w:sz w:val="20"/>
          <w:szCs w:val="20"/>
        </w:rPr>
        <w:t>MakeMusic’s</w:t>
      </w:r>
      <w:proofErr w:type="spellEnd"/>
      <w:r w:rsidR="00B2164C">
        <w:rPr>
          <w:color w:val="000000"/>
          <w:sz w:val="20"/>
          <w:szCs w:val="20"/>
        </w:rPr>
        <w:t xml:space="preserve"> Current Report on Form 8-K filed on February 22, 2012, together with the exhibits attached thereto.</w:t>
      </w:r>
    </w:p>
    <w:p w:rsidR="00A054FE" w:rsidRPr="00787B7C" w:rsidRDefault="00A054FE" w:rsidP="00A054FE">
      <w:pPr>
        <w:rPr>
          <w:color w:val="000000"/>
          <w:sz w:val="20"/>
        </w:rPr>
      </w:pPr>
      <w:r w:rsidRPr="00787B7C">
        <w:rPr>
          <w:color w:val="000000"/>
          <w:sz w:val="20"/>
        </w:rPr>
        <w:tab/>
        <w:t xml:space="preserve">The following table illustrates the change in our </w:t>
      </w:r>
      <w:r>
        <w:rPr>
          <w:color w:val="000000"/>
          <w:sz w:val="20"/>
        </w:rPr>
        <w:t xml:space="preserve">reserve for uncertain tax positions </w:t>
      </w:r>
      <w:r w:rsidRPr="00787B7C">
        <w:rPr>
          <w:color w:val="000000"/>
          <w:sz w:val="20"/>
        </w:rPr>
        <w:t xml:space="preserve">during </w:t>
      </w:r>
      <w:r>
        <w:rPr>
          <w:color w:val="000000"/>
          <w:sz w:val="20"/>
        </w:rPr>
        <w:t xml:space="preserve">the year ended December 31, 2011, none of which is reflected as a liability on our balance sheet </w:t>
      </w:r>
      <w:r w:rsidRPr="00787B7C">
        <w:rPr>
          <w:color w:val="000000"/>
          <w:sz w:val="20"/>
        </w:rPr>
        <w:t>(</w:t>
      </w:r>
      <w:r>
        <w:rPr>
          <w:color w:val="000000"/>
          <w:sz w:val="20"/>
        </w:rPr>
        <w:t xml:space="preserve">$ </w:t>
      </w:r>
      <w:r w:rsidRPr="00787B7C">
        <w:rPr>
          <w:color w:val="000000"/>
          <w:sz w:val="20"/>
        </w:rPr>
        <w:t>in thousands):</w:t>
      </w:r>
    </w:p>
    <w:p w:rsidR="004851D7" w:rsidRDefault="004851D7">
      <w:pPr>
        <w:rPr>
          <w:color w:val="000000"/>
          <w:sz w:val="20"/>
        </w:rPr>
      </w:pPr>
    </w:p>
    <w:tbl>
      <w:tblPr>
        <w:tblW w:w="5000" w:type="pct"/>
        <w:tblLook w:val="00A0" w:firstRow="1" w:lastRow="0" w:firstColumn="1" w:lastColumn="0" w:noHBand="0" w:noVBand="0"/>
      </w:tblPr>
      <w:tblGrid>
        <w:gridCol w:w="7750"/>
        <w:gridCol w:w="1884"/>
      </w:tblGrid>
      <w:tr w:rsidR="004851D7">
        <w:trPr>
          <w:trHeight w:val="315"/>
        </w:trPr>
        <w:tc>
          <w:tcPr>
            <w:tcW w:w="4022" w:type="pct"/>
            <w:tcBorders>
              <w:top w:val="nil"/>
              <w:left w:val="nil"/>
              <w:bottom w:val="nil"/>
              <w:right w:val="nil"/>
            </w:tcBorders>
            <w:noWrap/>
            <w:vAlign w:val="bottom"/>
          </w:tcPr>
          <w:p w:rsidR="004851D7" w:rsidRDefault="004851D7" w:rsidP="00223B45">
            <w:pPr>
              <w:rPr>
                <w:sz w:val="20"/>
                <w:szCs w:val="20"/>
              </w:rPr>
            </w:pPr>
            <w:r>
              <w:rPr>
                <w:sz w:val="20"/>
                <w:szCs w:val="20"/>
              </w:rPr>
              <w:t xml:space="preserve">Balance at January 1, </w:t>
            </w:r>
            <w:r w:rsidR="00FB6471">
              <w:rPr>
                <w:sz w:val="20"/>
                <w:szCs w:val="20"/>
              </w:rPr>
              <w:t>2011</w:t>
            </w:r>
          </w:p>
        </w:tc>
        <w:tc>
          <w:tcPr>
            <w:tcW w:w="978" w:type="pct"/>
            <w:tcBorders>
              <w:top w:val="nil"/>
              <w:left w:val="nil"/>
              <w:bottom w:val="nil"/>
              <w:right w:val="nil"/>
            </w:tcBorders>
            <w:noWrap/>
            <w:vAlign w:val="bottom"/>
          </w:tcPr>
          <w:p w:rsidR="004851D7" w:rsidRDefault="004851D7" w:rsidP="00A054FE">
            <w:pPr>
              <w:jc w:val="right"/>
              <w:rPr>
                <w:sz w:val="20"/>
                <w:szCs w:val="20"/>
              </w:rPr>
            </w:pPr>
            <w:r>
              <w:rPr>
                <w:sz w:val="20"/>
                <w:szCs w:val="20"/>
              </w:rPr>
              <w:t xml:space="preserve"> $    </w:t>
            </w:r>
            <w:r w:rsidR="00A054FE">
              <w:rPr>
                <w:sz w:val="20"/>
                <w:szCs w:val="20"/>
              </w:rPr>
              <w:t>3,175</w:t>
            </w:r>
          </w:p>
        </w:tc>
      </w:tr>
      <w:tr w:rsidR="004851D7">
        <w:trPr>
          <w:trHeight w:val="315"/>
        </w:trPr>
        <w:tc>
          <w:tcPr>
            <w:tcW w:w="4022" w:type="pct"/>
            <w:tcBorders>
              <w:top w:val="nil"/>
              <w:left w:val="nil"/>
              <w:bottom w:val="nil"/>
              <w:right w:val="nil"/>
            </w:tcBorders>
            <w:noWrap/>
            <w:vAlign w:val="bottom"/>
          </w:tcPr>
          <w:p w:rsidR="004851D7" w:rsidRDefault="004851D7">
            <w:pPr>
              <w:rPr>
                <w:sz w:val="20"/>
                <w:szCs w:val="20"/>
              </w:rPr>
            </w:pPr>
            <w:r>
              <w:rPr>
                <w:sz w:val="20"/>
                <w:szCs w:val="20"/>
              </w:rPr>
              <w:t>Additions based on tax positions related to the current year</w:t>
            </w:r>
          </w:p>
        </w:tc>
        <w:tc>
          <w:tcPr>
            <w:tcW w:w="978" w:type="pct"/>
            <w:tcBorders>
              <w:top w:val="nil"/>
              <w:left w:val="nil"/>
              <w:bottom w:val="nil"/>
              <w:right w:val="nil"/>
            </w:tcBorders>
            <w:noWrap/>
            <w:vAlign w:val="bottom"/>
          </w:tcPr>
          <w:p w:rsidR="004851D7" w:rsidRDefault="004851D7" w:rsidP="00A054FE">
            <w:pPr>
              <w:jc w:val="right"/>
              <w:rPr>
                <w:sz w:val="20"/>
                <w:szCs w:val="20"/>
              </w:rPr>
            </w:pPr>
            <w:r>
              <w:rPr>
                <w:sz w:val="20"/>
                <w:szCs w:val="20"/>
              </w:rPr>
              <w:t xml:space="preserve">           </w:t>
            </w:r>
            <w:r w:rsidR="00A054FE">
              <w:rPr>
                <w:sz w:val="20"/>
                <w:szCs w:val="20"/>
              </w:rPr>
              <w:t>34</w:t>
            </w:r>
            <w:r w:rsidR="00FB6471">
              <w:rPr>
                <w:sz w:val="20"/>
                <w:szCs w:val="20"/>
              </w:rPr>
              <w:t xml:space="preserve"> </w:t>
            </w:r>
          </w:p>
        </w:tc>
      </w:tr>
      <w:tr w:rsidR="004851D7">
        <w:trPr>
          <w:trHeight w:val="315"/>
        </w:trPr>
        <w:tc>
          <w:tcPr>
            <w:tcW w:w="4022" w:type="pct"/>
            <w:tcBorders>
              <w:top w:val="nil"/>
              <w:left w:val="nil"/>
              <w:bottom w:val="nil"/>
              <w:right w:val="nil"/>
            </w:tcBorders>
            <w:noWrap/>
            <w:vAlign w:val="bottom"/>
          </w:tcPr>
          <w:p w:rsidR="004851D7" w:rsidRDefault="004851D7">
            <w:pPr>
              <w:rPr>
                <w:sz w:val="20"/>
                <w:szCs w:val="20"/>
              </w:rPr>
            </w:pPr>
            <w:r>
              <w:rPr>
                <w:sz w:val="20"/>
                <w:szCs w:val="20"/>
              </w:rPr>
              <w:t>Net reductions for tax provisions of prior years</w:t>
            </w:r>
          </w:p>
        </w:tc>
        <w:tc>
          <w:tcPr>
            <w:tcW w:w="978" w:type="pct"/>
            <w:tcBorders>
              <w:top w:val="nil"/>
              <w:left w:val="nil"/>
              <w:bottom w:val="nil"/>
              <w:right w:val="nil"/>
            </w:tcBorders>
            <w:noWrap/>
            <w:vAlign w:val="bottom"/>
          </w:tcPr>
          <w:p w:rsidR="004851D7" w:rsidRDefault="004851D7" w:rsidP="00223B45">
            <w:pPr>
              <w:jc w:val="right"/>
              <w:rPr>
                <w:sz w:val="20"/>
                <w:szCs w:val="20"/>
              </w:rPr>
            </w:pPr>
            <w:r>
              <w:rPr>
                <w:sz w:val="20"/>
                <w:szCs w:val="20"/>
              </w:rPr>
              <w:t xml:space="preserve">           (</w:t>
            </w:r>
            <w:r w:rsidR="00A054FE">
              <w:rPr>
                <w:sz w:val="20"/>
                <w:szCs w:val="20"/>
              </w:rPr>
              <w:t>43</w:t>
            </w:r>
            <w:r>
              <w:rPr>
                <w:sz w:val="20"/>
                <w:szCs w:val="20"/>
              </w:rPr>
              <w:t>)</w:t>
            </w:r>
          </w:p>
        </w:tc>
      </w:tr>
      <w:tr w:rsidR="004851D7">
        <w:trPr>
          <w:trHeight w:val="360"/>
        </w:trPr>
        <w:tc>
          <w:tcPr>
            <w:tcW w:w="4022" w:type="pct"/>
            <w:tcBorders>
              <w:top w:val="nil"/>
              <w:left w:val="nil"/>
              <w:bottom w:val="nil"/>
              <w:right w:val="nil"/>
            </w:tcBorders>
            <w:noWrap/>
            <w:vAlign w:val="bottom"/>
          </w:tcPr>
          <w:p w:rsidR="004851D7" w:rsidRDefault="004851D7">
            <w:pPr>
              <w:rPr>
                <w:sz w:val="20"/>
                <w:szCs w:val="20"/>
              </w:rPr>
            </w:pPr>
            <w:r>
              <w:rPr>
                <w:sz w:val="20"/>
                <w:szCs w:val="20"/>
              </w:rPr>
              <w:t>Settlements</w:t>
            </w:r>
          </w:p>
        </w:tc>
        <w:tc>
          <w:tcPr>
            <w:tcW w:w="978" w:type="pct"/>
            <w:tcBorders>
              <w:top w:val="nil"/>
              <w:left w:val="nil"/>
              <w:bottom w:val="single" w:sz="4" w:space="0" w:color="auto"/>
              <w:right w:val="nil"/>
            </w:tcBorders>
            <w:noWrap/>
            <w:vAlign w:val="bottom"/>
          </w:tcPr>
          <w:p w:rsidR="004851D7" w:rsidRDefault="004851D7">
            <w:pPr>
              <w:jc w:val="right"/>
              <w:rPr>
                <w:sz w:val="20"/>
                <w:szCs w:val="20"/>
                <w:u w:val="single"/>
              </w:rPr>
            </w:pPr>
            <w:r>
              <w:rPr>
                <w:sz w:val="20"/>
                <w:szCs w:val="20"/>
              </w:rPr>
              <w:t xml:space="preserve">             -   </w:t>
            </w:r>
          </w:p>
        </w:tc>
      </w:tr>
      <w:tr w:rsidR="004851D7">
        <w:trPr>
          <w:trHeight w:val="360"/>
        </w:trPr>
        <w:tc>
          <w:tcPr>
            <w:tcW w:w="4022" w:type="pct"/>
            <w:tcBorders>
              <w:top w:val="nil"/>
              <w:left w:val="nil"/>
              <w:bottom w:val="nil"/>
              <w:right w:val="nil"/>
            </w:tcBorders>
            <w:noWrap/>
            <w:vAlign w:val="bottom"/>
          </w:tcPr>
          <w:p w:rsidR="004851D7" w:rsidRDefault="004851D7" w:rsidP="00223B45">
            <w:pPr>
              <w:rPr>
                <w:sz w:val="20"/>
                <w:szCs w:val="20"/>
              </w:rPr>
            </w:pPr>
            <w:r>
              <w:rPr>
                <w:sz w:val="20"/>
                <w:szCs w:val="20"/>
              </w:rPr>
              <w:t xml:space="preserve">Balance at December 31, </w:t>
            </w:r>
            <w:r w:rsidR="00FB6471">
              <w:rPr>
                <w:sz w:val="20"/>
                <w:szCs w:val="20"/>
              </w:rPr>
              <w:t>2011</w:t>
            </w:r>
          </w:p>
        </w:tc>
        <w:tc>
          <w:tcPr>
            <w:tcW w:w="978" w:type="pct"/>
            <w:tcBorders>
              <w:top w:val="single" w:sz="4" w:space="0" w:color="auto"/>
              <w:left w:val="nil"/>
              <w:bottom w:val="double" w:sz="4" w:space="0" w:color="auto"/>
              <w:right w:val="nil"/>
            </w:tcBorders>
            <w:noWrap/>
            <w:vAlign w:val="bottom"/>
          </w:tcPr>
          <w:p w:rsidR="004851D7" w:rsidRDefault="004851D7" w:rsidP="00A054FE">
            <w:pPr>
              <w:jc w:val="right"/>
              <w:rPr>
                <w:sz w:val="20"/>
                <w:szCs w:val="20"/>
                <w:u w:val="double"/>
              </w:rPr>
            </w:pPr>
            <w:r>
              <w:rPr>
                <w:sz w:val="20"/>
                <w:szCs w:val="20"/>
              </w:rPr>
              <w:t xml:space="preserve"> $    </w:t>
            </w:r>
            <w:r w:rsidR="00A054FE">
              <w:rPr>
                <w:sz w:val="20"/>
                <w:szCs w:val="20"/>
              </w:rPr>
              <w:t>3,166</w:t>
            </w:r>
          </w:p>
        </w:tc>
      </w:tr>
    </w:tbl>
    <w:p w:rsidR="004851D7" w:rsidRDefault="004851D7">
      <w:pPr>
        <w:rPr>
          <w:color w:val="000000"/>
          <w:sz w:val="20"/>
        </w:rPr>
      </w:pPr>
    </w:p>
    <w:p w:rsidR="004851D7" w:rsidRDefault="004851D7">
      <w:pPr>
        <w:rPr>
          <w:color w:val="000000"/>
          <w:sz w:val="20"/>
        </w:rPr>
      </w:pPr>
    </w:p>
    <w:p w:rsidR="00A054FE" w:rsidRDefault="004851D7" w:rsidP="00A054FE">
      <w:pPr>
        <w:rPr>
          <w:rFonts w:ascii="Times" w:hAnsi="Times" w:cs="Times"/>
          <w:sz w:val="20"/>
          <w:szCs w:val="20"/>
        </w:rPr>
      </w:pPr>
      <w:r>
        <w:rPr>
          <w:rFonts w:ascii="Times" w:hAnsi="Times" w:cs="Times"/>
          <w:sz w:val="20"/>
          <w:szCs w:val="20"/>
        </w:rPr>
        <w:tab/>
      </w:r>
    </w:p>
    <w:p w:rsidR="00A054FE" w:rsidRDefault="00A054FE" w:rsidP="00A054FE">
      <w:pPr>
        <w:rPr>
          <w:color w:val="000000"/>
          <w:sz w:val="20"/>
        </w:rPr>
      </w:pPr>
      <w:r>
        <w:rPr>
          <w:rFonts w:ascii="Times" w:hAnsi="Times" w:cs="Times"/>
          <w:sz w:val="20"/>
          <w:szCs w:val="20"/>
        </w:rPr>
        <w:t>In the event the remaining valuation allowance on the net operating losses expiring in 2023 is reversed we will need to recognize a reserve for uncertain tax positions of up to $3,166,000.</w:t>
      </w:r>
      <w:r w:rsidRPr="00787B7C">
        <w:rPr>
          <w:color w:val="000000"/>
          <w:sz w:val="20"/>
        </w:rPr>
        <w:tab/>
      </w:r>
    </w:p>
    <w:p w:rsidR="00A054FE" w:rsidRDefault="00A054FE" w:rsidP="00A054FE">
      <w:pPr>
        <w:rPr>
          <w:color w:val="000000"/>
          <w:sz w:val="20"/>
        </w:rPr>
      </w:pPr>
    </w:p>
    <w:p w:rsidR="00A054FE" w:rsidRPr="00787B7C" w:rsidRDefault="00A054FE" w:rsidP="00A054FE">
      <w:pPr>
        <w:ind w:firstLine="720"/>
        <w:rPr>
          <w:color w:val="000000"/>
          <w:sz w:val="20"/>
        </w:rPr>
      </w:pPr>
      <w:r w:rsidRPr="00787B7C">
        <w:rPr>
          <w:color w:val="000000"/>
          <w:sz w:val="20"/>
        </w:rPr>
        <w:t xml:space="preserve">Interest and penalties related to any uncertain tax positions would be accounted for as a long-term liability with the corresponding expense being charged to current period non-operating expenses. </w:t>
      </w:r>
      <w:r>
        <w:rPr>
          <w:color w:val="000000"/>
          <w:sz w:val="20"/>
        </w:rPr>
        <w:t xml:space="preserve"> </w:t>
      </w:r>
      <w:r w:rsidRPr="00787B7C">
        <w:rPr>
          <w:color w:val="000000"/>
          <w:sz w:val="20"/>
        </w:rPr>
        <w:t>As of December 31, 20</w:t>
      </w:r>
      <w:r>
        <w:rPr>
          <w:color w:val="000000"/>
          <w:sz w:val="20"/>
        </w:rPr>
        <w:t>11 and December 31, 2010</w:t>
      </w:r>
      <w:r w:rsidRPr="00787B7C">
        <w:rPr>
          <w:color w:val="000000"/>
          <w:sz w:val="20"/>
        </w:rPr>
        <w:t xml:space="preserve">, we have </w:t>
      </w:r>
      <w:r>
        <w:rPr>
          <w:color w:val="000000"/>
          <w:sz w:val="20"/>
        </w:rPr>
        <w:t>not recognized any</w:t>
      </w:r>
      <w:r w:rsidRPr="00787B7C">
        <w:rPr>
          <w:color w:val="000000"/>
          <w:sz w:val="20"/>
        </w:rPr>
        <w:t xml:space="preserve"> liability related to interest and penalties. The total amount of </w:t>
      </w:r>
      <w:r>
        <w:rPr>
          <w:color w:val="000000"/>
          <w:sz w:val="20"/>
        </w:rPr>
        <w:t>uncertain tax positions</w:t>
      </w:r>
      <w:r w:rsidRPr="00787B7C">
        <w:rPr>
          <w:color w:val="000000"/>
          <w:sz w:val="20"/>
        </w:rPr>
        <w:t xml:space="preserve"> that, if recognized, would affect our effective tax rate is zero based on the fact that we currently have a full reserve against our unrecognized tax benefits. </w:t>
      </w:r>
    </w:p>
    <w:p w:rsidR="00A054FE" w:rsidRPr="00787B7C" w:rsidRDefault="00A054FE" w:rsidP="00A054FE">
      <w:pPr>
        <w:rPr>
          <w:color w:val="000000"/>
          <w:sz w:val="20"/>
        </w:rPr>
      </w:pPr>
    </w:p>
    <w:p w:rsidR="00A054FE" w:rsidRDefault="00A054FE" w:rsidP="00A054FE">
      <w:pPr>
        <w:rPr>
          <w:color w:val="000000"/>
          <w:sz w:val="20"/>
        </w:rPr>
      </w:pPr>
      <w:r w:rsidRPr="00787B7C">
        <w:rPr>
          <w:color w:val="000000"/>
          <w:sz w:val="20"/>
        </w:rPr>
        <w:tab/>
        <w:t>As of December 31, 20</w:t>
      </w:r>
      <w:r>
        <w:rPr>
          <w:color w:val="000000"/>
          <w:sz w:val="20"/>
        </w:rPr>
        <w:t>11</w:t>
      </w:r>
      <w:r w:rsidRPr="00787B7C">
        <w:rPr>
          <w:color w:val="000000"/>
          <w:sz w:val="20"/>
        </w:rPr>
        <w:t>, there are no open positions for which the unrecognized tax benefits will significantly increase or decrease during the next twelve months. Additionally, tax years still open for examination by federal and state agencies as of December 31, 20</w:t>
      </w:r>
      <w:r>
        <w:rPr>
          <w:color w:val="000000"/>
          <w:sz w:val="20"/>
        </w:rPr>
        <w:t>11</w:t>
      </w:r>
      <w:r w:rsidRPr="00787B7C">
        <w:rPr>
          <w:color w:val="000000"/>
          <w:sz w:val="20"/>
        </w:rPr>
        <w:t>, are 200</w:t>
      </w:r>
      <w:r>
        <w:rPr>
          <w:color w:val="000000"/>
          <w:sz w:val="20"/>
        </w:rPr>
        <w:t>6</w:t>
      </w:r>
      <w:r w:rsidRPr="00787B7C">
        <w:rPr>
          <w:color w:val="000000"/>
          <w:sz w:val="20"/>
        </w:rPr>
        <w:t xml:space="preserve"> to 20</w:t>
      </w:r>
      <w:r>
        <w:rPr>
          <w:color w:val="000000"/>
          <w:sz w:val="20"/>
        </w:rPr>
        <w:t>11</w:t>
      </w:r>
      <w:r w:rsidRPr="00787B7C">
        <w:rPr>
          <w:color w:val="000000"/>
          <w:sz w:val="20"/>
        </w:rPr>
        <w:t>.</w:t>
      </w:r>
      <w:r>
        <w:rPr>
          <w:color w:val="000000"/>
          <w:sz w:val="20"/>
        </w:rPr>
        <w:t xml:space="preserve"> </w:t>
      </w:r>
    </w:p>
    <w:p w:rsidR="004851D7" w:rsidRDefault="004851D7">
      <w:pPr>
        <w:rPr>
          <w:color w:val="000000"/>
          <w:sz w:val="20"/>
        </w:rPr>
      </w:pPr>
    </w:p>
    <w:p w:rsidR="004851D7" w:rsidRDefault="004851D7">
      <w:pPr>
        <w:rPr>
          <w:b/>
          <w:bCs/>
          <w:color w:val="000000"/>
          <w:sz w:val="20"/>
        </w:rPr>
      </w:pPr>
    </w:p>
    <w:p w:rsidR="004851D7" w:rsidRDefault="004851D7">
      <w:pPr>
        <w:rPr>
          <w:b/>
          <w:bCs/>
          <w:color w:val="000000"/>
          <w:sz w:val="20"/>
        </w:rPr>
      </w:pPr>
    </w:p>
    <w:p w:rsidR="001C5767" w:rsidRDefault="001C5767">
      <w:pPr>
        <w:rPr>
          <w:b/>
          <w:bCs/>
          <w:color w:val="000000"/>
          <w:sz w:val="20"/>
        </w:rPr>
      </w:pPr>
    </w:p>
    <w:p w:rsidR="001C5767" w:rsidRDefault="001C5767">
      <w:pPr>
        <w:rPr>
          <w:b/>
          <w:bCs/>
          <w:color w:val="000000"/>
          <w:sz w:val="20"/>
        </w:rPr>
      </w:pPr>
    </w:p>
    <w:p w:rsidR="004851D7" w:rsidRDefault="004851D7">
      <w:pPr>
        <w:rPr>
          <w:b/>
          <w:bCs/>
          <w:color w:val="000000"/>
          <w:sz w:val="20"/>
        </w:rPr>
      </w:pPr>
    </w:p>
    <w:p w:rsidR="004851D7" w:rsidRDefault="004851D7">
      <w:pPr>
        <w:rPr>
          <w:b/>
          <w:bCs/>
          <w:color w:val="000000"/>
          <w:sz w:val="20"/>
        </w:rPr>
      </w:pPr>
      <w:r>
        <w:rPr>
          <w:b/>
          <w:bCs/>
          <w:color w:val="000000"/>
          <w:sz w:val="20"/>
        </w:rPr>
        <w:t>2.  Summary of Significant Accounting Policies (Continued)</w:t>
      </w:r>
    </w:p>
    <w:p w:rsidR="004851D7" w:rsidRDefault="004851D7">
      <w:pPr>
        <w:rPr>
          <w:b/>
          <w:bCs/>
          <w:color w:val="000000"/>
          <w:sz w:val="20"/>
        </w:rPr>
      </w:pPr>
    </w:p>
    <w:p w:rsidR="004851D7" w:rsidRDefault="004851D7">
      <w:pPr>
        <w:rPr>
          <w:b/>
          <w:bCs/>
          <w:color w:val="000000"/>
          <w:sz w:val="20"/>
        </w:rPr>
      </w:pPr>
      <w:r>
        <w:rPr>
          <w:b/>
          <w:bCs/>
          <w:color w:val="000000"/>
          <w:sz w:val="20"/>
        </w:rPr>
        <w:t>Stock-Based Compensation</w:t>
      </w:r>
    </w:p>
    <w:p w:rsidR="004851D7" w:rsidRDefault="004851D7">
      <w:pPr>
        <w:rPr>
          <w:color w:val="000000"/>
          <w:sz w:val="20"/>
        </w:rPr>
      </w:pPr>
    </w:p>
    <w:p w:rsidR="004851D7" w:rsidRDefault="004851D7">
      <w:pPr>
        <w:ind w:firstLine="720"/>
        <w:rPr>
          <w:color w:val="000000"/>
          <w:sz w:val="20"/>
          <w:szCs w:val="20"/>
        </w:rPr>
      </w:pPr>
      <w:r>
        <w:rPr>
          <w:color w:val="000000"/>
          <w:sz w:val="20"/>
          <w:szCs w:val="20"/>
        </w:rPr>
        <w:t xml:space="preserve">A stock-based compensation plan is currently offered to </w:t>
      </w:r>
      <w:proofErr w:type="spellStart"/>
      <w:r>
        <w:rPr>
          <w:color w:val="000000"/>
          <w:sz w:val="20"/>
          <w:szCs w:val="20"/>
        </w:rPr>
        <w:t>MakeMusic</w:t>
      </w:r>
      <w:proofErr w:type="spellEnd"/>
      <w:r>
        <w:rPr>
          <w:color w:val="000000"/>
          <w:sz w:val="20"/>
          <w:szCs w:val="20"/>
        </w:rPr>
        <w:t xml:space="preserve"> employees, board members, and consultants. This plan is administered by the compensation committee of the Board of Directors, which recommends to the Board those persons eligible to receive awards and the number of shares and/or options subject to each award, the terms, conditions, performance measures, and other provisions of the award. Readers should refer to Note 5 for additional information related to our stock-based compensation plans. </w:t>
      </w:r>
    </w:p>
    <w:p w:rsidR="004851D7" w:rsidRDefault="004851D7">
      <w:pPr>
        <w:rPr>
          <w:color w:val="000000"/>
          <w:sz w:val="20"/>
          <w:szCs w:val="20"/>
        </w:rPr>
      </w:pPr>
    </w:p>
    <w:p w:rsidR="004851D7" w:rsidRDefault="004851D7">
      <w:pPr>
        <w:ind w:firstLine="720"/>
        <w:rPr>
          <w:color w:val="000000"/>
          <w:sz w:val="20"/>
          <w:szCs w:val="20"/>
        </w:rPr>
      </w:pPr>
      <w:r>
        <w:rPr>
          <w:color w:val="000000"/>
          <w:sz w:val="20"/>
          <w:szCs w:val="20"/>
        </w:rPr>
        <w:t xml:space="preserve">Stock based compensation expense for the year ended December 31, </w:t>
      </w:r>
      <w:r w:rsidR="00FA54BF">
        <w:rPr>
          <w:color w:val="000000"/>
          <w:sz w:val="20"/>
          <w:szCs w:val="20"/>
        </w:rPr>
        <w:t xml:space="preserve">2011 </w:t>
      </w:r>
      <w:r w:rsidR="00F0028D">
        <w:rPr>
          <w:color w:val="000000"/>
          <w:sz w:val="20"/>
          <w:szCs w:val="20"/>
        </w:rPr>
        <w:t>was $</w:t>
      </w:r>
      <w:r w:rsidR="00F823DD" w:rsidRPr="00F823DD">
        <w:rPr>
          <w:color w:val="000000"/>
          <w:sz w:val="20"/>
          <w:szCs w:val="20"/>
        </w:rPr>
        <w:t>419</w:t>
      </w:r>
      <w:r w:rsidR="00F0028D" w:rsidRPr="00F823DD">
        <w:rPr>
          <w:color w:val="000000"/>
          <w:sz w:val="20"/>
          <w:szCs w:val="20"/>
        </w:rPr>
        <w:t>,000,</w:t>
      </w:r>
      <w:r w:rsidR="00F0028D">
        <w:rPr>
          <w:color w:val="000000"/>
          <w:sz w:val="20"/>
          <w:szCs w:val="20"/>
        </w:rPr>
        <w:t xml:space="preserve"> plus an additional $6,000 accrued until restricted shares are issued in </w:t>
      </w:r>
      <w:r w:rsidR="00FA54BF">
        <w:rPr>
          <w:color w:val="000000"/>
          <w:sz w:val="20"/>
          <w:szCs w:val="20"/>
        </w:rPr>
        <w:t>2012</w:t>
      </w:r>
      <w:r w:rsidR="00F0028D">
        <w:rPr>
          <w:color w:val="000000"/>
          <w:sz w:val="20"/>
          <w:szCs w:val="20"/>
        </w:rPr>
        <w:t xml:space="preserve">. </w:t>
      </w:r>
      <w:r w:rsidR="00F37B16">
        <w:rPr>
          <w:color w:val="000000"/>
          <w:sz w:val="20"/>
          <w:szCs w:val="20"/>
        </w:rPr>
        <w:t>Stock based compensation expense for the year ended December 31, 2010 was $438,000, plus an additional $63,000 accrued until restricted shares which were issued in 2011.</w:t>
      </w:r>
    </w:p>
    <w:p w:rsidR="004851D7" w:rsidRDefault="004851D7">
      <w:pPr>
        <w:rPr>
          <w:color w:val="000000"/>
          <w:sz w:val="20"/>
          <w:szCs w:val="20"/>
        </w:rPr>
      </w:pPr>
    </w:p>
    <w:p w:rsidR="004851D7" w:rsidRDefault="004851D7">
      <w:pPr>
        <w:ind w:firstLine="720"/>
        <w:rPr>
          <w:i/>
          <w:color w:val="000000"/>
          <w:sz w:val="20"/>
          <w:szCs w:val="20"/>
        </w:rPr>
      </w:pPr>
      <w:r>
        <w:rPr>
          <w:color w:val="000000"/>
          <w:sz w:val="20"/>
          <w:szCs w:val="20"/>
        </w:rPr>
        <w:t xml:space="preserve">During </w:t>
      </w:r>
      <w:r w:rsidR="00FA54BF">
        <w:rPr>
          <w:color w:val="000000"/>
          <w:sz w:val="20"/>
          <w:szCs w:val="20"/>
        </w:rPr>
        <w:t xml:space="preserve">2011 </w:t>
      </w:r>
      <w:r>
        <w:rPr>
          <w:color w:val="000000"/>
          <w:sz w:val="20"/>
          <w:szCs w:val="20"/>
        </w:rPr>
        <w:t xml:space="preserve">and </w:t>
      </w:r>
      <w:r w:rsidR="00FA54BF">
        <w:rPr>
          <w:color w:val="000000"/>
          <w:sz w:val="20"/>
          <w:szCs w:val="20"/>
        </w:rPr>
        <w:t xml:space="preserve">2010 </w:t>
      </w:r>
      <w:r>
        <w:rPr>
          <w:color w:val="000000"/>
          <w:sz w:val="20"/>
          <w:szCs w:val="20"/>
        </w:rPr>
        <w:t xml:space="preserve">we used the Black-Scholes option pricing model to estimate the fair value of stock-based awards with the weighted average assumptions noted in the following table: </w:t>
      </w:r>
    </w:p>
    <w:tbl>
      <w:tblPr>
        <w:tblW w:w="8160" w:type="dxa"/>
        <w:tblInd w:w="708" w:type="dxa"/>
        <w:tblLook w:val="0000" w:firstRow="0" w:lastRow="0" w:firstColumn="0" w:lastColumn="0" w:noHBand="0" w:noVBand="0"/>
      </w:tblPr>
      <w:tblGrid>
        <w:gridCol w:w="4560"/>
        <w:gridCol w:w="1672"/>
        <w:gridCol w:w="236"/>
        <w:gridCol w:w="1692"/>
      </w:tblGrid>
      <w:tr w:rsidR="004851D7" w:rsidTr="00445FBB">
        <w:trPr>
          <w:trHeight w:val="20"/>
        </w:trPr>
        <w:tc>
          <w:tcPr>
            <w:tcW w:w="4560" w:type="dxa"/>
            <w:tcBorders>
              <w:top w:val="nil"/>
              <w:left w:val="nil"/>
              <w:bottom w:val="nil"/>
              <w:right w:val="nil"/>
            </w:tcBorders>
            <w:noWrap/>
            <w:vAlign w:val="bottom"/>
          </w:tcPr>
          <w:p w:rsidR="004851D7" w:rsidRDefault="004851D7">
            <w:pPr>
              <w:rPr>
                <w:sz w:val="20"/>
                <w:szCs w:val="20"/>
              </w:rPr>
            </w:pPr>
          </w:p>
        </w:tc>
        <w:tc>
          <w:tcPr>
            <w:tcW w:w="1672" w:type="dxa"/>
            <w:tcBorders>
              <w:top w:val="nil"/>
              <w:left w:val="nil"/>
              <w:bottom w:val="nil"/>
              <w:right w:val="nil"/>
            </w:tcBorders>
            <w:noWrap/>
            <w:vAlign w:val="bottom"/>
          </w:tcPr>
          <w:p w:rsidR="004851D7" w:rsidRDefault="004851D7">
            <w:pPr>
              <w:jc w:val="center"/>
              <w:rPr>
                <w:sz w:val="20"/>
                <w:szCs w:val="20"/>
              </w:rPr>
            </w:pPr>
          </w:p>
        </w:tc>
        <w:tc>
          <w:tcPr>
            <w:tcW w:w="236" w:type="dxa"/>
            <w:tcBorders>
              <w:top w:val="nil"/>
              <w:left w:val="nil"/>
              <w:bottom w:val="nil"/>
              <w:right w:val="nil"/>
            </w:tcBorders>
            <w:noWrap/>
            <w:vAlign w:val="bottom"/>
          </w:tcPr>
          <w:p w:rsidR="004851D7" w:rsidRDefault="004851D7">
            <w:pPr>
              <w:jc w:val="right"/>
              <w:rPr>
                <w:sz w:val="20"/>
                <w:szCs w:val="20"/>
              </w:rPr>
            </w:pPr>
          </w:p>
        </w:tc>
        <w:tc>
          <w:tcPr>
            <w:tcW w:w="1692" w:type="dxa"/>
            <w:tcBorders>
              <w:top w:val="nil"/>
              <w:left w:val="nil"/>
              <w:bottom w:val="nil"/>
              <w:right w:val="nil"/>
            </w:tcBorders>
            <w:noWrap/>
            <w:vAlign w:val="bottom"/>
          </w:tcPr>
          <w:p w:rsidR="004851D7" w:rsidRDefault="004851D7">
            <w:pPr>
              <w:jc w:val="center"/>
              <w:rPr>
                <w:sz w:val="20"/>
                <w:szCs w:val="20"/>
              </w:rPr>
            </w:pPr>
          </w:p>
        </w:tc>
      </w:tr>
      <w:tr w:rsidR="004851D7">
        <w:trPr>
          <w:trHeight w:val="324"/>
        </w:trPr>
        <w:tc>
          <w:tcPr>
            <w:tcW w:w="4560" w:type="dxa"/>
            <w:tcBorders>
              <w:top w:val="nil"/>
              <w:left w:val="nil"/>
              <w:bottom w:val="nil"/>
              <w:right w:val="nil"/>
            </w:tcBorders>
            <w:noWrap/>
            <w:vAlign w:val="bottom"/>
          </w:tcPr>
          <w:p w:rsidR="004851D7" w:rsidRDefault="004851D7">
            <w:pPr>
              <w:rPr>
                <w:sz w:val="20"/>
                <w:szCs w:val="20"/>
              </w:rPr>
            </w:pPr>
          </w:p>
        </w:tc>
        <w:tc>
          <w:tcPr>
            <w:tcW w:w="1672" w:type="dxa"/>
            <w:tcBorders>
              <w:top w:val="nil"/>
              <w:left w:val="nil"/>
              <w:bottom w:val="single" w:sz="8" w:space="0" w:color="auto"/>
              <w:right w:val="nil"/>
            </w:tcBorders>
            <w:noWrap/>
            <w:vAlign w:val="bottom"/>
          </w:tcPr>
          <w:p w:rsidR="004851D7" w:rsidRDefault="00FA54BF" w:rsidP="00223B45">
            <w:pPr>
              <w:jc w:val="center"/>
              <w:rPr>
                <w:sz w:val="20"/>
                <w:szCs w:val="20"/>
              </w:rPr>
            </w:pPr>
            <w:r>
              <w:rPr>
                <w:sz w:val="20"/>
                <w:szCs w:val="20"/>
              </w:rPr>
              <w:t>2011</w:t>
            </w:r>
          </w:p>
        </w:tc>
        <w:tc>
          <w:tcPr>
            <w:tcW w:w="236" w:type="dxa"/>
            <w:tcBorders>
              <w:top w:val="nil"/>
              <w:left w:val="nil"/>
              <w:bottom w:val="nil"/>
              <w:right w:val="nil"/>
            </w:tcBorders>
            <w:noWrap/>
            <w:vAlign w:val="bottom"/>
          </w:tcPr>
          <w:p w:rsidR="004851D7" w:rsidRDefault="004851D7">
            <w:pPr>
              <w:jc w:val="right"/>
              <w:rPr>
                <w:sz w:val="20"/>
                <w:szCs w:val="20"/>
              </w:rPr>
            </w:pPr>
          </w:p>
        </w:tc>
        <w:tc>
          <w:tcPr>
            <w:tcW w:w="1692" w:type="dxa"/>
            <w:tcBorders>
              <w:top w:val="nil"/>
              <w:left w:val="nil"/>
              <w:bottom w:val="single" w:sz="8" w:space="0" w:color="auto"/>
              <w:right w:val="nil"/>
            </w:tcBorders>
            <w:noWrap/>
            <w:vAlign w:val="bottom"/>
          </w:tcPr>
          <w:p w:rsidR="004851D7" w:rsidRDefault="00FA54BF" w:rsidP="00223B45">
            <w:pPr>
              <w:jc w:val="center"/>
              <w:rPr>
                <w:sz w:val="20"/>
                <w:szCs w:val="20"/>
              </w:rPr>
            </w:pPr>
            <w:r>
              <w:rPr>
                <w:sz w:val="20"/>
                <w:szCs w:val="20"/>
              </w:rPr>
              <w:t>2010</w:t>
            </w:r>
          </w:p>
        </w:tc>
      </w:tr>
      <w:tr w:rsidR="004851D7">
        <w:trPr>
          <w:trHeight w:val="312"/>
        </w:trPr>
        <w:tc>
          <w:tcPr>
            <w:tcW w:w="4560" w:type="dxa"/>
            <w:tcBorders>
              <w:top w:val="nil"/>
              <w:left w:val="nil"/>
              <w:bottom w:val="nil"/>
              <w:right w:val="nil"/>
            </w:tcBorders>
            <w:noWrap/>
            <w:vAlign w:val="bottom"/>
          </w:tcPr>
          <w:p w:rsidR="004851D7" w:rsidRDefault="004851D7">
            <w:pPr>
              <w:rPr>
                <w:sz w:val="20"/>
                <w:szCs w:val="20"/>
              </w:rPr>
            </w:pPr>
          </w:p>
        </w:tc>
        <w:tc>
          <w:tcPr>
            <w:tcW w:w="1672" w:type="dxa"/>
            <w:tcBorders>
              <w:top w:val="nil"/>
              <w:left w:val="nil"/>
              <w:bottom w:val="nil"/>
              <w:right w:val="nil"/>
            </w:tcBorders>
            <w:noWrap/>
            <w:vAlign w:val="bottom"/>
          </w:tcPr>
          <w:p w:rsidR="004851D7" w:rsidRDefault="004851D7">
            <w:pPr>
              <w:rPr>
                <w:sz w:val="20"/>
                <w:szCs w:val="20"/>
              </w:rPr>
            </w:pPr>
          </w:p>
        </w:tc>
        <w:tc>
          <w:tcPr>
            <w:tcW w:w="236" w:type="dxa"/>
            <w:tcBorders>
              <w:top w:val="nil"/>
              <w:left w:val="nil"/>
              <w:bottom w:val="nil"/>
              <w:right w:val="nil"/>
            </w:tcBorders>
            <w:noWrap/>
            <w:vAlign w:val="bottom"/>
          </w:tcPr>
          <w:p w:rsidR="004851D7" w:rsidRDefault="004851D7">
            <w:pPr>
              <w:rPr>
                <w:sz w:val="20"/>
                <w:szCs w:val="20"/>
              </w:rPr>
            </w:pPr>
          </w:p>
        </w:tc>
        <w:tc>
          <w:tcPr>
            <w:tcW w:w="1692" w:type="dxa"/>
            <w:tcBorders>
              <w:top w:val="nil"/>
              <w:left w:val="nil"/>
              <w:bottom w:val="nil"/>
              <w:right w:val="nil"/>
            </w:tcBorders>
            <w:noWrap/>
            <w:vAlign w:val="bottom"/>
          </w:tcPr>
          <w:p w:rsidR="004851D7" w:rsidRDefault="004851D7">
            <w:pPr>
              <w:rPr>
                <w:sz w:val="20"/>
                <w:szCs w:val="20"/>
              </w:rPr>
            </w:pPr>
          </w:p>
        </w:tc>
      </w:tr>
      <w:tr w:rsidR="004851D7">
        <w:trPr>
          <w:trHeight w:val="312"/>
        </w:trPr>
        <w:tc>
          <w:tcPr>
            <w:tcW w:w="4560" w:type="dxa"/>
            <w:tcBorders>
              <w:top w:val="nil"/>
              <w:left w:val="nil"/>
              <w:bottom w:val="nil"/>
              <w:right w:val="nil"/>
            </w:tcBorders>
            <w:noWrap/>
            <w:vAlign w:val="bottom"/>
          </w:tcPr>
          <w:p w:rsidR="004851D7" w:rsidRDefault="004851D7">
            <w:pPr>
              <w:rPr>
                <w:sz w:val="20"/>
                <w:szCs w:val="20"/>
              </w:rPr>
            </w:pPr>
            <w:r>
              <w:rPr>
                <w:sz w:val="20"/>
                <w:szCs w:val="20"/>
              </w:rPr>
              <w:t>Risk-free interest rate</w:t>
            </w:r>
          </w:p>
        </w:tc>
        <w:tc>
          <w:tcPr>
            <w:tcW w:w="1672" w:type="dxa"/>
            <w:tcBorders>
              <w:top w:val="nil"/>
              <w:left w:val="nil"/>
              <w:bottom w:val="nil"/>
              <w:right w:val="nil"/>
            </w:tcBorders>
            <w:noWrap/>
            <w:vAlign w:val="bottom"/>
          </w:tcPr>
          <w:p w:rsidR="004851D7" w:rsidRDefault="00F823DD" w:rsidP="00F823DD">
            <w:pPr>
              <w:jc w:val="right"/>
              <w:rPr>
                <w:sz w:val="20"/>
                <w:szCs w:val="20"/>
              </w:rPr>
            </w:pPr>
            <w:r>
              <w:rPr>
                <w:sz w:val="20"/>
                <w:szCs w:val="20"/>
              </w:rPr>
              <w:t>1</w:t>
            </w:r>
            <w:r w:rsidR="003B0B07">
              <w:rPr>
                <w:sz w:val="20"/>
                <w:szCs w:val="20"/>
              </w:rPr>
              <w:t>.</w:t>
            </w:r>
            <w:r>
              <w:rPr>
                <w:sz w:val="20"/>
                <w:szCs w:val="20"/>
              </w:rPr>
              <w:t>12</w:t>
            </w:r>
            <w:r w:rsidR="004851D7">
              <w:rPr>
                <w:sz w:val="20"/>
                <w:szCs w:val="20"/>
              </w:rPr>
              <w:t>%</w:t>
            </w:r>
          </w:p>
        </w:tc>
        <w:tc>
          <w:tcPr>
            <w:tcW w:w="236" w:type="dxa"/>
            <w:tcBorders>
              <w:top w:val="nil"/>
              <w:left w:val="nil"/>
              <w:bottom w:val="nil"/>
              <w:right w:val="nil"/>
            </w:tcBorders>
            <w:noWrap/>
            <w:vAlign w:val="bottom"/>
          </w:tcPr>
          <w:p w:rsidR="004851D7" w:rsidRDefault="004851D7">
            <w:pPr>
              <w:rPr>
                <w:sz w:val="20"/>
                <w:szCs w:val="20"/>
              </w:rPr>
            </w:pPr>
          </w:p>
        </w:tc>
        <w:tc>
          <w:tcPr>
            <w:tcW w:w="1692" w:type="dxa"/>
            <w:tcBorders>
              <w:top w:val="nil"/>
              <w:left w:val="nil"/>
              <w:bottom w:val="nil"/>
              <w:right w:val="nil"/>
            </w:tcBorders>
            <w:noWrap/>
            <w:vAlign w:val="bottom"/>
          </w:tcPr>
          <w:p w:rsidR="004851D7" w:rsidRDefault="00F823DD" w:rsidP="00163082">
            <w:pPr>
              <w:jc w:val="right"/>
              <w:rPr>
                <w:sz w:val="20"/>
                <w:szCs w:val="20"/>
              </w:rPr>
            </w:pPr>
            <w:r>
              <w:rPr>
                <w:sz w:val="20"/>
                <w:szCs w:val="20"/>
              </w:rPr>
              <w:t>1.45</w:t>
            </w:r>
            <w:r w:rsidR="004851D7">
              <w:rPr>
                <w:sz w:val="20"/>
                <w:szCs w:val="20"/>
              </w:rPr>
              <w:t>%</w:t>
            </w:r>
          </w:p>
        </w:tc>
      </w:tr>
      <w:tr w:rsidR="004851D7">
        <w:trPr>
          <w:trHeight w:val="312"/>
        </w:trPr>
        <w:tc>
          <w:tcPr>
            <w:tcW w:w="4560" w:type="dxa"/>
            <w:tcBorders>
              <w:top w:val="nil"/>
              <w:left w:val="nil"/>
              <w:bottom w:val="nil"/>
              <w:right w:val="nil"/>
            </w:tcBorders>
            <w:noWrap/>
            <w:vAlign w:val="bottom"/>
          </w:tcPr>
          <w:p w:rsidR="004851D7" w:rsidRDefault="004851D7">
            <w:pPr>
              <w:rPr>
                <w:sz w:val="20"/>
                <w:szCs w:val="20"/>
              </w:rPr>
            </w:pPr>
            <w:r>
              <w:rPr>
                <w:sz w:val="20"/>
                <w:szCs w:val="20"/>
              </w:rPr>
              <w:t>Expected life, in years</w:t>
            </w:r>
          </w:p>
        </w:tc>
        <w:tc>
          <w:tcPr>
            <w:tcW w:w="1672" w:type="dxa"/>
            <w:tcBorders>
              <w:top w:val="nil"/>
              <w:left w:val="nil"/>
              <w:bottom w:val="nil"/>
              <w:right w:val="nil"/>
            </w:tcBorders>
            <w:noWrap/>
            <w:vAlign w:val="bottom"/>
          </w:tcPr>
          <w:p w:rsidR="004851D7" w:rsidRDefault="003B0B07" w:rsidP="00163082">
            <w:pPr>
              <w:jc w:val="right"/>
              <w:rPr>
                <w:sz w:val="20"/>
                <w:szCs w:val="20"/>
              </w:rPr>
            </w:pPr>
            <w:r>
              <w:rPr>
                <w:sz w:val="20"/>
                <w:szCs w:val="20"/>
              </w:rPr>
              <w:t>4</w:t>
            </w:r>
            <w:r w:rsidR="004851D7">
              <w:rPr>
                <w:sz w:val="20"/>
                <w:szCs w:val="20"/>
              </w:rPr>
              <w:t>.</w:t>
            </w:r>
            <w:r>
              <w:rPr>
                <w:sz w:val="20"/>
                <w:szCs w:val="20"/>
              </w:rPr>
              <w:t>4</w:t>
            </w:r>
          </w:p>
        </w:tc>
        <w:tc>
          <w:tcPr>
            <w:tcW w:w="236" w:type="dxa"/>
            <w:tcBorders>
              <w:top w:val="nil"/>
              <w:left w:val="nil"/>
              <w:bottom w:val="nil"/>
              <w:right w:val="nil"/>
            </w:tcBorders>
            <w:noWrap/>
            <w:vAlign w:val="bottom"/>
          </w:tcPr>
          <w:p w:rsidR="004851D7" w:rsidRDefault="004851D7">
            <w:pPr>
              <w:rPr>
                <w:sz w:val="20"/>
                <w:szCs w:val="20"/>
              </w:rPr>
            </w:pPr>
          </w:p>
        </w:tc>
        <w:tc>
          <w:tcPr>
            <w:tcW w:w="1692" w:type="dxa"/>
            <w:tcBorders>
              <w:top w:val="nil"/>
              <w:left w:val="nil"/>
              <w:bottom w:val="nil"/>
              <w:right w:val="nil"/>
            </w:tcBorders>
            <w:noWrap/>
            <w:vAlign w:val="bottom"/>
          </w:tcPr>
          <w:p w:rsidR="004851D7" w:rsidRDefault="003B0B07" w:rsidP="00163082">
            <w:pPr>
              <w:jc w:val="right"/>
              <w:rPr>
                <w:sz w:val="20"/>
                <w:szCs w:val="20"/>
              </w:rPr>
            </w:pPr>
            <w:r>
              <w:rPr>
                <w:sz w:val="20"/>
                <w:szCs w:val="20"/>
              </w:rPr>
              <w:t>3</w:t>
            </w:r>
            <w:r w:rsidR="004851D7">
              <w:rPr>
                <w:sz w:val="20"/>
                <w:szCs w:val="20"/>
              </w:rPr>
              <w:t>.</w:t>
            </w:r>
            <w:r>
              <w:rPr>
                <w:sz w:val="20"/>
                <w:szCs w:val="20"/>
              </w:rPr>
              <w:t>8</w:t>
            </w:r>
          </w:p>
        </w:tc>
      </w:tr>
      <w:tr w:rsidR="004851D7">
        <w:trPr>
          <w:trHeight w:val="312"/>
        </w:trPr>
        <w:tc>
          <w:tcPr>
            <w:tcW w:w="4560" w:type="dxa"/>
            <w:tcBorders>
              <w:top w:val="nil"/>
              <w:left w:val="nil"/>
              <w:bottom w:val="nil"/>
              <w:right w:val="nil"/>
            </w:tcBorders>
            <w:noWrap/>
            <w:vAlign w:val="bottom"/>
          </w:tcPr>
          <w:p w:rsidR="004851D7" w:rsidRDefault="004851D7">
            <w:pPr>
              <w:rPr>
                <w:sz w:val="20"/>
                <w:szCs w:val="20"/>
              </w:rPr>
            </w:pPr>
            <w:r>
              <w:rPr>
                <w:sz w:val="20"/>
                <w:szCs w:val="20"/>
              </w:rPr>
              <w:t>Expected volatility</w:t>
            </w:r>
          </w:p>
        </w:tc>
        <w:tc>
          <w:tcPr>
            <w:tcW w:w="1672" w:type="dxa"/>
            <w:tcBorders>
              <w:top w:val="nil"/>
              <w:left w:val="nil"/>
              <w:bottom w:val="nil"/>
              <w:right w:val="nil"/>
            </w:tcBorders>
            <w:noWrap/>
            <w:vAlign w:val="bottom"/>
          </w:tcPr>
          <w:p w:rsidR="004851D7" w:rsidRDefault="00F823DD" w:rsidP="00F823DD">
            <w:pPr>
              <w:jc w:val="right"/>
              <w:rPr>
                <w:sz w:val="20"/>
                <w:szCs w:val="20"/>
              </w:rPr>
            </w:pPr>
            <w:r>
              <w:rPr>
                <w:sz w:val="20"/>
                <w:szCs w:val="20"/>
              </w:rPr>
              <w:t>69</w:t>
            </w:r>
            <w:r w:rsidR="004851D7">
              <w:rPr>
                <w:sz w:val="20"/>
                <w:szCs w:val="20"/>
              </w:rPr>
              <w:t>.</w:t>
            </w:r>
            <w:r>
              <w:rPr>
                <w:sz w:val="20"/>
                <w:szCs w:val="20"/>
              </w:rPr>
              <w:t>66</w:t>
            </w:r>
            <w:r w:rsidR="004851D7">
              <w:rPr>
                <w:sz w:val="20"/>
                <w:szCs w:val="20"/>
              </w:rPr>
              <w:t>%</w:t>
            </w:r>
          </w:p>
        </w:tc>
        <w:tc>
          <w:tcPr>
            <w:tcW w:w="236" w:type="dxa"/>
            <w:tcBorders>
              <w:top w:val="nil"/>
              <w:left w:val="nil"/>
              <w:bottom w:val="nil"/>
              <w:right w:val="nil"/>
            </w:tcBorders>
            <w:noWrap/>
            <w:vAlign w:val="bottom"/>
          </w:tcPr>
          <w:p w:rsidR="004851D7" w:rsidRDefault="004851D7">
            <w:pPr>
              <w:rPr>
                <w:sz w:val="20"/>
                <w:szCs w:val="20"/>
              </w:rPr>
            </w:pPr>
          </w:p>
        </w:tc>
        <w:tc>
          <w:tcPr>
            <w:tcW w:w="1692" w:type="dxa"/>
            <w:tcBorders>
              <w:top w:val="nil"/>
              <w:left w:val="nil"/>
              <w:bottom w:val="nil"/>
              <w:right w:val="nil"/>
            </w:tcBorders>
            <w:noWrap/>
            <w:vAlign w:val="bottom"/>
          </w:tcPr>
          <w:p w:rsidR="004851D7" w:rsidRDefault="00F823DD" w:rsidP="00F823DD">
            <w:pPr>
              <w:jc w:val="right"/>
              <w:rPr>
                <w:sz w:val="20"/>
                <w:szCs w:val="20"/>
              </w:rPr>
            </w:pPr>
            <w:r>
              <w:rPr>
                <w:sz w:val="20"/>
                <w:szCs w:val="20"/>
              </w:rPr>
              <w:t>79.71</w:t>
            </w:r>
            <w:r w:rsidR="004851D7">
              <w:rPr>
                <w:sz w:val="20"/>
                <w:szCs w:val="20"/>
              </w:rPr>
              <w:t>%</w:t>
            </w:r>
          </w:p>
        </w:tc>
      </w:tr>
      <w:tr w:rsidR="004851D7">
        <w:trPr>
          <w:trHeight w:val="312"/>
        </w:trPr>
        <w:tc>
          <w:tcPr>
            <w:tcW w:w="4560" w:type="dxa"/>
            <w:tcBorders>
              <w:top w:val="nil"/>
              <w:left w:val="nil"/>
              <w:bottom w:val="nil"/>
              <w:right w:val="nil"/>
            </w:tcBorders>
            <w:noWrap/>
            <w:vAlign w:val="bottom"/>
          </w:tcPr>
          <w:p w:rsidR="004851D7" w:rsidRDefault="004851D7">
            <w:pPr>
              <w:rPr>
                <w:sz w:val="20"/>
                <w:szCs w:val="20"/>
              </w:rPr>
            </w:pPr>
            <w:r>
              <w:rPr>
                <w:sz w:val="20"/>
                <w:szCs w:val="20"/>
              </w:rPr>
              <w:t>Dividend yield</w:t>
            </w:r>
          </w:p>
        </w:tc>
        <w:tc>
          <w:tcPr>
            <w:tcW w:w="1672" w:type="dxa"/>
            <w:tcBorders>
              <w:top w:val="nil"/>
              <w:left w:val="nil"/>
              <w:bottom w:val="nil"/>
              <w:right w:val="nil"/>
            </w:tcBorders>
            <w:noWrap/>
            <w:vAlign w:val="bottom"/>
          </w:tcPr>
          <w:p w:rsidR="004851D7" w:rsidRDefault="004851D7">
            <w:pPr>
              <w:jc w:val="right"/>
              <w:rPr>
                <w:sz w:val="20"/>
                <w:szCs w:val="20"/>
              </w:rPr>
            </w:pPr>
            <w:r>
              <w:rPr>
                <w:sz w:val="20"/>
                <w:szCs w:val="20"/>
              </w:rPr>
              <w:t>0.00%</w:t>
            </w:r>
          </w:p>
        </w:tc>
        <w:tc>
          <w:tcPr>
            <w:tcW w:w="236" w:type="dxa"/>
            <w:tcBorders>
              <w:top w:val="nil"/>
              <w:left w:val="nil"/>
              <w:bottom w:val="nil"/>
              <w:right w:val="nil"/>
            </w:tcBorders>
            <w:noWrap/>
            <w:vAlign w:val="bottom"/>
          </w:tcPr>
          <w:p w:rsidR="004851D7" w:rsidRDefault="004851D7">
            <w:pPr>
              <w:rPr>
                <w:sz w:val="20"/>
                <w:szCs w:val="20"/>
              </w:rPr>
            </w:pPr>
          </w:p>
        </w:tc>
        <w:tc>
          <w:tcPr>
            <w:tcW w:w="1692" w:type="dxa"/>
            <w:tcBorders>
              <w:top w:val="nil"/>
              <w:left w:val="nil"/>
              <w:bottom w:val="nil"/>
              <w:right w:val="nil"/>
            </w:tcBorders>
            <w:noWrap/>
            <w:vAlign w:val="bottom"/>
          </w:tcPr>
          <w:p w:rsidR="004851D7" w:rsidRDefault="004851D7">
            <w:pPr>
              <w:jc w:val="right"/>
              <w:rPr>
                <w:sz w:val="20"/>
                <w:szCs w:val="20"/>
              </w:rPr>
            </w:pPr>
            <w:r>
              <w:rPr>
                <w:sz w:val="20"/>
                <w:szCs w:val="20"/>
              </w:rPr>
              <w:t>0.00%</w:t>
            </w:r>
          </w:p>
        </w:tc>
      </w:tr>
    </w:tbl>
    <w:p w:rsidR="004851D7" w:rsidRDefault="004851D7">
      <w:pPr>
        <w:rPr>
          <w:color w:val="000000"/>
          <w:sz w:val="20"/>
          <w:szCs w:val="20"/>
        </w:rPr>
      </w:pPr>
    </w:p>
    <w:p w:rsidR="004851D7" w:rsidRDefault="004851D7">
      <w:pPr>
        <w:ind w:firstLine="720"/>
        <w:rPr>
          <w:color w:val="000000"/>
          <w:sz w:val="20"/>
          <w:szCs w:val="20"/>
        </w:rPr>
      </w:pPr>
      <w:r>
        <w:rPr>
          <w:color w:val="000000"/>
          <w:sz w:val="20"/>
          <w:szCs w:val="20"/>
        </w:rPr>
        <w:t xml:space="preserve">Expected volatility is based on the historical volatility of our share price for the period prior to option grant equivalent to the expected life of the options. The expected term is based on management’s estimate of when the option will be exercised which is generally </w:t>
      </w:r>
      <w:r w:rsidR="00BB59A8">
        <w:rPr>
          <w:color w:val="000000"/>
          <w:sz w:val="20"/>
          <w:szCs w:val="20"/>
        </w:rPr>
        <w:t>the midpoint between the vesting period and the contractual life</w:t>
      </w:r>
      <w:r>
        <w:rPr>
          <w:color w:val="000000"/>
          <w:sz w:val="20"/>
          <w:szCs w:val="20"/>
        </w:rPr>
        <w:t xml:space="preserve">. The risk-free interest rate for periods within the contractual life of the option is based on the U.S. Treasury yield curve in effect at the time of grant. </w:t>
      </w:r>
    </w:p>
    <w:p w:rsidR="004851D7" w:rsidRDefault="004851D7">
      <w:pPr>
        <w:rPr>
          <w:b/>
          <w:bCs/>
          <w:color w:val="000000"/>
          <w:sz w:val="20"/>
        </w:rPr>
      </w:pPr>
    </w:p>
    <w:p w:rsidR="004851D7" w:rsidRDefault="004851D7">
      <w:pPr>
        <w:rPr>
          <w:b/>
          <w:bCs/>
          <w:color w:val="000000"/>
          <w:sz w:val="20"/>
        </w:rPr>
      </w:pPr>
      <w:r>
        <w:rPr>
          <w:b/>
          <w:bCs/>
          <w:color w:val="000000"/>
          <w:sz w:val="20"/>
        </w:rPr>
        <w:t>Advertising and Promotion</w:t>
      </w:r>
    </w:p>
    <w:p w:rsidR="004851D7" w:rsidRDefault="004851D7">
      <w:pPr>
        <w:rPr>
          <w:color w:val="000000"/>
          <w:sz w:val="20"/>
        </w:rPr>
      </w:pPr>
    </w:p>
    <w:p w:rsidR="004851D7" w:rsidRDefault="004851D7">
      <w:pPr>
        <w:rPr>
          <w:color w:val="000000"/>
          <w:sz w:val="20"/>
        </w:rPr>
      </w:pPr>
      <w:r>
        <w:rPr>
          <w:color w:val="000000"/>
          <w:sz w:val="20"/>
        </w:rPr>
        <w:tab/>
        <w:t>Product costs for promotional samples are classified in the statement of income as sales and marketing expense. Costs associated with the purchase of tradeshow booths and equipment are included in capitalized property and equipment and depreciated over their estimated useful lives. All other advertising costs are expensed as incurred. Sales and marketing expenses include advertising expense of $</w:t>
      </w:r>
      <w:r w:rsidR="004A0A8A">
        <w:rPr>
          <w:color w:val="000000"/>
          <w:sz w:val="20"/>
        </w:rPr>
        <w:t>780</w:t>
      </w:r>
      <w:r>
        <w:rPr>
          <w:color w:val="000000"/>
          <w:sz w:val="20"/>
        </w:rPr>
        <w:t>,000 and $</w:t>
      </w:r>
      <w:r w:rsidR="00FA54BF">
        <w:rPr>
          <w:color w:val="000000"/>
          <w:sz w:val="20"/>
        </w:rPr>
        <w:t>872</w:t>
      </w:r>
      <w:r>
        <w:rPr>
          <w:color w:val="000000"/>
          <w:sz w:val="20"/>
        </w:rPr>
        <w:t>,000 for the years ended December 31, 201</w:t>
      </w:r>
      <w:r w:rsidR="00FA54BF">
        <w:rPr>
          <w:color w:val="000000"/>
          <w:sz w:val="20"/>
        </w:rPr>
        <w:t>1</w:t>
      </w:r>
      <w:r>
        <w:rPr>
          <w:color w:val="000000"/>
          <w:sz w:val="20"/>
        </w:rPr>
        <w:t xml:space="preserve"> and </w:t>
      </w:r>
      <w:r w:rsidR="00FA54BF">
        <w:rPr>
          <w:color w:val="000000"/>
          <w:sz w:val="20"/>
        </w:rPr>
        <w:t>2010</w:t>
      </w:r>
      <w:r>
        <w:rPr>
          <w:color w:val="000000"/>
          <w:sz w:val="20"/>
        </w:rPr>
        <w:t>, respectively.</w:t>
      </w:r>
    </w:p>
    <w:p w:rsidR="004851D7" w:rsidRDefault="004851D7">
      <w:pPr>
        <w:rPr>
          <w:color w:val="000000"/>
          <w:sz w:val="20"/>
        </w:rPr>
      </w:pPr>
    </w:p>
    <w:p w:rsidR="004851D7" w:rsidRDefault="004851D7">
      <w:pPr>
        <w:rPr>
          <w:b/>
          <w:bCs/>
          <w:color w:val="000000"/>
          <w:sz w:val="20"/>
        </w:rPr>
      </w:pPr>
      <w:r>
        <w:rPr>
          <w:b/>
          <w:bCs/>
          <w:color w:val="000000"/>
          <w:sz w:val="20"/>
        </w:rPr>
        <w:t>Use of Estimates</w:t>
      </w:r>
    </w:p>
    <w:p w:rsidR="004851D7" w:rsidRDefault="004851D7">
      <w:pPr>
        <w:rPr>
          <w:color w:val="000000"/>
          <w:sz w:val="20"/>
        </w:rPr>
      </w:pPr>
    </w:p>
    <w:p w:rsidR="004851D7" w:rsidRDefault="004851D7">
      <w:pPr>
        <w:rPr>
          <w:color w:val="000000"/>
          <w:sz w:val="20"/>
        </w:rPr>
      </w:pPr>
      <w:r>
        <w:rPr>
          <w:color w:val="000000"/>
          <w:sz w:val="20"/>
        </w:rPr>
        <w:tab/>
        <w:t xml:space="preserve">Preparation of the financial statements requires management to make estimates and assumptions that affect reported amounts of assets and liabilities and related revenues and expenses. </w:t>
      </w:r>
      <w:r w:rsidR="007104AD">
        <w:rPr>
          <w:color w:val="000000"/>
          <w:sz w:val="20"/>
        </w:rPr>
        <w:t xml:space="preserve">Significant items subject to estimates and assumptions include the allowances for doubtful accounts and inventory obsolescence, accruals for sales returns and post contract support, stock based compensation, capitalization of software development costs, </w:t>
      </w:r>
      <w:proofErr w:type="spellStart"/>
      <w:r w:rsidR="00F032DC">
        <w:rPr>
          <w:color w:val="000000"/>
          <w:sz w:val="20"/>
        </w:rPr>
        <w:t>realizability</w:t>
      </w:r>
      <w:proofErr w:type="spellEnd"/>
      <w:r w:rsidR="00F032DC">
        <w:rPr>
          <w:color w:val="000000"/>
          <w:sz w:val="20"/>
        </w:rPr>
        <w:t xml:space="preserve"> </w:t>
      </w:r>
      <w:r w:rsidR="007104AD">
        <w:rPr>
          <w:color w:val="000000"/>
          <w:sz w:val="20"/>
        </w:rPr>
        <w:t>of deferred tax assets and the fair value of assets acquired and liabilities assume</w:t>
      </w:r>
      <w:r w:rsidR="00F032DC">
        <w:rPr>
          <w:color w:val="000000"/>
          <w:sz w:val="20"/>
        </w:rPr>
        <w:t>d</w:t>
      </w:r>
      <w:r w:rsidR="007104AD">
        <w:rPr>
          <w:color w:val="000000"/>
          <w:sz w:val="20"/>
        </w:rPr>
        <w:t xml:space="preserve"> in business acquisitions. </w:t>
      </w:r>
      <w:r>
        <w:rPr>
          <w:color w:val="000000"/>
          <w:sz w:val="20"/>
        </w:rPr>
        <w:t>Actual results could differ from those estimates.</w:t>
      </w:r>
    </w:p>
    <w:p w:rsidR="000D48D6" w:rsidRDefault="000D48D6">
      <w:pPr>
        <w:rPr>
          <w:color w:val="000000"/>
          <w:sz w:val="20"/>
        </w:rPr>
      </w:pPr>
    </w:p>
    <w:p w:rsidR="004851D7" w:rsidRPr="00F2275B" w:rsidRDefault="004851D7">
      <w:pPr>
        <w:numPr>
          <w:ilvl w:val="0"/>
          <w:numId w:val="23"/>
        </w:numPr>
        <w:tabs>
          <w:tab w:val="num" w:pos="240"/>
        </w:tabs>
        <w:ind w:left="0" w:firstLine="0"/>
        <w:rPr>
          <w:b/>
          <w:bCs/>
          <w:color w:val="000000"/>
          <w:sz w:val="20"/>
        </w:rPr>
      </w:pPr>
      <w:r w:rsidRPr="00F2275B">
        <w:rPr>
          <w:b/>
          <w:bCs/>
          <w:color w:val="000000"/>
          <w:sz w:val="20"/>
        </w:rPr>
        <w:t>New Accounting Pronouncements</w:t>
      </w:r>
    </w:p>
    <w:p w:rsidR="004851D7" w:rsidRDefault="004851D7">
      <w:pPr>
        <w:rPr>
          <w:b/>
          <w:bCs/>
          <w:color w:val="000000"/>
          <w:sz w:val="20"/>
        </w:rPr>
      </w:pPr>
    </w:p>
    <w:p w:rsidR="003B0B07" w:rsidRDefault="003B0B07" w:rsidP="007F6C4F">
      <w:pPr>
        <w:ind w:firstLine="720"/>
        <w:rPr>
          <w:sz w:val="20"/>
        </w:rPr>
      </w:pPr>
      <w:r>
        <w:rPr>
          <w:sz w:val="20"/>
        </w:rPr>
        <w:t>In September 2009, the FASB issued ASU No. 2009-13, “Revenue Recognition (ASC 605): Multiple-Deliverable Revenue Arrangements — a consensus of the FASB Emerging Issues Task Force,” which addresses the accounting for multiple-deliverable arrangements to enable vendors to account for products or services separately rather than as a combined unit and requires expanded revenue recognition policy disclosures. This amendment addresses how to separate deliverables and how to measure and allocate arrangement consideration to one or more units of accounting. Our adoption of ASU No. 2009-13, effective January 1, 2011, had no impact on our consolidated financial condition or results of operations.</w:t>
      </w:r>
    </w:p>
    <w:p w:rsidR="004851D7" w:rsidRDefault="004851D7">
      <w:pPr>
        <w:ind w:firstLine="720"/>
        <w:rPr>
          <w:sz w:val="20"/>
        </w:rPr>
      </w:pPr>
    </w:p>
    <w:p w:rsidR="004851D7" w:rsidRDefault="004851D7">
      <w:pPr>
        <w:rPr>
          <w:b/>
          <w:bCs/>
          <w:color w:val="000000"/>
          <w:sz w:val="20"/>
        </w:rPr>
      </w:pPr>
      <w:r>
        <w:rPr>
          <w:b/>
          <w:bCs/>
          <w:color w:val="000000"/>
          <w:sz w:val="20"/>
        </w:rPr>
        <w:t xml:space="preserve">4.   Supplemental Balance Sheet Information </w:t>
      </w:r>
    </w:p>
    <w:p w:rsidR="004851D7" w:rsidRDefault="004851D7">
      <w:pPr>
        <w:rPr>
          <w:b/>
          <w:bCs/>
          <w:color w:val="000000"/>
          <w:sz w:val="20"/>
        </w:rPr>
      </w:pPr>
    </w:p>
    <w:p w:rsidR="004851D7" w:rsidRPr="00561ED5" w:rsidRDefault="004851D7">
      <w:pPr>
        <w:rPr>
          <w:b/>
          <w:bCs/>
          <w:color w:val="000000"/>
          <w:sz w:val="20"/>
        </w:rPr>
      </w:pPr>
      <w:r w:rsidRPr="00561ED5">
        <w:rPr>
          <w:b/>
          <w:bCs/>
          <w:color w:val="000000"/>
          <w:sz w:val="20"/>
        </w:rPr>
        <w:t>Inventories</w:t>
      </w:r>
    </w:p>
    <w:p w:rsidR="004851D7" w:rsidRPr="00561ED5" w:rsidRDefault="004851D7">
      <w:pPr>
        <w:rPr>
          <w:color w:val="000000"/>
          <w:sz w:val="20"/>
        </w:rPr>
      </w:pPr>
    </w:p>
    <w:p w:rsidR="004851D7" w:rsidRPr="00561ED5" w:rsidRDefault="004851D7">
      <w:pPr>
        <w:rPr>
          <w:color w:val="000000"/>
          <w:sz w:val="20"/>
        </w:rPr>
      </w:pPr>
      <w:r w:rsidRPr="00561ED5">
        <w:rPr>
          <w:color w:val="000000"/>
          <w:sz w:val="20"/>
        </w:rPr>
        <w:t>Inventories consist of the following:</w:t>
      </w:r>
    </w:p>
    <w:tbl>
      <w:tblPr>
        <w:tblW w:w="5000" w:type="pct"/>
        <w:tblLook w:val="00A0" w:firstRow="1" w:lastRow="0" w:firstColumn="1" w:lastColumn="0" w:noHBand="0" w:noVBand="0"/>
      </w:tblPr>
      <w:tblGrid>
        <w:gridCol w:w="5802"/>
        <w:gridCol w:w="1917"/>
        <w:gridCol w:w="1915"/>
      </w:tblGrid>
      <w:tr w:rsidR="004851D7">
        <w:trPr>
          <w:trHeight w:val="270"/>
        </w:trPr>
        <w:tc>
          <w:tcPr>
            <w:tcW w:w="3011" w:type="pct"/>
            <w:tcBorders>
              <w:top w:val="nil"/>
              <w:left w:val="nil"/>
              <w:bottom w:val="nil"/>
              <w:right w:val="nil"/>
            </w:tcBorders>
          </w:tcPr>
          <w:p w:rsidR="004851D7" w:rsidRPr="00561ED5" w:rsidRDefault="004851D7">
            <w:pPr>
              <w:rPr>
                <w:sz w:val="20"/>
                <w:szCs w:val="20"/>
              </w:rPr>
            </w:pPr>
          </w:p>
        </w:tc>
        <w:tc>
          <w:tcPr>
            <w:tcW w:w="1989" w:type="pct"/>
            <w:gridSpan w:val="2"/>
            <w:tcBorders>
              <w:top w:val="nil"/>
              <w:left w:val="nil"/>
              <w:bottom w:val="single" w:sz="8" w:space="0" w:color="auto"/>
              <w:right w:val="nil"/>
            </w:tcBorders>
          </w:tcPr>
          <w:p w:rsidR="004851D7" w:rsidRDefault="004851D7">
            <w:pPr>
              <w:jc w:val="center"/>
              <w:rPr>
                <w:b/>
                <w:bCs/>
                <w:sz w:val="20"/>
                <w:szCs w:val="20"/>
              </w:rPr>
            </w:pPr>
            <w:r w:rsidRPr="00561ED5">
              <w:rPr>
                <w:b/>
                <w:bCs/>
                <w:sz w:val="20"/>
                <w:szCs w:val="20"/>
              </w:rPr>
              <w:t>December 31,</w:t>
            </w:r>
          </w:p>
        </w:tc>
      </w:tr>
      <w:tr w:rsidR="004851D7">
        <w:trPr>
          <w:trHeight w:val="270"/>
        </w:trPr>
        <w:tc>
          <w:tcPr>
            <w:tcW w:w="3011" w:type="pct"/>
            <w:tcBorders>
              <w:top w:val="nil"/>
              <w:left w:val="nil"/>
              <w:bottom w:val="nil"/>
              <w:right w:val="nil"/>
            </w:tcBorders>
          </w:tcPr>
          <w:p w:rsidR="004851D7" w:rsidRDefault="004851D7">
            <w:pPr>
              <w:rPr>
                <w:sz w:val="20"/>
                <w:szCs w:val="20"/>
              </w:rPr>
            </w:pPr>
          </w:p>
        </w:tc>
        <w:tc>
          <w:tcPr>
            <w:tcW w:w="995" w:type="pct"/>
            <w:tcBorders>
              <w:top w:val="nil"/>
              <w:left w:val="nil"/>
              <w:bottom w:val="single" w:sz="8" w:space="0" w:color="auto"/>
              <w:right w:val="nil"/>
            </w:tcBorders>
          </w:tcPr>
          <w:p w:rsidR="004851D7" w:rsidRDefault="00FA54BF" w:rsidP="00223B45">
            <w:pPr>
              <w:jc w:val="center"/>
              <w:rPr>
                <w:b/>
                <w:bCs/>
                <w:sz w:val="20"/>
                <w:szCs w:val="20"/>
              </w:rPr>
            </w:pPr>
            <w:r>
              <w:rPr>
                <w:b/>
                <w:bCs/>
                <w:sz w:val="20"/>
                <w:szCs w:val="20"/>
              </w:rPr>
              <w:t>2011</w:t>
            </w:r>
          </w:p>
        </w:tc>
        <w:tc>
          <w:tcPr>
            <w:tcW w:w="995" w:type="pct"/>
            <w:tcBorders>
              <w:top w:val="nil"/>
              <w:left w:val="nil"/>
              <w:bottom w:val="single" w:sz="8" w:space="0" w:color="auto"/>
              <w:right w:val="nil"/>
            </w:tcBorders>
          </w:tcPr>
          <w:p w:rsidR="004851D7" w:rsidRDefault="00FA54BF" w:rsidP="00223B45">
            <w:pPr>
              <w:jc w:val="center"/>
              <w:rPr>
                <w:b/>
                <w:bCs/>
                <w:sz w:val="20"/>
                <w:szCs w:val="20"/>
              </w:rPr>
            </w:pPr>
            <w:r>
              <w:rPr>
                <w:b/>
                <w:bCs/>
                <w:sz w:val="20"/>
                <w:szCs w:val="20"/>
              </w:rPr>
              <w:t>2010</w:t>
            </w:r>
          </w:p>
        </w:tc>
      </w:tr>
      <w:tr w:rsidR="004851D7">
        <w:trPr>
          <w:trHeight w:val="263"/>
        </w:trPr>
        <w:tc>
          <w:tcPr>
            <w:tcW w:w="3011" w:type="pct"/>
            <w:tcBorders>
              <w:top w:val="nil"/>
              <w:left w:val="nil"/>
              <w:bottom w:val="nil"/>
              <w:right w:val="nil"/>
            </w:tcBorders>
          </w:tcPr>
          <w:p w:rsidR="004851D7" w:rsidRDefault="004851D7">
            <w:pPr>
              <w:rPr>
                <w:sz w:val="20"/>
                <w:szCs w:val="20"/>
              </w:rPr>
            </w:pPr>
          </w:p>
        </w:tc>
        <w:tc>
          <w:tcPr>
            <w:tcW w:w="1989" w:type="pct"/>
            <w:gridSpan w:val="2"/>
            <w:tcBorders>
              <w:top w:val="single" w:sz="8" w:space="0" w:color="auto"/>
              <w:left w:val="nil"/>
              <w:bottom w:val="nil"/>
              <w:right w:val="nil"/>
            </w:tcBorders>
          </w:tcPr>
          <w:p w:rsidR="004851D7" w:rsidRDefault="004851D7">
            <w:pPr>
              <w:jc w:val="center"/>
              <w:rPr>
                <w:i/>
                <w:iCs/>
                <w:sz w:val="20"/>
                <w:szCs w:val="20"/>
              </w:rPr>
            </w:pPr>
            <w:r>
              <w:rPr>
                <w:i/>
                <w:iCs/>
                <w:sz w:val="20"/>
                <w:szCs w:val="20"/>
              </w:rPr>
              <w:t>(In thousands)</w:t>
            </w:r>
          </w:p>
        </w:tc>
      </w:tr>
      <w:tr w:rsidR="004851D7">
        <w:trPr>
          <w:trHeight w:val="255"/>
        </w:trPr>
        <w:tc>
          <w:tcPr>
            <w:tcW w:w="3011" w:type="pct"/>
            <w:tcBorders>
              <w:top w:val="nil"/>
              <w:left w:val="nil"/>
              <w:bottom w:val="nil"/>
              <w:right w:val="nil"/>
            </w:tcBorders>
          </w:tcPr>
          <w:p w:rsidR="004851D7" w:rsidRDefault="004851D7">
            <w:pPr>
              <w:rPr>
                <w:sz w:val="20"/>
                <w:szCs w:val="20"/>
              </w:rPr>
            </w:pPr>
            <w:r>
              <w:rPr>
                <w:sz w:val="20"/>
                <w:szCs w:val="20"/>
              </w:rPr>
              <w:t>Components</w:t>
            </w:r>
          </w:p>
        </w:tc>
        <w:tc>
          <w:tcPr>
            <w:tcW w:w="995" w:type="pct"/>
            <w:tcBorders>
              <w:top w:val="nil"/>
              <w:left w:val="nil"/>
              <w:bottom w:val="nil"/>
              <w:right w:val="nil"/>
            </w:tcBorders>
          </w:tcPr>
          <w:p w:rsidR="004851D7" w:rsidRDefault="004851D7" w:rsidP="00985448">
            <w:pPr>
              <w:jc w:val="right"/>
              <w:rPr>
                <w:b/>
                <w:bCs/>
                <w:sz w:val="20"/>
                <w:szCs w:val="20"/>
              </w:rPr>
            </w:pPr>
            <w:r>
              <w:rPr>
                <w:b/>
                <w:bCs/>
                <w:sz w:val="20"/>
                <w:szCs w:val="20"/>
              </w:rPr>
              <w:t>$</w:t>
            </w:r>
            <w:r w:rsidR="00985448">
              <w:rPr>
                <w:b/>
                <w:bCs/>
                <w:sz w:val="20"/>
                <w:szCs w:val="20"/>
              </w:rPr>
              <w:t>168</w:t>
            </w:r>
            <w:r w:rsidR="00FA54BF">
              <w:rPr>
                <w:b/>
                <w:bCs/>
                <w:sz w:val="20"/>
                <w:szCs w:val="20"/>
              </w:rPr>
              <w:t xml:space="preserve"> </w:t>
            </w:r>
          </w:p>
        </w:tc>
        <w:tc>
          <w:tcPr>
            <w:tcW w:w="995" w:type="pct"/>
            <w:tcBorders>
              <w:top w:val="nil"/>
              <w:left w:val="nil"/>
              <w:bottom w:val="nil"/>
              <w:right w:val="nil"/>
            </w:tcBorders>
          </w:tcPr>
          <w:p w:rsidR="004851D7" w:rsidRDefault="004851D7" w:rsidP="00985448">
            <w:pPr>
              <w:jc w:val="right"/>
              <w:rPr>
                <w:sz w:val="20"/>
                <w:szCs w:val="20"/>
              </w:rPr>
            </w:pPr>
            <w:r>
              <w:rPr>
                <w:sz w:val="20"/>
                <w:szCs w:val="20"/>
              </w:rPr>
              <w:t>$</w:t>
            </w:r>
            <w:r w:rsidR="00985448">
              <w:rPr>
                <w:sz w:val="20"/>
                <w:szCs w:val="20"/>
              </w:rPr>
              <w:t xml:space="preserve">152 </w:t>
            </w:r>
          </w:p>
        </w:tc>
      </w:tr>
      <w:tr w:rsidR="004851D7">
        <w:trPr>
          <w:trHeight w:val="255"/>
        </w:trPr>
        <w:tc>
          <w:tcPr>
            <w:tcW w:w="3011" w:type="pct"/>
            <w:tcBorders>
              <w:top w:val="nil"/>
              <w:left w:val="nil"/>
              <w:bottom w:val="nil"/>
              <w:right w:val="nil"/>
            </w:tcBorders>
          </w:tcPr>
          <w:p w:rsidR="004851D7" w:rsidRDefault="004851D7">
            <w:pPr>
              <w:rPr>
                <w:sz w:val="20"/>
                <w:szCs w:val="20"/>
              </w:rPr>
            </w:pPr>
            <w:r>
              <w:rPr>
                <w:sz w:val="20"/>
                <w:szCs w:val="20"/>
              </w:rPr>
              <w:t>Finished goods</w:t>
            </w:r>
          </w:p>
        </w:tc>
        <w:tc>
          <w:tcPr>
            <w:tcW w:w="995" w:type="pct"/>
            <w:tcBorders>
              <w:top w:val="nil"/>
              <w:left w:val="nil"/>
              <w:bottom w:val="nil"/>
              <w:right w:val="nil"/>
            </w:tcBorders>
          </w:tcPr>
          <w:p w:rsidR="004851D7" w:rsidRDefault="00985448" w:rsidP="00985448">
            <w:pPr>
              <w:jc w:val="right"/>
              <w:rPr>
                <w:b/>
                <w:bCs/>
                <w:sz w:val="20"/>
                <w:szCs w:val="20"/>
              </w:rPr>
            </w:pPr>
            <w:r>
              <w:rPr>
                <w:b/>
                <w:bCs/>
                <w:sz w:val="20"/>
                <w:szCs w:val="20"/>
              </w:rPr>
              <w:t>149</w:t>
            </w:r>
            <w:r w:rsidR="00FA54BF">
              <w:rPr>
                <w:b/>
                <w:bCs/>
                <w:sz w:val="20"/>
                <w:szCs w:val="20"/>
              </w:rPr>
              <w:t xml:space="preserve"> </w:t>
            </w:r>
          </w:p>
        </w:tc>
        <w:tc>
          <w:tcPr>
            <w:tcW w:w="995" w:type="pct"/>
            <w:tcBorders>
              <w:top w:val="nil"/>
              <w:left w:val="nil"/>
              <w:bottom w:val="nil"/>
              <w:right w:val="nil"/>
            </w:tcBorders>
          </w:tcPr>
          <w:p w:rsidR="004851D7" w:rsidRDefault="00985448">
            <w:pPr>
              <w:jc w:val="right"/>
              <w:rPr>
                <w:sz w:val="20"/>
                <w:szCs w:val="20"/>
              </w:rPr>
            </w:pPr>
            <w:r>
              <w:rPr>
                <w:sz w:val="20"/>
                <w:szCs w:val="20"/>
              </w:rPr>
              <w:t>80</w:t>
            </w:r>
            <w:r w:rsidR="00FA54BF">
              <w:rPr>
                <w:sz w:val="20"/>
                <w:szCs w:val="20"/>
              </w:rPr>
              <w:t xml:space="preserve"> </w:t>
            </w:r>
          </w:p>
        </w:tc>
      </w:tr>
      <w:tr w:rsidR="004851D7">
        <w:trPr>
          <w:trHeight w:val="270"/>
        </w:trPr>
        <w:tc>
          <w:tcPr>
            <w:tcW w:w="3011" w:type="pct"/>
            <w:tcBorders>
              <w:top w:val="nil"/>
              <w:left w:val="nil"/>
              <w:bottom w:val="nil"/>
              <w:right w:val="nil"/>
            </w:tcBorders>
          </w:tcPr>
          <w:p w:rsidR="004851D7" w:rsidRDefault="004851D7">
            <w:pPr>
              <w:rPr>
                <w:sz w:val="20"/>
                <w:szCs w:val="20"/>
              </w:rPr>
            </w:pPr>
            <w:r>
              <w:rPr>
                <w:sz w:val="20"/>
                <w:szCs w:val="20"/>
              </w:rPr>
              <w:t>Reserve for obsolescence</w:t>
            </w:r>
          </w:p>
        </w:tc>
        <w:tc>
          <w:tcPr>
            <w:tcW w:w="995" w:type="pct"/>
            <w:tcBorders>
              <w:top w:val="nil"/>
              <w:left w:val="nil"/>
              <w:bottom w:val="single" w:sz="8" w:space="0" w:color="auto"/>
              <w:right w:val="nil"/>
            </w:tcBorders>
          </w:tcPr>
          <w:p w:rsidR="004851D7" w:rsidRDefault="004851D7" w:rsidP="00985448">
            <w:pPr>
              <w:jc w:val="right"/>
              <w:rPr>
                <w:b/>
                <w:bCs/>
                <w:sz w:val="20"/>
                <w:szCs w:val="20"/>
              </w:rPr>
            </w:pPr>
            <w:r>
              <w:rPr>
                <w:b/>
                <w:bCs/>
                <w:color w:val="FF0000"/>
                <w:sz w:val="20"/>
                <w:szCs w:val="20"/>
              </w:rPr>
              <w:t>(</w:t>
            </w:r>
            <w:r w:rsidR="00985448">
              <w:rPr>
                <w:b/>
                <w:bCs/>
                <w:color w:val="FF0000"/>
                <w:sz w:val="20"/>
                <w:szCs w:val="20"/>
              </w:rPr>
              <w:t>26</w:t>
            </w:r>
            <w:r>
              <w:rPr>
                <w:b/>
                <w:bCs/>
                <w:color w:val="FF0000"/>
                <w:sz w:val="20"/>
                <w:szCs w:val="20"/>
              </w:rPr>
              <w:t>)</w:t>
            </w:r>
          </w:p>
        </w:tc>
        <w:tc>
          <w:tcPr>
            <w:tcW w:w="995" w:type="pct"/>
            <w:tcBorders>
              <w:top w:val="nil"/>
              <w:left w:val="nil"/>
              <w:bottom w:val="single" w:sz="8" w:space="0" w:color="auto"/>
              <w:right w:val="nil"/>
            </w:tcBorders>
          </w:tcPr>
          <w:p w:rsidR="004851D7" w:rsidRDefault="004851D7" w:rsidP="00223B45">
            <w:pPr>
              <w:jc w:val="right"/>
              <w:rPr>
                <w:sz w:val="20"/>
                <w:szCs w:val="20"/>
              </w:rPr>
            </w:pPr>
            <w:r>
              <w:rPr>
                <w:color w:val="FF0000"/>
                <w:sz w:val="20"/>
                <w:szCs w:val="20"/>
              </w:rPr>
              <w:t>(</w:t>
            </w:r>
            <w:r w:rsidR="00985448">
              <w:rPr>
                <w:color w:val="FF0000"/>
                <w:sz w:val="20"/>
                <w:szCs w:val="20"/>
              </w:rPr>
              <w:t>31</w:t>
            </w:r>
            <w:r>
              <w:rPr>
                <w:color w:val="FF0000"/>
                <w:sz w:val="20"/>
                <w:szCs w:val="20"/>
              </w:rPr>
              <w:t>)</w:t>
            </w:r>
          </w:p>
        </w:tc>
      </w:tr>
      <w:tr w:rsidR="004851D7">
        <w:trPr>
          <w:trHeight w:val="270"/>
        </w:trPr>
        <w:tc>
          <w:tcPr>
            <w:tcW w:w="3011" w:type="pct"/>
            <w:tcBorders>
              <w:top w:val="nil"/>
              <w:left w:val="nil"/>
              <w:bottom w:val="nil"/>
              <w:right w:val="nil"/>
            </w:tcBorders>
          </w:tcPr>
          <w:p w:rsidR="004851D7" w:rsidRDefault="004851D7">
            <w:pPr>
              <w:rPr>
                <w:sz w:val="20"/>
                <w:szCs w:val="20"/>
              </w:rPr>
            </w:pPr>
          </w:p>
        </w:tc>
        <w:tc>
          <w:tcPr>
            <w:tcW w:w="995" w:type="pct"/>
            <w:tcBorders>
              <w:top w:val="nil"/>
              <w:left w:val="nil"/>
              <w:bottom w:val="double" w:sz="6" w:space="0" w:color="auto"/>
              <w:right w:val="nil"/>
            </w:tcBorders>
          </w:tcPr>
          <w:p w:rsidR="004851D7" w:rsidRDefault="004851D7" w:rsidP="00985448">
            <w:pPr>
              <w:jc w:val="right"/>
              <w:rPr>
                <w:b/>
                <w:bCs/>
                <w:sz w:val="20"/>
                <w:szCs w:val="20"/>
              </w:rPr>
            </w:pPr>
            <w:r>
              <w:rPr>
                <w:b/>
                <w:bCs/>
                <w:sz w:val="20"/>
                <w:szCs w:val="20"/>
              </w:rPr>
              <w:t>$</w:t>
            </w:r>
            <w:r w:rsidR="00985448">
              <w:rPr>
                <w:b/>
                <w:bCs/>
                <w:sz w:val="20"/>
                <w:szCs w:val="20"/>
              </w:rPr>
              <w:t>291</w:t>
            </w:r>
            <w:r w:rsidR="00FA54BF">
              <w:rPr>
                <w:b/>
                <w:bCs/>
                <w:sz w:val="20"/>
                <w:szCs w:val="20"/>
              </w:rPr>
              <w:t xml:space="preserve"> </w:t>
            </w:r>
          </w:p>
        </w:tc>
        <w:tc>
          <w:tcPr>
            <w:tcW w:w="995" w:type="pct"/>
            <w:tcBorders>
              <w:top w:val="nil"/>
              <w:left w:val="nil"/>
              <w:bottom w:val="double" w:sz="6" w:space="0" w:color="auto"/>
              <w:right w:val="nil"/>
            </w:tcBorders>
          </w:tcPr>
          <w:p w:rsidR="004851D7" w:rsidRDefault="004851D7" w:rsidP="00985448">
            <w:pPr>
              <w:jc w:val="right"/>
              <w:rPr>
                <w:sz w:val="20"/>
                <w:szCs w:val="20"/>
              </w:rPr>
            </w:pPr>
            <w:r>
              <w:rPr>
                <w:sz w:val="20"/>
                <w:szCs w:val="20"/>
              </w:rPr>
              <w:t>$</w:t>
            </w:r>
            <w:r w:rsidR="00985448">
              <w:rPr>
                <w:sz w:val="20"/>
                <w:szCs w:val="20"/>
              </w:rPr>
              <w:t xml:space="preserve">201 </w:t>
            </w:r>
          </w:p>
        </w:tc>
      </w:tr>
    </w:tbl>
    <w:p w:rsidR="004851D7" w:rsidRDefault="004851D7">
      <w:pPr>
        <w:rPr>
          <w:color w:val="000000"/>
          <w:sz w:val="20"/>
        </w:rPr>
      </w:pPr>
    </w:p>
    <w:p w:rsidR="004851D7" w:rsidRDefault="004851D7">
      <w:pPr>
        <w:rPr>
          <w:b/>
          <w:bCs/>
          <w:color w:val="000000"/>
          <w:sz w:val="20"/>
        </w:rPr>
      </w:pPr>
    </w:p>
    <w:p w:rsidR="004851D7" w:rsidRDefault="004851D7">
      <w:pPr>
        <w:rPr>
          <w:b/>
          <w:bCs/>
          <w:color w:val="000000"/>
          <w:sz w:val="20"/>
        </w:rPr>
      </w:pPr>
      <w:r>
        <w:rPr>
          <w:b/>
          <w:bCs/>
          <w:color w:val="000000"/>
          <w:sz w:val="20"/>
        </w:rPr>
        <w:t>Property and Equipment</w:t>
      </w:r>
    </w:p>
    <w:p w:rsidR="004851D7" w:rsidRDefault="004851D7">
      <w:pPr>
        <w:rPr>
          <w:color w:val="000000"/>
          <w:sz w:val="20"/>
        </w:rPr>
      </w:pPr>
    </w:p>
    <w:p w:rsidR="004851D7" w:rsidRDefault="004851D7">
      <w:r>
        <w:rPr>
          <w:color w:val="000000"/>
          <w:sz w:val="20"/>
        </w:rPr>
        <w:t>Property and equipment consists of the following:</w:t>
      </w:r>
    </w:p>
    <w:tbl>
      <w:tblPr>
        <w:tblW w:w="5000" w:type="pct"/>
        <w:tblLook w:val="00A0" w:firstRow="1" w:lastRow="0" w:firstColumn="1" w:lastColumn="0" w:noHBand="0" w:noVBand="0"/>
      </w:tblPr>
      <w:tblGrid>
        <w:gridCol w:w="5802"/>
        <w:gridCol w:w="1917"/>
        <w:gridCol w:w="1915"/>
      </w:tblGrid>
      <w:tr w:rsidR="004851D7">
        <w:trPr>
          <w:trHeight w:val="270"/>
        </w:trPr>
        <w:tc>
          <w:tcPr>
            <w:tcW w:w="3011" w:type="pct"/>
            <w:tcBorders>
              <w:top w:val="nil"/>
              <w:left w:val="nil"/>
              <w:bottom w:val="nil"/>
              <w:right w:val="nil"/>
            </w:tcBorders>
          </w:tcPr>
          <w:p w:rsidR="004851D7" w:rsidRDefault="004851D7">
            <w:pPr>
              <w:rPr>
                <w:sz w:val="20"/>
                <w:szCs w:val="20"/>
              </w:rPr>
            </w:pPr>
          </w:p>
        </w:tc>
        <w:tc>
          <w:tcPr>
            <w:tcW w:w="1989" w:type="pct"/>
            <w:gridSpan w:val="2"/>
            <w:tcBorders>
              <w:top w:val="nil"/>
              <w:left w:val="nil"/>
              <w:bottom w:val="single" w:sz="8" w:space="0" w:color="auto"/>
              <w:right w:val="nil"/>
            </w:tcBorders>
          </w:tcPr>
          <w:p w:rsidR="004851D7" w:rsidRDefault="004851D7">
            <w:pPr>
              <w:jc w:val="center"/>
              <w:rPr>
                <w:b/>
                <w:bCs/>
                <w:sz w:val="20"/>
                <w:szCs w:val="20"/>
              </w:rPr>
            </w:pPr>
            <w:r>
              <w:rPr>
                <w:b/>
                <w:bCs/>
                <w:sz w:val="20"/>
                <w:szCs w:val="20"/>
              </w:rPr>
              <w:t>December 31,</w:t>
            </w:r>
          </w:p>
        </w:tc>
      </w:tr>
      <w:tr w:rsidR="004851D7">
        <w:trPr>
          <w:trHeight w:val="270"/>
        </w:trPr>
        <w:tc>
          <w:tcPr>
            <w:tcW w:w="3011" w:type="pct"/>
            <w:tcBorders>
              <w:top w:val="nil"/>
              <w:left w:val="nil"/>
              <w:bottom w:val="nil"/>
              <w:right w:val="nil"/>
            </w:tcBorders>
          </w:tcPr>
          <w:p w:rsidR="004851D7" w:rsidRDefault="004851D7">
            <w:pPr>
              <w:rPr>
                <w:sz w:val="20"/>
                <w:szCs w:val="20"/>
              </w:rPr>
            </w:pPr>
          </w:p>
        </w:tc>
        <w:tc>
          <w:tcPr>
            <w:tcW w:w="995" w:type="pct"/>
            <w:tcBorders>
              <w:top w:val="nil"/>
              <w:left w:val="nil"/>
              <w:bottom w:val="single" w:sz="8" w:space="0" w:color="auto"/>
              <w:right w:val="nil"/>
            </w:tcBorders>
          </w:tcPr>
          <w:p w:rsidR="004851D7" w:rsidRDefault="00FA54BF" w:rsidP="00223B45">
            <w:pPr>
              <w:jc w:val="center"/>
              <w:rPr>
                <w:b/>
                <w:bCs/>
                <w:sz w:val="20"/>
                <w:szCs w:val="20"/>
              </w:rPr>
            </w:pPr>
            <w:r>
              <w:rPr>
                <w:b/>
                <w:bCs/>
                <w:sz w:val="20"/>
                <w:szCs w:val="20"/>
              </w:rPr>
              <w:t>2011</w:t>
            </w:r>
          </w:p>
        </w:tc>
        <w:tc>
          <w:tcPr>
            <w:tcW w:w="995" w:type="pct"/>
            <w:tcBorders>
              <w:top w:val="nil"/>
              <w:left w:val="nil"/>
              <w:bottom w:val="single" w:sz="8" w:space="0" w:color="auto"/>
              <w:right w:val="nil"/>
            </w:tcBorders>
          </w:tcPr>
          <w:p w:rsidR="004851D7" w:rsidRDefault="00FA54BF" w:rsidP="00223B45">
            <w:pPr>
              <w:jc w:val="center"/>
              <w:rPr>
                <w:b/>
                <w:bCs/>
                <w:sz w:val="20"/>
                <w:szCs w:val="20"/>
              </w:rPr>
            </w:pPr>
            <w:r>
              <w:rPr>
                <w:b/>
                <w:bCs/>
                <w:sz w:val="20"/>
                <w:szCs w:val="20"/>
              </w:rPr>
              <w:t>2010</w:t>
            </w:r>
          </w:p>
        </w:tc>
      </w:tr>
      <w:tr w:rsidR="004851D7">
        <w:trPr>
          <w:trHeight w:val="263"/>
        </w:trPr>
        <w:tc>
          <w:tcPr>
            <w:tcW w:w="3011" w:type="pct"/>
            <w:tcBorders>
              <w:top w:val="nil"/>
              <w:left w:val="nil"/>
              <w:bottom w:val="nil"/>
              <w:right w:val="nil"/>
            </w:tcBorders>
          </w:tcPr>
          <w:p w:rsidR="004851D7" w:rsidRDefault="004851D7">
            <w:pPr>
              <w:rPr>
                <w:sz w:val="20"/>
                <w:szCs w:val="20"/>
              </w:rPr>
            </w:pPr>
          </w:p>
        </w:tc>
        <w:tc>
          <w:tcPr>
            <w:tcW w:w="1989" w:type="pct"/>
            <w:gridSpan w:val="2"/>
            <w:tcBorders>
              <w:top w:val="single" w:sz="8" w:space="0" w:color="auto"/>
              <w:left w:val="nil"/>
              <w:bottom w:val="nil"/>
              <w:right w:val="nil"/>
            </w:tcBorders>
          </w:tcPr>
          <w:p w:rsidR="004851D7" w:rsidRDefault="004851D7">
            <w:pPr>
              <w:jc w:val="center"/>
              <w:rPr>
                <w:i/>
                <w:iCs/>
                <w:sz w:val="20"/>
                <w:szCs w:val="20"/>
              </w:rPr>
            </w:pPr>
            <w:r>
              <w:rPr>
                <w:i/>
                <w:iCs/>
                <w:sz w:val="20"/>
                <w:szCs w:val="20"/>
              </w:rPr>
              <w:t>(In thousands)</w:t>
            </w:r>
          </w:p>
        </w:tc>
      </w:tr>
      <w:tr w:rsidR="004851D7">
        <w:trPr>
          <w:trHeight w:val="255"/>
        </w:trPr>
        <w:tc>
          <w:tcPr>
            <w:tcW w:w="3011" w:type="pct"/>
            <w:tcBorders>
              <w:top w:val="nil"/>
              <w:left w:val="nil"/>
              <w:bottom w:val="nil"/>
              <w:right w:val="nil"/>
            </w:tcBorders>
          </w:tcPr>
          <w:p w:rsidR="004851D7" w:rsidRDefault="004851D7">
            <w:pPr>
              <w:rPr>
                <w:sz w:val="20"/>
                <w:szCs w:val="20"/>
              </w:rPr>
            </w:pPr>
            <w:r>
              <w:rPr>
                <w:sz w:val="20"/>
                <w:szCs w:val="20"/>
              </w:rPr>
              <w:t>Computer equipment and software</w:t>
            </w:r>
          </w:p>
        </w:tc>
        <w:tc>
          <w:tcPr>
            <w:tcW w:w="995" w:type="pct"/>
            <w:tcBorders>
              <w:top w:val="nil"/>
              <w:left w:val="nil"/>
              <w:bottom w:val="nil"/>
              <w:right w:val="nil"/>
            </w:tcBorders>
          </w:tcPr>
          <w:p w:rsidR="004851D7" w:rsidRDefault="004851D7" w:rsidP="00985448">
            <w:pPr>
              <w:jc w:val="right"/>
              <w:rPr>
                <w:b/>
                <w:bCs/>
                <w:sz w:val="20"/>
                <w:szCs w:val="20"/>
              </w:rPr>
            </w:pPr>
            <w:r>
              <w:rPr>
                <w:b/>
                <w:bCs/>
                <w:sz w:val="20"/>
                <w:szCs w:val="20"/>
              </w:rPr>
              <w:t>$</w:t>
            </w:r>
            <w:r w:rsidR="00985448">
              <w:rPr>
                <w:b/>
                <w:bCs/>
                <w:sz w:val="20"/>
                <w:szCs w:val="20"/>
              </w:rPr>
              <w:t>2,607</w:t>
            </w:r>
            <w:r>
              <w:rPr>
                <w:b/>
                <w:bCs/>
                <w:sz w:val="20"/>
                <w:szCs w:val="20"/>
              </w:rPr>
              <w:t xml:space="preserve"> </w:t>
            </w:r>
          </w:p>
        </w:tc>
        <w:tc>
          <w:tcPr>
            <w:tcW w:w="995" w:type="pct"/>
            <w:tcBorders>
              <w:top w:val="nil"/>
              <w:left w:val="nil"/>
              <w:bottom w:val="nil"/>
              <w:right w:val="nil"/>
            </w:tcBorders>
          </w:tcPr>
          <w:p w:rsidR="004851D7" w:rsidRDefault="004851D7" w:rsidP="00985448">
            <w:pPr>
              <w:jc w:val="right"/>
              <w:rPr>
                <w:sz w:val="20"/>
                <w:szCs w:val="20"/>
              </w:rPr>
            </w:pPr>
            <w:r>
              <w:rPr>
                <w:sz w:val="20"/>
                <w:szCs w:val="20"/>
              </w:rPr>
              <w:t>$</w:t>
            </w:r>
            <w:r w:rsidR="00985448">
              <w:rPr>
                <w:sz w:val="20"/>
                <w:szCs w:val="20"/>
              </w:rPr>
              <w:t>2,453</w:t>
            </w:r>
            <w:r>
              <w:rPr>
                <w:sz w:val="20"/>
                <w:szCs w:val="20"/>
              </w:rPr>
              <w:t xml:space="preserve"> </w:t>
            </w:r>
          </w:p>
        </w:tc>
      </w:tr>
      <w:tr w:rsidR="004851D7">
        <w:trPr>
          <w:trHeight w:val="270"/>
        </w:trPr>
        <w:tc>
          <w:tcPr>
            <w:tcW w:w="3011" w:type="pct"/>
            <w:tcBorders>
              <w:top w:val="nil"/>
              <w:left w:val="nil"/>
              <w:bottom w:val="nil"/>
              <w:right w:val="nil"/>
            </w:tcBorders>
          </w:tcPr>
          <w:p w:rsidR="004851D7" w:rsidRDefault="004851D7">
            <w:pPr>
              <w:rPr>
                <w:sz w:val="20"/>
                <w:szCs w:val="20"/>
              </w:rPr>
            </w:pPr>
            <w:r>
              <w:rPr>
                <w:sz w:val="20"/>
                <w:szCs w:val="20"/>
              </w:rPr>
              <w:t>Office furniture and other</w:t>
            </w:r>
          </w:p>
        </w:tc>
        <w:tc>
          <w:tcPr>
            <w:tcW w:w="995" w:type="pct"/>
            <w:tcBorders>
              <w:top w:val="nil"/>
              <w:left w:val="nil"/>
              <w:bottom w:val="single" w:sz="8" w:space="0" w:color="auto"/>
              <w:right w:val="nil"/>
            </w:tcBorders>
          </w:tcPr>
          <w:p w:rsidR="004851D7" w:rsidRDefault="00985448">
            <w:pPr>
              <w:jc w:val="right"/>
              <w:rPr>
                <w:b/>
                <w:bCs/>
                <w:sz w:val="20"/>
                <w:szCs w:val="20"/>
              </w:rPr>
            </w:pPr>
            <w:r>
              <w:rPr>
                <w:b/>
                <w:bCs/>
                <w:sz w:val="20"/>
                <w:szCs w:val="20"/>
              </w:rPr>
              <w:t>650</w:t>
            </w:r>
          </w:p>
        </w:tc>
        <w:tc>
          <w:tcPr>
            <w:tcW w:w="995" w:type="pct"/>
            <w:tcBorders>
              <w:top w:val="nil"/>
              <w:left w:val="nil"/>
              <w:bottom w:val="single" w:sz="8" w:space="0" w:color="auto"/>
              <w:right w:val="nil"/>
            </w:tcBorders>
          </w:tcPr>
          <w:p w:rsidR="004851D7" w:rsidRDefault="00985448" w:rsidP="00985448">
            <w:pPr>
              <w:jc w:val="right"/>
              <w:rPr>
                <w:sz w:val="20"/>
                <w:szCs w:val="20"/>
              </w:rPr>
            </w:pPr>
            <w:r>
              <w:rPr>
                <w:sz w:val="20"/>
                <w:szCs w:val="20"/>
              </w:rPr>
              <w:t>483</w:t>
            </w:r>
          </w:p>
        </w:tc>
      </w:tr>
      <w:tr w:rsidR="004851D7">
        <w:trPr>
          <w:trHeight w:val="255"/>
        </w:trPr>
        <w:tc>
          <w:tcPr>
            <w:tcW w:w="3011" w:type="pct"/>
            <w:tcBorders>
              <w:top w:val="nil"/>
              <w:left w:val="nil"/>
              <w:bottom w:val="nil"/>
              <w:right w:val="nil"/>
            </w:tcBorders>
          </w:tcPr>
          <w:p w:rsidR="004851D7" w:rsidRDefault="004851D7">
            <w:pPr>
              <w:rPr>
                <w:sz w:val="20"/>
                <w:szCs w:val="20"/>
              </w:rPr>
            </w:pPr>
          </w:p>
        </w:tc>
        <w:tc>
          <w:tcPr>
            <w:tcW w:w="995" w:type="pct"/>
            <w:tcBorders>
              <w:top w:val="nil"/>
              <w:left w:val="nil"/>
              <w:bottom w:val="nil"/>
              <w:right w:val="nil"/>
            </w:tcBorders>
          </w:tcPr>
          <w:p w:rsidR="004851D7" w:rsidRDefault="00985448" w:rsidP="00985448">
            <w:pPr>
              <w:jc w:val="right"/>
              <w:rPr>
                <w:b/>
                <w:bCs/>
                <w:sz w:val="20"/>
                <w:szCs w:val="20"/>
              </w:rPr>
            </w:pPr>
            <w:r>
              <w:rPr>
                <w:b/>
                <w:bCs/>
                <w:sz w:val="20"/>
                <w:szCs w:val="20"/>
              </w:rPr>
              <w:t>3,257</w:t>
            </w:r>
          </w:p>
        </w:tc>
        <w:tc>
          <w:tcPr>
            <w:tcW w:w="995" w:type="pct"/>
            <w:tcBorders>
              <w:top w:val="nil"/>
              <w:left w:val="nil"/>
              <w:bottom w:val="nil"/>
              <w:right w:val="nil"/>
            </w:tcBorders>
          </w:tcPr>
          <w:p w:rsidR="004851D7" w:rsidRDefault="00985448" w:rsidP="00985448">
            <w:pPr>
              <w:jc w:val="right"/>
              <w:rPr>
                <w:sz w:val="20"/>
                <w:szCs w:val="20"/>
              </w:rPr>
            </w:pPr>
            <w:r>
              <w:rPr>
                <w:sz w:val="20"/>
                <w:szCs w:val="20"/>
              </w:rPr>
              <w:t>2,936</w:t>
            </w:r>
          </w:p>
        </w:tc>
      </w:tr>
      <w:tr w:rsidR="004851D7">
        <w:trPr>
          <w:trHeight w:val="270"/>
        </w:trPr>
        <w:tc>
          <w:tcPr>
            <w:tcW w:w="3011" w:type="pct"/>
            <w:tcBorders>
              <w:top w:val="nil"/>
              <w:left w:val="nil"/>
              <w:bottom w:val="nil"/>
              <w:right w:val="nil"/>
            </w:tcBorders>
          </w:tcPr>
          <w:p w:rsidR="004851D7" w:rsidRDefault="004851D7">
            <w:pPr>
              <w:rPr>
                <w:sz w:val="20"/>
                <w:szCs w:val="20"/>
              </w:rPr>
            </w:pPr>
            <w:r>
              <w:rPr>
                <w:sz w:val="20"/>
                <w:szCs w:val="20"/>
              </w:rPr>
              <w:t>Less accumulated depreciation</w:t>
            </w:r>
          </w:p>
        </w:tc>
        <w:tc>
          <w:tcPr>
            <w:tcW w:w="995" w:type="pct"/>
            <w:tcBorders>
              <w:top w:val="nil"/>
              <w:left w:val="nil"/>
              <w:bottom w:val="single" w:sz="8" w:space="0" w:color="auto"/>
              <w:right w:val="nil"/>
            </w:tcBorders>
          </w:tcPr>
          <w:p w:rsidR="004851D7" w:rsidRDefault="004851D7" w:rsidP="00223B45">
            <w:pPr>
              <w:jc w:val="right"/>
              <w:rPr>
                <w:b/>
                <w:bCs/>
                <w:sz w:val="20"/>
                <w:szCs w:val="20"/>
              </w:rPr>
            </w:pPr>
            <w:r>
              <w:rPr>
                <w:b/>
                <w:bCs/>
                <w:color w:val="FF0000"/>
                <w:sz w:val="20"/>
                <w:szCs w:val="20"/>
              </w:rPr>
              <w:t>(</w:t>
            </w:r>
            <w:r w:rsidR="00985448">
              <w:rPr>
                <w:b/>
                <w:bCs/>
                <w:color w:val="FF0000"/>
                <w:sz w:val="20"/>
                <w:szCs w:val="20"/>
              </w:rPr>
              <w:t>2,816</w:t>
            </w:r>
            <w:r>
              <w:rPr>
                <w:b/>
                <w:bCs/>
                <w:color w:val="FF0000"/>
                <w:sz w:val="20"/>
                <w:szCs w:val="20"/>
              </w:rPr>
              <w:t>)</w:t>
            </w:r>
          </w:p>
        </w:tc>
        <w:tc>
          <w:tcPr>
            <w:tcW w:w="995" w:type="pct"/>
            <w:tcBorders>
              <w:top w:val="nil"/>
              <w:left w:val="nil"/>
              <w:bottom w:val="single" w:sz="8" w:space="0" w:color="auto"/>
              <w:right w:val="nil"/>
            </w:tcBorders>
          </w:tcPr>
          <w:p w:rsidR="004851D7" w:rsidRDefault="004851D7" w:rsidP="00985448">
            <w:pPr>
              <w:jc w:val="right"/>
              <w:rPr>
                <w:sz w:val="20"/>
                <w:szCs w:val="20"/>
              </w:rPr>
            </w:pPr>
            <w:r>
              <w:rPr>
                <w:color w:val="FF0000"/>
                <w:sz w:val="20"/>
                <w:szCs w:val="20"/>
              </w:rPr>
              <w:t>(</w:t>
            </w:r>
            <w:r w:rsidR="00985448">
              <w:rPr>
                <w:color w:val="FF0000"/>
                <w:sz w:val="20"/>
                <w:szCs w:val="20"/>
              </w:rPr>
              <w:t>2,594</w:t>
            </w:r>
            <w:r>
              <w:rPr>
                <w:color w:val="FF0000"/>
                <w:sz w:val="20"/>
                <w:szCs w:val="20"/>
              </w:rPr>
              <w:t>)</w:t>
            </w:r>
          </w:p>
        </w:tc>
      </w:tr>
      <w:tr w:rsidR="004851D7">
        <w:trPr>
          <w:trHeight w:val="270"/>
        </w:trPr>
        <w:tc>
          <w:tcPr>
            <w:tcW w:w="3011" w:type="pct"/>
            <w:tcBorders>
              <w:top w:val="nil"/>
              <w:left w:val="nil"/>
              <w:bottom w:val="nil"/>
              <w:right w:val="nil"/>
            </w:tcBorders>
          </w:tcPr>
          <w:p w:rsidR="004851D7" w:rsidRDefault="004851D7">
            <w:pPr>
              <w:rPr>
                <w:sz w:val="20"/>
                <w:szCs w:val="20"/>
              </w:rPr>
            </w:pPr>
          </w:p>
        </w:tc>
        <w:tc>
          <w:tcPr>
            <w:tcW w:w="995" w:type="pct"/>
            <w:tcBorders>
              <w:top w:val="nil"/>
              <w:left w:val="nil"/>
              <w:bottom w:val="double" w:sz="6" w:space="0" w:color="auto"/>
              <w:right w:val="nil"/>
            </w:tcBorders>
          </w:tcPr>
          <w:p w:rsidR="004851D7" w:rsidRDefault="004851D7" w:rsidP="00985448">
            <w:pPr>
              <w:jc w:val="right"/>
              <w:rPr>
                <w:b/>
                <w:bCs/>
                <w:sz w:val="20"/>
                <w:szCs w:val="20"/>
              </w:rPr>
            </w:pPr>
            <w:r>
              <w:rPr>
                <w:b/>
                <w:bCs/>
                <w:sz w:val="20"/>
                <w:szCs w:val="20"/>
              </w:rPr>
              <w:t>$</w:t>
            </w:r>
            <w:r w:rsidR="00985448">
              <w:rPr>
                <w:b/>
                <w:bCs/>
                <w:sz w:val="20"/>
                <w:szCs w:val="20"/>
              </w:rPr>
              <w:t>441</w:t>
            </w:r>
            <w:r w:rsidR="00FA54BF">
              <w:rPr>
                <w:b/>
                <w:bCs/>
                <w:sz w:val="20"/>
                <w:szCs w:val="20"/>
              </w:rPr>
              <w:t xml:space="preserve"> </w:t>
            </w:r>
          </w:p>
        </w:tc>
        <w:tc>
          <w:tcPr>
            <w:tcW w:w="995" w:type="pct"/>
            <w:tcBorders>
              <w:top w:val="nil"/>
              <w:left w:val="nil"/>
              <w:bottom w:val="double" w:sz="6" w:space="0" w:color="auto"/>
              <w:right w:val="nil"/>
            </w:tcBorders>
          </w:tcPr>
          <w:p w:rsidR="004851D7" w:rsidRDefault="004851D7" w:rsidP="00985448">
            <w:pPr>
              <w:jc w:val="right"/>
              <w:rPr>
                <w:sz w:val="20"/>
                <w:szCs w:val="20"/>
              </w:rPr>
            </w:pPr>
            <w:r>
              <w:rPr>
                <w:sz w:val="20"/>
                <w:szCs w:val="20"/>
              </w:rPr>
              <w:t>$</w:t>
            </w:r>
            <w:r w:rsidR="00985448">
              <w:rPr>
                <w:sz w:val="20"/>
                <w:szCs w:val="20"/>
              </w:rPr>
              <w:t>342</w:t>
            </w:r>
            <w:r w:rsidR="00FA54BF">
              <w:rPr>
                <w:sz w:val="20"/>
                <w:szCs w:val="20"/>
              </w:rPr>
              <w:t xml:space="preserve"> </w:t>
            </w:r>
          </w:p>
        </w:tc>
      </w:tr>
    </w:tbl>
    <w:p w:rsidR="004851D7" w:rsidRDefault="004851D7">
      <w:pPr>
        <w:rPr>
          <w:color w:val="000000"/>
          <w:sz w:val="20"/>
        </w:rPr>
      </w:pPr>
    </w:p>
    <w:p w:rsidR="004851D7" w:rsidRDefault="004851D7">
      <w:pPr>
        <w:rPr>
          <w:color w:val="000000"/>
          <w:sz w:val="20"/>
        </w:rPr>
      </w:pPr>
      <w:r>
        <w:rPr>
          <w:color w:val="000000"/>
          <w:sz w:val="20"/>
        </w:rPr>
        <w:tab/>
        <w:t xml:space="preserve">Depreciation expense for years ended December 31, </w:t>
      </w:r>
      <w:r w:rsidR="00FA54BF">
        <w:rPr>
          <w:color w:val="000000"/>
          <w:sz w:val="20"/>
        </w:rPr>
        <w:t xml:space="preserve">2011 </w:t>
      </w:r>
      <w:r>
        <w:rPr>
          <w:color w:val="000000"/>
          <w:sz w:val="20"/>
        </w:rPr>
        <w:t xml:space="preserve">and </w:t>
      </w:r>
      <w:r w:rsidR="00FA54BF">
        <w:rPr>
          <w:color w:val="000000"/>
          <w:sz w:val="20"/>
        </w:rPr>
        <w:t xml:space="preserve">2010 </w:t>
      </w:r>
      <w:r>
        <w:rPr>
          <w:color w:val="000000"/>
          <w:sz w:val="20"/>
        </w:rPr>
        <w:t>was $</w:t>
      </w:r>
      <w:r w:rsidR="00985448">
        <w:rPr>
          <w:color w:val="000000"/>
          <w:sz w:val="20"/>
        </w:rPr>
        <w:t>247</w:t>
      </w:r>
      <w:r>
        <w:rPr>
          <w:color w:val="000000"/>
          <w:sz w:val="20"/>
        </w:rPr>
        <w:t>,000 and $</w:t>
      </w:r>
      <w:r w:rsidR="00FA54BF">
        <w:rPr>
          <w:color w:val="000000"/>
          <w:sz w:val="20"/>
        </w:rPr>
        <w:t>334</w:t>
      </w:r>
      <w:r>
        <w:rPr>
          <w:color w:val="000000"/>
          <w:sz w:val="20"/>
        </w:rPr>
        <w:t xml:space="preserve">,000, respectively. </w:t>
      </w:r>
    </w:p>
    <w:p w:rsidR="001E7110" w:rsidRDefault="001E7110">
      <w:pPr>
        <w:ind w:firstLine="720"/>
        <w:rPr>
          <w:color w:val="000000"/>
          <w:sz w:val="20"/>
        </w:rPr>
      </w:pPr>
    </w:p>
    <w:p w:rsidR="004851D7" w:rsidRDefault="004851D7">
      <w:pPr>
        <w:ind w:firstLine="720"/>
        <w:rPr>
          <w:b/>
          <w:bCs/>
          <w:color w:val="000000"/>
          <w:sz w:val="20"/>
        </w:rPr>
      </w:pPr>
      <w:r>
        <w:rPr>
          <w:color w:val="000000"/>
          <w:sz w:val="20"/>
        </w:rPr>
        <w:t xml:space="preserve">Certain equipment has been financed through capital lease contracts. Leased property and equipment includes $222,000 of gross assets held as capital leases during </w:t>
      </w:r>
      <w:r w:rsidR="002A5898">
        <w:rPr>
          <w:color w:val="000000"/>
          <w:sz w:val="20"/>
        </w:rPr>
        <w:t xml:space="preserve">2011 </w:t>
      </w:r>
      <w:r>
        <w:rPr>
          <w:color w:val="000000"/>
          <w:sz w:val="20"/>
        </w:rPr>
        <w:t xml:space="preserve">and </w:t>
      </w:r>
      <w:r w:rsidR="002A5898">
        <w:rPr>
          <w:color w:val="000000"/>
          <w:sz w:val="20"/>
        </w:rPr>
        <w:t xml:space="preserve">2010 </w:t>
      </w:r>
      <w:r>
        <w:rPr>
          <w:color w:val="000000"/>
          <w:sz w:val="20"/>
        </w:rPr>
        <w:t xml:space="preserve">which had accumulated depreciation </w:t>
      </w:r>
      <w:r w:rsidRPr="009B79C7">
        <w:rPr>
          <w:color w:val="000000"/>
          <w:sz w:val="20"/>
        </w:rPr>
        <w:t xml:space="preserve">of </w:t>
      </w:r>
      <w:r w:rsidR="009B79C7" w:rsidRPr="009B79C7">
        <w:rPr>
          <w:color w:val="000000"/>
          <w:sz w:val="20"/>
        </w:rPr>
        <w:t>220</w:t>
      </w:r>
      <w:r w:rsidRPr="009B79C7">
        <w:rPr>
          <w:color w:val="000000"/>
          <w:sz w:val="20"/>
        </w:rPr>
        <w:t>,000 and $</w:t>
      </w:r>
      <w:r w:rsidR="009B79C7" w:rsidRPr="009B79C7">
        <w:rPr>
          <w:color w:val="000000"/>
          <w:sz w:val="20"/>
        </w:rPr>
        <w:t>196</w:t>
      </w:r>
      <w:r w:rsidRPr="009B79C7">
        <w:rPr>
          <w:color w:val="000000"/>
          <w:sz w:val="20"/>
        </w:rPr>
        <w:t xml:space="preserve">,000 as of December 31, </w:t>
      </w:r>
      <w:r w:rsidR="002A5898" w:rsidRPr="009B79C7">
        <w:rPr>
          <w:color w:val="000000"/>
          <w:sz w:val="20"/>
        </w:rPr>
        <w:t xml:space="preserve">2011 </w:t>
      </w:r>
      <w:r w:rsidRPr="009B79C7">
        <w:rPr>
          <w:color w:val="000000"/>
          <w:sz w:val="20"/>
        </w:rPr>
        <w:t xml:space="preserve">and </w:t>
      </w:r>
      <w:r w:rsidR="002A5898" w:rsidRPr="009B79C7">
        <w:rPr>
          <w:color w:val="000000"/>
          <w:sz w:val="20"/>
        </w:rPr>
        <w:t>2010</w:t>
      </w:r>
      <w:r w:rsidRPr="009B79C7">
        <w:rPr>
          <w:color w:val="000000"/>
          <w:sz w:val="20"/>
        </w:rPr>
        <w:t>, respectively.</w:t>
      </w:r>
      <w:r>
        <w:rPr>
          <w:color w:val="000000"/>
          <w:sz w:val="20"/>
        </w:rPr>
        <w:t xml:space="preserve"> </w:t>
      </w:r>
      <w:r w:rsidR="00235919">
        <w:rPr>
          <w:color w:val="000000"/>
          <w:sz w:val="20"/>
        </w:rPr>
        <w:t>Leased property and equipment includes $203,000 for a phone system lease that expired in April 2011 and is fully depreciated.</w:t>
      </w:r>
      <w:r w:rsidR="00B2164C">
        <w:rPr>
          <w:color w:val="000000"/>
          <w:sz w:val="20"/>
        </w:rPr>
        <w:t xml:space="preserve"> The lease had a buy-out option which was executed upon lease expiration.</w:t>
      </w:r>
    </w:p>
    <w:p w:rsidR="00AF50C9" w:rsidRDefault="00AF50C9" w:rsidP="00AF50C9">
      <w:pPr>
        <w:rPr>
          <w:b/>
          <w:bCs/>
          <w:color w:val="000000"/>
          <w:sz w:val="20"/>
        </w:rPr>
      </w:pPr>
    </w:p>
    <w:p w:rsidR="00AF50C9" w:rsidRDefault="00AF50C9" w:rsidP="00AF50C9">
      <w:pPr>
        <w:rPr>
          <w:b/>
          <w:bCs/>
          <w:color w:val="000000"/>
          <w:sz w:val="20"/>
        </w:rPr>
      </w:pPr>
    </w:p>
    <w:p w:rsidR="00095858" w:rsidRDefault="00095858" w:rsidP="00AF50C9">
      <w:pPr>
        <w:rPr>
          <w:b/>
          <w:bCs/>
          <w:color w:val="000000"/>
          <w:sz w:val="20"/>
        </w:rPr>
      </w:pPr>
    </w:p>
    <w:p w:rsidR="00095858" w:rsidRDefault="00095858" w:rsidP="00AF50C9">
      <w:pPr>
        <w:rPr>
          <w:b/>
          <w:bCs/>
          <w:color w:val="000000"/>
          <w:sz w:val="20"/>
        </w:rPr>
      </w:pPr>
    </w:p>
    <w:p w:rsidR="00095858" w:rsidRDefault="00095858" w:rsidP="00AF50C9">
      <w:pPr>
        <w:rPr>
          <w:b/>
          <w:bCs/>
          <w:color w:val="000000"/>
          <w:sz w:val="20"/>
        </w:rPr>
      </w:pPr>
    </w:p>
    <w:p w:rsidR="00095858" w:rsidRDefault="00095858" w:rsidP="00AF50C9">
      <w:pPr>
        <w:rPr>
          <w:b/>
          <w:bCs/>
          <w:color w:val="000000"/>
          <w:sz w:val="20"/>
        </w:rPr>
      </w:pPr>
    </w:p>
    <w:p w:rsidR="00095858" w:rsidRDefault="00095858" w:rsidP="00AF50C9">
      <w:pPr>
        <w:rPr>
          <w:b/>
          <w:bCs/>
          <w:color w:val="000000"/>
          <w:sz w:val="20"/>
        </w:rPr>
      </w:pPr>
    </w:p>
    <w:p w:rsidR="00095858" w:rsidRDefault="00095858" w:rsidP="00AF50C9">
      <w:pPr>
        <w:rPr>
          <w:b/>
          <w:bCs/>
          <w:color w:val="000000"/>
          <w:sz w:val="20"/>
        </w:rPr>
      </w:pPr>
    </w:p>
    <w:p w:rsidR="00095858" w:rsidRDefault="00095858" w:rsidP="00AF50C9">
      <w:pPr>
        <w:rPr>
          <w:b/>
          <w:bCs/>
          <w:color w:val="000000"/>
          <w:sz w:val="20"/>
        </w:rPr>
      </w:pPr>
    </w:p>
    <w:p w:rsidR="00095858" w:rsidRDefault="00095858" w:rsidP="00AF50C9">
      <w:pPr>
        <w:rPr>
          <w:b/>
          <w:bCs/>
          <w:color w:val="000000"/>
          <w:sz w:val="20"/>
        </w:rPr>
      </w:pPr>
    </w:p>
    <w:p w:rsidR="00095858" w:rsidRDefault="00095858" w:rsidP="00AF50C9">
      <w:pPr>
        <w:rPr>
          <w:b/>
          <w:bCs/>
          <w:color w:val="000000"/>
          <w:sz w:val="20"/>
        </w:rPr>
      </w:pPr>
    </w:p>
    <w:p w:rsidR="00095858" w:rsidRDefault="00095858" w:rsidP="00AF50C9">
      <w:pPr>
        <w:rPr>
          <w:b/>
          <w:bCs/>
          <w:color w:val="000000"/>
          <w:sz w:val="20"/>
        </w:rPr>
      </w:pPr>
    </w:p>
    <w:p w:rsidR="00095858" w:rsidRDefault="00095858" w:rsidP="00AF50C9">
      <w:pPr>
        <w:rPr>
          <w:b/>
          <w:bCs/>
          <w:color w:val="000000"/>
          <w:sz w:val="20"/>
        </w:rPr>
      </w:pPr>
    </w:p>
    <w:p w:rsidR="00095858" w:rsidRDefault="00095858" w:rsidP="00AF50C9">
      <w:pPr>
        <w:rPr>
          <w:b/>
          <w:bCs/>
          <w:color w:val="000000"/>
          <w:sz w:val="20"/>
        </w:rPr>
      </w:pPr>
    </w:p>
    <w:p w:rsidR="00095858" w:rsidRDefault="00095858" w:rsidP="00AF50C9">
      <w:pPr>
        <w:rPr>
          <w:b/>
          <w:bCs/>
          <w:color w:val="000000"/>
          <w:sz w:val="20"/>
        </w:rPr>
      </w:pPr>
    </w:p>
    <w:p w:rsidR="00AF50C9" w:rsidRDefault="00AF50C9" w:rsidP="00AF50C9">
      <w:pPr>
        <w:rPr>
          <w:b/>
          <w:bCs/>
          <w:color w:val="000000"/>
          <w:sz w:val="20"/>
        </w:rPr>
      </w:pPr>
      <w:r>
        <w:rPr>
          <w:b/>
          <w:bCs/>
          <w:color w:val="000000"/>
          <w:sz w:val="20"/>
        </w:rPr>
        <w:t>4.   Supplemental Balance Sheet Information (Continued)</w:t>
      </w:r>
    </w:p>
    <w:p w:rsidR="004851D7" w:rsidRDefault="004851D7">
      <w:pPr>
        <w:rPr>
          <w:b/>
          <w:bCs/>
          <w:color w:val="000000"/>
          <w:sz w:val="20"/>
        </w:rPr>
      </w:pPr>
    </w:p>
    <w:p w:rsidR="004851D7" w:rsidRDefault="004851D7">
      <w:pPr>
        <w:rPr>
          <w:b/>
          <w:bCs/>
          <w:color w:val="000000"/>
          <w:sz w:val="20"/>
        </w:rPr>
      </w:pPr>
      <w:r>
        <w:rPr>
          <w:b/>
          <w:bCs/>
          <w:color w:val="000000"/>
          <w:sz w:val="20"/>
        </w:rPr>
        <w:t>Capitalized Software Products</w:t>
      </w:r>
    </w:p>
    <w:p w:rsidR="004851D7" w:rsidRDefault="004851D7">
      <w:pPr>
        <w:rPr>
          <w:color w:val="000000"/>
          <w:sz w:val="20"/>
        </w:rPr>
      </w:pPr>
      <w:r>
        <w:rPr>
          <w:color w:val="000000"/>
          <w:sz w:val="20"/>
        </w:rPr>
        <w:tab/>
      </w:r>
    </w:p>
    <w:tbl>
      <w:tblPr>
        <w:tblW w:w="5000" w:type="pct"/>
        <w:tblLook w:val="00A0" w:firstRow="1" w:lastRow="0" w:firstColumn="1" w:lastColumn="0" w:noHBand="0" w:noVBand="0"/>
      </w:tblPr>
      <w:tblGrid>
        <w:gridCol w:w="5822"/>
        <w:gridCol w:w="1906"/>
        <w:gridCol w:w="1906"/>
      </w:tblGrid>
      <w:tr w:rsidR="004851D7">
        <w:trPr>
          <w:trHeight w:val="270"/>
        </w:trPr>
        <w:tc>
          <w:tcPr>
            <w:tcW w:w="3022" w:type="pct"/>
            <w:tcBorders>
              <w:top w:val="nil"/>
              <w:left w:val="nil"/>
              <w:bottom w:val="nil"/>
              <w:right w:val="nil"/>
            </w:tcBorders>
            <w:noWrap/>
            <w:vAlign w:val="bottom"/>
          </w:tcPr>
          <w:p w:rsidR="004851D7" w:rsidRDefault="004851D7">
            <w:pPr>
              <w:rPr>
                <w:color w:val="000000"/>
                <w:sz w:val="20"/>
                <w:szCs w:val="20"/>
              </w:rPr>
            </w:pPr>
            <w:r>
              <w:rPr>
                <w:color w:val="000000"/>
                <w:sz w:val="20"/>
                <w:szCs w:val="20"/>
              </w:rPr>
              <w:t>Capitalized software products are as follows:</w:t>
            </w:r>
          </w:p>
        </w:tc>
        <w:tc>
          <w:tcPr>
            <w:tcW w:w="1978" w:type="pct"/>
            <w:gridSpan w:val="2"/>
            <w:tcBorders>
              <w:top w:val="nil"/>
              <w:left w:val="nil"/>
              <w:bottom w:val="single" w:sz="8" w:space="0" w:color="auto"/>
              <w:right w:val="nil"/>
            </w:tcBorders>
          </w:tcPr>
          <w:p w:rsidR="004851D7" w:rsidRDefault="004851D7">
            <w:pPr>
              <w:jc w:val="center"/>
              <w:rPr>
                <w:b/>
                <w:bCs/>
                <w:sz w:val="20"/>
                <w:szCs w:val="20"/>
              </w:rPr>
            </w:pPr>
            <w:r>
              <w:rPr>
                <w:b/>
                <w:bCs/>
                <w:sz w:val="20"/>
                <w:szCs w:val="20"/>
              </w:rPr>
              <w:t>December 31,</w:t>
            </w:r>
          </w:p>
        </w:tc>
      </w:tr>
      <w:tr w:rsidR="004851D7">
        <w:trPr>
          <w:trHeight w:val="270"/>
        </w:trPr>
        <w:tc>
          <w:tcPr>
            <w:tcW w:w="3022" w:type="pct"/>
            <w:tcBorders>
              <w:top w:val="nil"/>
              <w:left w:val="nil"/>
              <w:bottom w:val="nil"/>
              <w:right w:val="nil"/>
            </w:tcBorders>
          </w:tcPr>
          <w:p w:rsidR="004851D7" w:rsidRDefault="004851D7">
            <w:pPr>
              <w:rPr>
                <w:sz w:val="20"/>
                <w:szCs w:val="20"/>
              </w:rPr>
            </w:pPr>
          </w:p>
        </w:tc>
        <w:tc>
          <w:tcPr>
            <w:tcW w:w="989" w:type="pct"/>
            <w:tcBorders>
              <w:top w:val="nil"/>
              <w:left w:val="nil"/>
              <w:bottom w:val="single" w:sz="8" w:space="0" w:color="auto"/>
              <w:right w:val="nil"/>
            </w:tcBorders>
          </w:tcPr>
          <w:p w:rsidR="004851D7" w:rsidRDefault="00FA54BF" w:rsidP="00223B45">
            <w:pPr>
              <w:jc w:val="center"/>
              <w:rPr>
                <w:b/>
                <w:bCs/>
                <w:sz w:val="20"/>
                <w:szCs w:val="20"/>
              </w:rPr>
            </w:pPr>
            <w:r>
              <w:rPr>
                <w:b/>
                <w:bCs/>
                <w:sz w:val="20"/>
                <w:szCs w:val="20"/>
              </w:rPr>
              <w:t>2011</w:t>
            </w:r>
          </w:p>
        </w:tc>
        <w:tc>
          <w:tcPr>
            <w:tcW w:w="989" w:type="pct"/>
            <w:tcBorders>
              <w:top w:val="nil"/>
              <w:left w:val="nil"/>
              <w:bottom w:val="single" w:sz="8" w:space="0" w:color="auto"/>
              <w:right w:val="nil"/>
            </w:tcBorders>
          </w:tcPr>
          <w:p w:rsidR="004851D7" w:rsidRDefault="00FA54BF" w:rsidP="00223B45">
            <w:pPr>
              <w:jc w:val="center"/>
              <w:rPr>
                <w:b/>
                <w:bCs/>
                <w:sz w:val="20"/>
                <w:szCs w:val="20"/>
              </w:rPr>
            </w:pPr>
            <w:r>
              <w:rPr>
                <w:b/>
                <w:bCs/>
                <w:sz w:val="20"/>
                <w:szCs w:val="20"/>
              </w:rPr>
              <w:t>2010</w:t>
            </w:r>
          </w:p>
        </w:tc>
      </w:tr>
      <w:tr w:rsidR="004851D7">
        <w:trPr>
          <w:trHeight w:val="263"/>
        </w:trPr>
        <w:tc>
          <w:tcPr>
            <w:tcW w:w="3022" w:type="pct"/>
            <w:tcBorders>
              <w:top w:val="nil"/>
              <w:left w:val="nil"/>
              <w:bottom w:val="nil"/>
              <w:right w:val="nil"/>
            </w:tcBorders>
          </w:tcPr>
          <w:p w:rsidR="004851D7" w:rsidRDefault="004851D7">
            <w:pPr>
              <w:rPr>
                <w:sz w:val="20"/>
                <w:szCs w:val="20"/>
              </w:rPr>
            </w:pPr>
          </w:p>
        </w:tc>
        <w:tc>
          <w:tcPr>
            <w:tcW w:w="1978" w:type="pct"/>
            <w:gridSpan w:val="2"/>
            <w:tcBorders>
              <w:top w:val="single" w:sz="8" w:space="0" w:color="auto"/>
              <w:left w:val="nil"/>
              <w:bottom w:val="nil"/>
              <w:right w:val="nil"/>
            </w:tcBorders>
          </w:tcPr>
          <w:p w:rsidR="004851D7" w:rsidRDefault="004851D7">
            <w:pPr>
              <w:jc w:val="center"/>
              <w:rPr>
                <w:i/>
                <w:iCs/>
                <w:sz w:val="20"/>
                <w:szCs w:val="20"/>
              </w:rPr>
            </w:pPr>
            <w:r>
              <w:rPr>
                <w:i/>
                <w:iCs/>
                <w:sz w:val="20"/>
                <w:szCs w:val="20"/>
              </w:rPr>
              <w:t>(In thousands)</w:t>
            </w:r>
          </w:p>
        </w:tc>
      </w:tr>
      <w:tr w:rsidR="004851D7">
        <w:trPr>
          <w:trHeight w:val="255"/>
        </w:trPr>
        <w:tc>
          <w:tcPr>
            <w:tcW w:w="3022" w:type="pct"/>
            <w:tcBorders>
              <w:top w:val="nil"/>
              <w:left w:val="nil"/>
              <w:bottom w:val="nil"/>
              <w:right w:val="nil"/>
            </w:tcBorders>
          </w:tcPr>
          <w:p w:rsidR="004851D7" w:rsidRDefault="004851D7">
            <w:pPr>
              <w:rPr>
                <w:sz w:val="20"/>
                <w:szCs w:val="20"/>
              </w:rPr>
            </w:pPr>
            <w:r>
              <w:rPr>
                <w:sz w:val="20"/>
                <w:szCs w:val="20"/>
              </w:rPr>
              <w:t>Repertoire development</w:t>
            </w:r>
          </w:p>
        </w:tc>
        <w:tc>
          <w:tcPr>
            <w:tcW w:w="989" w:type="pct"/>
            <w:tcBorders>
              <w:top w:val="nil"/>
              <w:left w:val="nil"/>
              <w:bottom w:val="nil"/>
              <w:right w:val="nil"/>
            </w:tcBorders>
          </w:tcPr>
          <w:p w:rsidR="004851D7" w:rsidRDefault="004851D7" w:rsidP="00CC05D5">
            <w:pPr>
              <w:jc w:val="right"/>
              <w:rPr>
                <w:b/>
                <w:bCs/>
                <w:sz w:val="20"/>
                <w:szCs w:val="20"/>
              </w:rPr>
            </w:pPr>
            <w:r>
              <w:rPr>
                <w:b/>
                <w:bCs/>
                <w:sz w:val="20"/>
                <w:szCs w:val="20"/>
              </w:rPr>
              <w:t>$</w:t>
            </w:r>
            <w:r w:rsidR="00CC05D5">
              <w:rPr>
                <w:b/>
                <w:bCs/>
                <w:sz w:val="20"/>
                <w:szCs w:val="20"/>
              </w:rPr>
              <w:t>4,982</w:t>
            </w:r>
            <w:r>
              <w:rPr>
                <w:b/>
                <w:bCs/>
                <w:sz w:val="20"/>
                <w:szCs w:val="20"/>
              </w:rPr>
              <w:t xml:space="preserve"> </w:t>
            </w:r>
          </w:p>
        </w:tc>
        <w:tc>
          <w:tcPr>
            <w:tcW w:w="989" w:type="pct"/>
            <w:tcBorders>
              <w:top w:val="nil"/>
              <w:left w:val="nil"/>
              <w:bottom w:val="nil"/>
              <w:right w:val="nil"/>
            </w:tcBorders>
          </w:tcPr>
          <w:p w:rsidR="004851D7" w:rsidRDefault="004851D7" w:rsidP="002A5898">
            <w:pPr>
              <w:jc w:val="right"/>
              <w:rPr>
                <w:sz w:val="20"/>
                <w:szCs w:val="20"/>
              </w:rPr>
            </w:pPr>
            <w:r>
              <w:rPr>
                <w:bCs/>
                <w:sz w:val="20"/>
                <w:szCs w:val="20"/>
              </w:rPr>
              <w:t>$</w:t>
            </w:r>
            <w:r w:rsidR="002A5898">
              <w:rPr>
                <w:bCs/>
                <w:sz w:val="20"/>
                <w:szCs w:val="20"/>
              </w:rPr>
              <w:t>4,491</w:t>
            </w:r>
            <w:r>
              <w:rPr>
                <w:bCs/>
                <w:sz w:val="20"/>
                <w:szCs w:val="20"/>
              </w:rPr>
              <w:t xml:space="preserve"> </w:t>
            </w:r>
          </w:p>
        </w:tc>
      </w:tr>
      <w:tr w:rsidR="004851D7">
        <w:trPr>
          <w:trHeight w:val="255"/>
        </w:trPr>
        <w:tc>
          <w:tcPr>
            <w:tcW w:w="3022" w:type="pct"/>
            <w:tcBorders>
              <w:top w:val="nil"/>
              <w:left w:val="nil"/>
              <w:bottom w:val="nil"/>
              <w:right w:val="nil"/>
            </w:tcBorders>
          </w:tcPr>
          <w:p w:rsidR="004851D7" w:rsidRDefault="004851D7">
            <w:pPr>
              <w:rPr>
                <w:sz w:val="20"/>
                <w:szCs w:val="20"/>
              </w:rPr>
            </w:pPr>
            <w:r>
              <w:rPr>
                <w:sz w:val="20"/>
                <w:szCs w:val="20"/>
              </w:rPr>
              <w:t>Software translation</w:t>
            </w:r>
          </w:p>
        </w:tc>
        <w:tc>
          <w:tcPr>
            <w:tcW w:w="989" w:type="pct"/>
            <w:tcBorders>
              <w:top w:val="nil"/>
              <w:left w:val="nil"/>
              <w:bottom w:val="nil"/>
              <w:right w:val="nil"/>
            </w:tcBorders>
          </w:tcPr>
          <w:p w:rsidR="004851D7" w:rsidRDefault="00CC05D5" w:rsidP="00CC05D5">
            <w:pPr>
              <w:jc w:val="right"/>
              <w:rPr>
                <w:b/>
                <w:bCs/>
                <w:sz w:val="20"/>
                <w:szCs w:val="20"/>
              </w:rPr>
            </w:pPr>
            <w:r>
              <w:rPr>
                <w:b/>
                <w:bCs/>
                <w:sz w:val="20"/>
                <w:szCs w:val="20"/>
              </w:rPr>
              <w:t>125</w:t>
            </w:r>
          </w:p>
        </w:tc>
        <w:tc>
          <w:tcPr>
            <w:tcW w:w="989" w:type="pct"/>
            <w:tcBorders>
              <w:top w:val="nil"/>
              <w:left w:val="nil"/>
              <w:bottom w:val="nil"/>
              <w:right w:val="nil"/>
            </w:tcBorders>
          </w:tcPr>
          <w:p w:rsidR="004851D7" w:rsidRDefault="002A5898" w:rsidP="002A5898">
            <w:pPr>
              <w:jc w:val="right"/>
              <w:rPr>
                <w:sz w:val="20"/>
                <w:szCs w:val="20"/>
              </w:rPr>
            </w:pPr>
            <w:r>
              <w:rPr>
                <w:bCs/>
                <w:sz w:val="20"/>
                <w:szCs w:val="20"/>
              </w:rPr>
              <w:t>125</w:t>
            </w:r>
          </w:p>
        </w:tc>
      </w:tr>
      <w:tr w:rsidR="004851D7">
        <w:trPr>
          <w:trHeight w:val="255"/>
        </w:trPr>
        <w:tc>
          <w:tcPr>
            <w:tcW w:w="3022" w:type="pct"/>
            <w:tcBorders>
              <w:top w:val="nil"/>
              <w:left w:val="nil"/>
              <w:bottom w:val="nil"/>
              <w:right w:val="nil"/>
            </w:tcBorders>
          </w:tcPr>
          <w:p w:rsidR="004851D7" w:rsidRDefault="004851D7">
            <w:pPr>
              <w:rPr>
                <w:sz w:val="20"/>
                <w:szCs w:val="20"/>
              </w:rPr>
            </w:pPr>
            <w:proofErr w:type="spellStart"/>
            <w:r>
              <w:rPr>
                <w:sz w:val="20"/>
                <w:szCs w:val="20"/>
              </w:rPr>
              <w:t>SmartMusic</w:t>
            </w:r>
            <w:proofErr w:type="spellEnd"/>
            <w:r>
              <w:rPr>
                <w:sz w:val="20"/>
                <w:szCs w:val="20"/>
              </w:rPr>
              <w:t xml:space="preserve"> website</w:t>
            </w:r>
          </w:p>
        </w:tc>
        <w:tc>
          <w:tcPr>
            <w:tcW w:w="989" w:type="pct"/>
            <w:tcBorders>
              <w:top w:val="nil"/>
              <w:left w:val="nil"/>
              <w:bottom w:val="nil"/>
              <w:right w:val="nil"/>
            </w:tcBorders>
          </w:tcPr>
          <w:p w:rsidR="004851D7" w:rsidRDefault="00CC05D5" w:rsidP="00CC05D5">
            <w:pPr>
              <w:jc w:val="right"/>
              <w:rPr>
                <w:b/>
                <w:bCs/>
                <w:sz w:val="20"/>
                <w:szCs w:val="20"/>
              </w:rPr>
            </w:pPr>
            <w:r>
              <w:rPr>
                <w:b/>
                <w:bCs/>
                <w:sz w:val="20"/>
                <w:szCs w:val="20"/>
              </w:rPr>
              <w:t>461</w:t>
            </w:r>
          </w:p>
        </w:tc>
        <w:tc>
          <w:tcPr>
            <w:tcW w:w="989" w:type="pct"/>
            <w:tcBorders>
              <w:top w:val="nil"/>
              <w:left w:val="nil"/>
              <w:bottom w:val="nil"/>
              <w:right w:val="nil"/>
            </w:tcBorders>
          </w:tcPr>
          <w:p w:rsidR="004851D7" w:rsidRDefault="002A5898" w:rsidP="002A5898">
            <w:pPr>
              <w:jc w:val="right"/>
              <w:rPr>
                <w:sz w:val="20"/>
                <w:szCs w:val="20"/>
              </w:rPr>
            </w:pPr>
            <w:r>
              <w:rPr>
                <w:bCs/>
                <w:sz w:val="20"/>
                <w:szCs w:val="20"/>
              </w:rPr>
              <w:t>461</w:t>
            </w:r>
          </w:p>
        </w:tc>
      </w:tr>
      <w:tr w:rsidR="00110477">
        <w:trPr>
          <w:trHeight w:val="255"/>
        </w:trPr>
        <w:tc>
          <w:tcPr>
            <w:tcW w:w="3022" w:type="pct"/>
            <w:tcBorders>
              <w:top w:val="nil"/>
              <w:left w:val="nil"/>
              <w:bottom w:val="nil"/>
              <w:right w:val="nil"/>
            </w:tcBorders>
          </w:tcPr>
          <w:p w:rsidR="00110477" w:rsidRDefault="00110477">
            <w:pPr>
              <w:rPr>
                <w:sz w:val="20"/>
                <w:szCs w:val="20"/>
              </w:rPr>
            </w:pPr>
            <w:proofErr w:type="spellStart"/>
            <w:r>
              <w:rPr>
                <w:sz w:val="20"/>
                <w:szCs w:val="20"/>
              </w:rPr>
              <w:t>SmartMusic</w:t>
            </w:r>
            <w:proofErr w:type="spellEnd"/>
            <w:r>
              <w:rPr>
                <w:sz w:val="20"/>
                <w:szCs w:val="20"/>
              </w:rPr>
              <w:t xml:space="preserve"> </w:t>
            </w:r>
            <w:proofErr w:type="spellStart"/>
            <w:r>
              <w:rPr>
                <w:sz w:val="20"/>
                <w:szCs w:val="20"/>
              </w:rPr>
              <w:t>Gradebook</w:t>
            </w:r>
            <w:proofErr w:type="spellEnd"/>
            <w:r>
              <w:rPr>
                <w:sz w:val="20"/>
                <w:szCs w:val="20"/>
              </w:rPr>
              <w:t xml:space="preserve"> development</w:t>
            </w:r>
          </w:p>
        </w:tc>
        <w:tc>
          <w:tcPr>
            <w:tcW w:w="989" w:type="pct"/>
            <w:tcBorders>
              <w:top w:val="nil"/>
              <w:left w:val="nil"/>
              <w:bottom w:val="nil"/>
              <w:right w:val="nil"/>
            </w:tcBorders>
          </w:tcPr>
          <w:p w:rsidR="00110477" w:rsidRDefault="00110477" w:rsidP="00CC05D5">
            <w:pPr>
              <w:jc w:val="right"/>
              <w:rPr>
                <w:b/>
                <w:bCs/>
                <w:sz w:val="20"/>
                <w:szCs w:val="20"/>
              </w:rPr>
            </w:pPr>
            <w:r>
              <w:rPr>
                <w:b/>
                <w:bCs/>
                <w:sz w:val="20"/>
                <w:szCs w:val="20"/>
              </w:rPr>
              <w:t>511</w:t>
            </w:r>
          </w:p>
        </w:tc>
        <w:tc>
          <w:tcPr>
            <w:tcW w:w="989" w:type="pct"/>
            <w:tcBorders>
              <w:top w:val="nil"/>
              <w:left w:val="nil"/>
              <w:bottom w:val="nil"/>
              <w:right w:val="nil"/>
            </w:tcBorders>
          </w:tcPr>
          <w:p w:rsidR="00110477" w:rsidRDefault="00110477" w:rsidP="002A5898">
            <w:pPr>
              <w:jc w:val="right"/>
              <w:rPr>
                <w:bCs/>
                <w:sz w:val="20"/>
                <w:szCs w:val="20"/>
              </w:rPr>
            </w:pPr>
            <w:r>
              <w:rPr>
                <w:bCs/>
                <w:sz w:val="20"/>
                <w:szCs w:val="20"/>
              </w:rPr>
              <w:t>511</w:t>
            </w:r>
          </w:p>
        </w:tc>
      </w:tr>
      <w:tr w:rsidR="00110477">
        <w:trPr>
          <w:trHeight w:val="255"/>
        </w:trPr>
        <w:tc>
          <w:tcPr>
            <w:tcW w:w="3022" w:type="pct"/>
            <w:tcBorders>
              <w:top w:val="nil"/>
              <w:left w:val="nil"/>
              <w:bottom w:val="nil"/>
              <w:right w:val="nil"/>
            </w:tcBorders>
          </w:tcPr>
          <w:p w:rsidR="00110477" w:rsidRDefault="00110477">
            <w:pPr>
              <w:rPr>
                <w:sz w:val="20"/>
                <w:szCs w:val="20"/>
              </w:rPr>
            </w:pPr>
            <w:r>
              <w:rPr>
                <w:sz w:val="20"/>
                <w:szCs w:val="20"/>
              </w:rPr>
              <w:t>Music XML</w:t>
            </w:r>
          </w:p>
        </w:tc>
        <w:tc>
          <w:tcPr>
            <w:tcW w:w="989" w:type="pct"/>
            <w:tcBorders>
              <w:top w:val="nil"/>
              <w:left w:val="nil"/>
              <w:bottom w:val="nil"/>
              <w:right w:val="nil"/>
            </w:tcBorders>
          </w:tcPr>
          <w:p w:rsidR="00110477" w:rsidRDefault="00110477" w:rsidP="00CC05D5">
            <w:pPr>
              <w:jc w:val="right"/>
              <w:rPr>
                <w:b/>
                <w:bCs/>
                <w:sz w:val="20"/>
                <w:szCs w:val="20"/>
              </w:rPr>
            </w:pPr>
            <w:r>
              <w:rPr>
                <w:b/>
                <w:bCs/>
                <w:sz w:val="20"/>
                <w:szCs w:val="20"/>
              </w:rPr>
              <w:t>673</w:t>
            </w:r>
          </w:p>
        </w:tc>
        <w:tc>
          <w:tcPr>
            <w:tcW w:w="989" w:type="pct"/>
            <w:tcBorders>
              <w:top w:val="nil"/>
              <w:left w:val="nil"/>
              <w:bottom w:val="nil"/>
              <w:right w:val="nil"/>
            </w:tcBorders>
          </w:tcPr>
          <w:p w:rsidR="00110477" w:rsidRDefault="007104AD" w:rsidP="002A5898">
            <w:pPr>
              <w:jc w:val="right"/>
              <w:rPr>
                <w:bCs/>
                <w:sz w:val="20"/>
                <w:szCs w:val="20"/>
              </w:rPr>
            </w:pPr>
            <w:r>
              <w:rPr>
                <w:bCs/>
                <w:sz w:val="20"/>
                <w:szCs w:val="20"/>
              </w:rPr>
              <w:t>-</w:t>
            </w:r>
          </w:p>
        </w:tc>
      </w:tr>
      <w:tr w:rsidR="00110477">
        <w:trPr>
          <w:trHeight w:val="255"/>
        </w:trPr>
        <w:tc>
          <w:tcPr>
            <w:tcW w:w="3022" w:type="pct"/>
            <w:tcBorders>
              <w:top w:val="nil"/>
              <w:left w:val="nil"/>
              <w:bottom w:val="nil"/>
              <w:right w:val="nil"/>
            </w:tcBorders>
          </w:tcPr>
          <w:p w:rsidR="00110477" w:rsidRDefault="00110477">
            <w:pPr>
              <w:rPr>
                <w:sz w:val="20"/>
                <w:szCs w:val="20"/>
              </w:rPr>
            </w:pPr>
            <w:r>
              <w:rPr>
                <w:sz w:val="20"/>
                <w:szCs w:val="20"/>
              </w:rPr>
              <w:t>Aria Player</w:t>
            </w:r>
          </w:p>
        </w:tc>
        <w:tc>
          <w:tcPr>
            <w:tcW w:w="989" w:type="pct"/>
            <w:tcBorders>
              <w:top w:val="nil"/>
              <w:left w:val="nil"/>
              <w:bottom w:val="nil"/>
              <w:right w:val="nil"/>
            </w:tcBorders>
          </w:tcPr>
          <w:p w:rsidR="00110477" w:rsidRDefault="00110477" w:rsidP="00CC05D5">
            <w:pPr>
              <w:jc w:val="right"/>
              <w:rPr>
                <w:b/>
                <w:bCs/>
                <w:sz w:val="20"/>
                <w:szCs w:val="20"/>
              </w:rPr>
            </w:pPr>
            <w:r>
              <w:rPr>
                <w:b/>
                <w:bCs/>
                <w:sz w:val="20"/>
                <w:szCs w:val="20"/>
              </w:rPr>
              <w:t>226</w:t>
            </w:r>
          </w:p>
        </w:tc>
        <w:tc>
          <w:tcPr>
            <w:tcW w:w="989" w:type="pct"/>
            <w:tcBorders>
              <w:top w:val="nil"/>
              <w:left w:val="nil"/>
              <w:bottom w:val="nil"/>
              <w:right w:val="nil"/>
            </w:tcBorders>
          </w:tcPr>
          <w:p w:rsidR="00110477" w:rsidRDefault="007104AD" w:rsidP="002A5898">
            <w:pPr>
              <w:jc w:val="right"/>
              <w:rPr>
                <w:bCs/>
                <w:sz w:val="20"/>
                <w:szCs w:val="20"/>
              </w:rPr>
            </w:pPr>
            <w:r>
              <w:rPr>
                <w:bCs/>
                <w:sz w:val="20"/>
                <w:szCs w:val="20"/>
              </w:rPr>
              <w:t>-</w:t>
            </w:r>
          </w:p>
        </w:tc>
      </w:tr>
      <w:tr w:rsidR="004851D7">
        <w:trPr>
          <w:trHeight w:val="255"/>
        </w:trPr>
        <w:tc>
          <w:tcPr>
            <w:tcW w:w="3022" w:type="pct"/>
            <w:tcBorders>
              <w:top w:val="nil"/>
              <w:left w:val="nil"/>
              <w:bottom w:val="nil"/>
              <w:right w:val="nil"/>
            </w:tcBorders>
          </w:tcPr>
          <w:p w:rsidR="004851D7" w:rsidRDefault="00110477">
            <w:pPr>
              <w:rPr>
                <w:sz w:val="20"/>
                <w:szCs w:val="20"/>
              </w:rPr>
            </w:pPr>
            <w:proofErr w:type="spellStart"/>
            <w:r>
              <w:rPr>
                <w:sz w:val="20"/>
                <w:szCs w:val="20"/>
              </w:rPr>
              <w:t>Dolet</w:t>
            </w:r>
            <w:proofErr w:type="spellEnd"/>
            <w:r w:rsidR="00561ED5">
              <w:rPr>
                <w:sz w:val="20"/>
                <w:szCs w:val="20"/>
              </w:rPr>
              <w:t xml:space="preserve"> Software</w:t>
            </w:r>
          </w:p>
        </w:tc>
        <w:tc>
          <w:tcPr>
            <w:tcW w:w="989" w:type="pct"/>
            <w:tcBorders>
              <w:top w:val="nil"/>
              <w:left w:val="nil"/>
              <w:bottom w:val="single" w:sz="4" w:space="0" w:color="auto"/>
              <w:right w:val="nil"/>
            </w:tcBorders>
          </w:tcPr>
          <w:p w:rsidR="004851D7" w:rsidRDefault="00110477" w:rsidP="00CC05D5">
            <w:pPr>
              <w:jc w:val="right"/>
              <w:rPr>
                <w:b/>
                <w:bCs/>
                <w:sz w:val="20"/>
                <w:szCs w:val="20"/>
              </w:rPr>
            </w:pPr>
            <w:r>
              <w:rPr>
                <w:b/>
                <w:bCs/>
                <w:sz w:val="20"/>
                <w:szCs w:val="20"/>
              </w:rPr>
              <w:t>91</w:t>
            </w:r>
          </w:p>
        </w:tc>
        <w:tc>
          <w:tcPr>
            <w:tcW w:w="989" w:type="pct"/>
            <w:tcBorders>
              <w:top w:val="nil"/>
              <w:left w:val="nil"/>
              <w:bottom w:val="single" w:sz="4" w:space="0" w:color="auto"/>
              <w:right w:val="nil"/>
            </w:tcBorders>
          </w:tcPr>
          <w:p w:rsidR="004851D7" w:rsidRDefault="007104AD" w:rsidP="002A5898">
            <w:pPr>
              <w:jc w:val="right"/>
              <w:rPr>
                <w:sz w:val="20"/>
                <w:szCs w:val="20"/>
              </w:rPr>
            </w:pPr>
            <w:r>
              <w:rPr>
                <w:bCs/>
                <w:sz w:val="20"/>
                <w:szCs w:val="20"/>
              </w:rPr>
              <w:t>-</w:t>
            </w:r>
          </w:p>
        </w:tc>
      </w:tr>
      <w:tr w:rsidR="004851D7">
        <w:trPr>
          <w:trHeight w:val="255"/>
        </w:trPr>
        <w:tc>
          <w:tcPr>
            <w:tcW w:w="3022" w:type="pct"/>
            <w:tcBorders>
              <w:top w:val="nil"/>
              <w:left w:val="nil"/>
              <w:bottom w:val="nil"/>
              <w:right w:val="nil"/>
            </w:tcBorders>
          </w:tcPr>
          <w:p w:rsidR="004851D7" w:rsidRDefault="004851D7">
            <w:pPr>
              <w:rPr>
                <w:sz w:val="20"/>
                <w:szCs w:val="20"/>
              </w:rPr>
            </w:pPr>
          </w:p>
        </w:tc>
        <w:tc>
          <w:tcPr>
            <w:tcW w:w="989" w:type="pct"/>
            <w:tcBorders>
              <w:top w:val="nil"/>
              <w:left w:val="nil"/>
              <w:bottom w:val="nil"/>
              <w:right w:val="nil"/>
            </w:tcBorders>
          </w:tcPr>
          <w:p w:rsidR="004851D7" w:rsidRDefault="00110477" w:rsidP="00CC05D5">
            <w:pPr>
              <w:jc w:val="right"/>
              <w:rPr>
                <w:b/>
                <w:bCs/>
                <w:sz w:val="20"/>
                <w:szCs w:val="20"/>
              </w:rPr>
            </w:pPr>
            <w:r>
              <w:rPr>
                <w:b/>
                <w:bCs/>
                <w:sz w:val="20"/>
                <w:szCs w:val="20"/>
              </w:rPr>
              <w:t>7</w:t>
            </w:r>
            <w:r w:rsidR="00CC05D5">
              <w:rPr>
                <w:b/>
                <w:bCs/>
                <w:sz w:val="20"/>
                <w:szCs w:val="20"/>
              </w:rPr>
              <w:t>,0</w:t>
            </w:r>
            <w:r>
              <w:rPr>
                <w:b/>
                <w:bCs/>
                <w:sz w:val="20"/>
                <w:szCs w:val="20"/>
              </w:rPr>
              <w:t>6</w:t>
            </w:r>
            <w:r w:rsidR="00CC05D5">
              <w:rPr>
                <w:b/>
                <w:bCs/>
                <w:sz w:val="20"/>
                <w:szCs w:val="20"/>
              </w:rPr>
              <w:t>9</w:t>
            </w:r>
          </w:p>
        </w:tc>
        <w:tc>
          <w:tcPr>
            <w:tcW w:w="989" w:type="pct"/>
            <w:tcBorders>
              <w:top w:val="nil"/>
              <w:left w:val="nil"/>
              <w:bottom w:val="nil"/>
              <w:right w:val="nil"/>
            </w:tcBorders>
          </w:tcPr>
          <w:p w:rsidR="004851D7" w:rsidRDefault="002A5898" w:rsidP="002A5898">
            <w:pPr>
              <w:jc w:val="right"/>
              <w:rPr>
                <w:sz w:val="20"/>
                <w:szCs w:val="20"/>
              </w:rPr>
            </w:pPr>
            <w:r>
              <w:rPr>
                <w:bCs/>
                <w:sz w:val="20"/>
                <w:szCs w:val="20"/>
              </w:rPr>
              <w:t>5,588</w:t>
            </w:r>
          </w:p>
        </w:tc>
      </w:tr>
      <w:tr w:rsidR="004851D7">
        <w:trPr>
          <w:trHeight w:val="270"/>
        </w:trPr>
        <w:tc>
          <w:tcPr>
            <w:tcW w:w="3022" w:type="pct"/>
            <w:tcBorders>
              <w:top w:val="nil"/>
              <w:left w:val="nil"/>
              <w:bottom w:val="nil"/>
              <w:right w:val="nil"/>
            </w:tcBorders>
          </w:tcPr>
          <w:p w:rsidR="004851D7" w:rsidRDefault="004851D7">
            <w:pPr>
              <w:rPr>
                <w:sz w:val="20"/>
                <w:szCs w:val="20"/>
              </w:rPr>
            </w:pPr>
            <w:r>
              <w:rPr>
                <w:sz w:val="20"/>
                <w:szCs w:val="20"/>
              </w:rPr>
              <w:t>Less accumulated depreciation and amortization</w:t>
            </w:r>
          </w:p>
        </w:tc>
        <w:tc>
          <w:tcPr>
            <w:tcW w:w="989" w:type="pct"/>
            <w:tcBorders>
              <w:top w:val="nil"/>
              <w:left w:val="nil"/>
              <w:bottom w:val="single" w:sz="8" w:space="0" w:color="auto"/>
              <w:right w:val="nil"/>
            </w:tcBorders>
          </w:tcPr>
          <w:p w:rsidR="004851D7" w:rsidRDefault="004851D7" w:rsidP="00110477">
            <w:pPr>
              <w:jc w:val="right"/>
              <w:rPr>
                <w:b/>
                <w:bCs/>
                <w:sz w:val="20"/>
                <w:szCs w:val="20"/>
              </w:rPr>
            </w:pPr>
            <w:r>
              <w:rPr>
                <w:b/>
                <w:bCs/>
                <w:color w:val="FF0000"/>
                <w:sz w:val="20"/>
                <w:szCs w:val="20"/>
              </w:rPr>
              <w:t>(</w:t>
            </w:r>
            <w:r w:rsidR="00CC05D5">
              <w:rPr>
                <w:b/>
                <w:bCs/>
                <w:color w:val="FF0000"/>
                <w:sz w:val="20"/>
                <w:szCs w:val="20"/>
              </w:rPr>
              <w:t>3,95</w:t>
            </w:r>
            <w:r w:rsidR="00110477">
              <w:rPr>
                <w:b/>
                <w:bCs/>
                <w:color w:val="FF0000"/>
                <w:sz w:val="20"/>
                <w:szCs w:val="20"/>
              </w:rPr>
              <w:t>6</w:t>
            </w:r>
            <w:r>
              <w:rPr>
                <w:b/>
                <w:bCs/>
                <w:color w:val="FF0000"/>
                <w:sz w:val="20"/>
                <w:szCs w:val="20"/>
              </w:rPr>
              <w:t>)</w:t>
            </w:r>
          </w:p>
        </w:tc>
        <w:tc>
          <w:tcPr>
            <w:tcW w:w="989" w:type="pct"/>
            <w:tcBorders>
              <w:top w:val="nil"/>
              <w:left w:val="nil"/>
              <w:bottom w:val="single" w:sz="8" w:space="0" w:color="auto"/>
              <w:right w:val="nil"/>
            </w:tcBorders>
          </w:tcPr>
          <w:p w:rsidR="004851D7" w:rsidRDefault="004851D7" w:rsidP="00223B45">
            <w:pPr>
              <w:jc w:val="right"/>
              <w:rPr>
                <w:sz w:val="20"/>
                <w:szCs w:val="20"/>
              </w:rPr>
            </w:pPr>
            <w:r>
              <w:rPr>
                <w:bCs/>
                <w:color w:val="FF0000"/>
                <w:sz w:val="20"/>
                <w:szCs w:val="20"/>
              </w:rPr>
              <w:t>(</w:t>
            </w:r>
            <w:r w:rsidR="002A5898">
              <w:rPr>
                <w:bCs/>
                <w:color w:val="FF0000"/>
                <w:sz w:val="20"/>
                <w:szCs w:val="20"/>
              </w:rPr>
              <w:t>3,164</w:t>
            </w:r>
            <w:r>
              <w:rPr>
                <w:bCs/>
                <w:color w:val="FF0000"/>
                <w:sz w:val="20"/>
                <w:szCs w:val="20"/>
              </w:rPr>
              <w:t>)</w:t>
            </w:r>
          </w:p>
        </w:tc>
      </w:tr>
      <w:tr w:rsidR="004851D7">
        <w:trPr>
          <w:trHeight w:val="270"/>
        </w:trPr>
        <w:tc>
          <w:tcPr>
            <w:tcW w:w="3022" w:type="pct"/>
            <w:tcBorders>
              <w:top w:val="nil"/>
              <w:left w:val="nil"/>
              <w:bottom w:val="nil"/>
              <w:right w:val="nil"/>
            </w:tcBorders>
          </w:tcPr>
          <w:p w:rsidR="004851D7" w:rsidRDefault="004851D7">
            <w:pPr>
              <w:rPr>
                <w:sz w:val="20"/>
                <w:szCs w:val="20"/>
              </w:rPr>
            </w:pPr>
          </w:p>
        </w:tc>
        <w:tc>
          <w:tcPr>
            <w:tcW w:w="989" w:type="pct"/>
            <w:tcBorders>
              <w:top w:val="nil"/>
              <w:left w:val="nil"/>
              <w:bottom w:val="double" w:sz="6" w:space="0" w:color="auto"/>
              <w:right w:val="nil"/>
            </w:tcBorders>
          </w:tcPr>
          <w:p w:rsidR="004851D7" w:rsidRDefault="004851D7" w:rsidP="00110477">
            <w:pPr>
              <w:jc w:val="right"/>
              <w:rPr>
                <w:b/>
                <w:bCs/>
                <w:sz w:val="20"/>
                <w:szCs w:val="20"/>
                <w:highlight w:val="yellow"/>
              </w:rPr>
            </w:pPr>
            <w:r>
              <w:rPr>
                <w:b/>
                <w:bCs/>
                <w:sz w:val="20"/>
                <w:szCs w:val="20"/>
              </w:rPr>
              <w:t>$</w:t>
            </w:r>
            <w:r w:rsidR="00110477">
              <w:rPr>
                <w:b/>
                <w:bCs/>
                <w:sz w:val="20"/>
                <w:szCs w:val="20"/>
              </w:rPr>
              <w:t>3,113</w:t>
            </w:r>
            <w:r>
              <w:rPr>
                <w:b/>
                <w:bCs/>
                <w:sz w:val="20"/>
                <w:szCs w:val="20"/>
              </w:rPr>
              <w:t xml:space="preserve"> </w:t>
            </w:r>
          </w:p>
        </w:tc>
        <w:tc>
          <w:tcPr>
            <w:tcW w:w="989" w:type="pct"/>
            <w:tcBorders>
              <w:top w:val="nil"/>
              <w:left w:val="nil"/>
              <w:bottom w:val="double" w:sz="6" w:space="0" w:color="auto"/>
              <w:right w:val="nil"/>
            </w:tcBorders>
          </w:tcPr>
          <w:p w:rsidR="004851D7" w:rsidRDefault="004851D7" w:rsidP="002A5898">
            <w:pPr>
              <w:jc w:val="right"/>
              <w:rPr>
                <w:sz w:val="20"/>
                <w:szCs w:val="20"/>
              </w:rPr>
            </w:pPr>
            <w:r>
              <w:rPr>
                <w:bCs/>
                <w:sz w:val="20"/>
                <w:szCs w:val="20"/>
              </w:rPr>
              <w:t>$</w:t>
            </w:r>
            <w:r w:rsidR="002A5898">
              <w:rPr>
                <w:bCs/>
                <w:sz w:val="20"/>
                <w:szCs w:val="20"/>
              </w:rPr>
              <w:t>2,424</w:t>
            </w:r>
            <w:r>
              <w:rPr>
                <w:bCs/>
                <w:sz w:val="20"/>
                <w:szCs w:val="20"/>
              </w:rPr>
              <w:t xml:space="preserve"> </w:t>
            </w:r>
          </w:p>
        </w:tc>
      </w:tr>
    </w:tbl>
    <w:p w:rsidR="004851D7" w:rsidRDefault="004851D7">
      <w:pPr>
        <w:rPr>
          <w:color w:val="000000"/>
          <w:sz w:val="20"/>
        </w:rPr>
      </w:pPr>
    </w:p>
    <w:p w:rsidR="004851D7" w:rsidRDefault="004851D7">
      <w:pPr>
        <w:rPr>
          <w:color w:val="000000"/>
          <w:sz w:val="20"/>
          <w:szCs w:val="20"/>
        </w:rPr>
      </w:pPr>
      <w:r>
        <w:rPr>
          <w:color w:val="000000"/>
          <w:sz w:val="20"/>
          <w:szCs w:val="20"/>
        </w:rPr>
        <w:tab/>
      </w:r>
      <w:r w:rsidRPr="00E32735">
        <w:rPr>
          <w:color w:val="000000"/>
          <w:sz w:val="20"/>
          <w:szCs w:val="20"/>
        </w:rPr>
        <w:t>Amortization expense related to the capitalized software was $</w:t>
      </w:r>
      <w:r w:rsidR="0089792C" w:rsidRPr="00E32735">
        <w:rPr>
          <w:color w:val="000000"/>
          <w:sz w:val="20"/>
          <w:szCs w:val="20"/>
        </w:rPr>
        <w:t>891</w:t>
      </w:r>
      <w:r w:rsidRPr="00E32735">
        <w:rPr>
          <w:color w:val="000000"/>
          <w:sz w:val="20"/>
          <w:szCs w:val="20"/>
        </w:rPr>
        <w:t>,000 and $</w:t>
      </w:r>
      <w:r w:rsidR="00290E66" w:rsidRPr="00E32735">
        <w:rPr>
          <w:color w:val="000000"/>
          <w:sz w:val="20"/>
          <w:szCs w:val="20"/>
        </w:rPr>
        <w:t>735</w:t>
      </w:r>
      <w:r w:rsidRPr="00E32735">
        <w:rPr>
          <w:color w:val="000000"/>
          <w:sz w:val="20"/>
          <w:szCs w:val="20"/>
        </w:rPr>
        <w:t xml:space="preserve">,000 for the years ended December 31, </w:t>
      </w:r>
      <w:r w:rsidR="00290E66" w:rsidRPr="00E32735">
        <w:rPr>
          <w:color w:val="000000"/>
          <w:sz w:val="20"/>
          <w:szCs w:val="20"/>
        </w:rPr>
        <w:t>2011</w:t>
      </w:r>
      <w:r w:rsidRPr="00E32735">
        <w:rPr>
          <w:color w:val="000000"/>
          <w:sz w:val="20"/>
          <w:szCs w:val="20"/>
        </w:rPr>
        <w:t>, and</w:t>
      </w:r>
      <w:r>
        <w:rPr>
          <w:color w:val="000000"/>
          <w:sz w:val="20"/>
          <w:szCs w:val="20"/>
        </w:rPr>
        <w:t xml:space="preserve"> </w:t>
      </w:r>
      <w:r w:rsidR="00290E66">
        <w:rPr>
          <w:color w:val="000000"/>
          <w:sz w:val="20"/>
          <w:szCs w:val="20"/>
        </w:rPr>
        <w:t>2010</w:t>
      </w:r>
      <w:r>
        <w:rPr>
          <w:color w:val="000000"/>
          <w:sz w:val="20"/>
          <w:szCs w:val="20"/>
        </w:rPr>
        <w:t>, respectively. Of the $</w:t>
      </w:r>
      <w:r w:rsidR="0089792C">
        <w:rPr>
          <w:color w:val="000000"/>
          <w:sz w:val="20"/>
          <w:szCs w:val="20"/>
        </w:rPr>
        <w:t>3,113</w:t>
      </w:r>
      <w:r>
        <w:rPr>
          <w:color w:val="000000"/>
          <w:sz w:val="20"/>
          <w:szCs w:val="20"/>
        </w:rPr>
        <w:t xml:space="preserve">,000 in capitalized software as of December 31, </w:t>
      </w:r>
      <w:r w:rsidR="00290E66">
        <w:rPr>
          <w:color w:val="000000"/>
          <w:sz w:val="20"/>
          <w:szCs w:val="20"/>
        </w:rPr>
        <w:t>2011</w:t>
      </w:r>
      <w:r>
        <w:rPr>
          <w:color w:val="000000"/>
          <w:sz w:val="20"/>
          <w:szCs w:val="20"/>
        </w:rPr>
        <w:t>, $</w:t>
      </w:r>
      <w:r w:rsidR="0089792C">
        <w:rPr>
          <w:color w:val="000000"/>
          <w:sz w:val="20"/>
          <w:szCs w:val="20"/>
        </w:rPr>
        <w:t>491</w:t>
      </w:r>
      <w:r>
        <w:rPr>
          <w:color w:val="000000"/>
          <w:sz w:val="20"/>
          <w:szCs w:val="20"/>
        </w:rPr>
        <w:t xml:space="preserve">,000 is for repertoire development in progress that has not yet been released into a current product. </w:t>
      </w:r>
      <w:r w:rsidR="00B14F8F">
        <w:rPr>
          <w:color w:val="000000"/>
          <w:sz w:val="20"/>
          <w:szCs w:val="20"/>
        </w:rPr>
        <w:t>Of the $</w:t>
      </w:r>
      <w:r w:rsidR="00290E66">
        <w:rPr>
          <w:color w:val="000000"/>
          <w:sz w:val="20"/>
          <w:szCs w:val="20"/>
        </w:rPr>
        <w:t xml:space="preserve">2,424,000 </w:t>
      </w:r>
      <w:r w:rsidR="00B14F8F">
        <w:rPr>
          <w:color w:val="000000"/>
          <w:sz w:val="20"/>
          <w:szCs w:val="20"/>
        </w:rPr>
        <w:t xml:space="preserve">in capitalized software as of December 31, </w:t>
      </w:r>
      <w:r w:rsidR="00290E66">
        <w:rPr>
          <w:color w:val="000000"/>
          <w:sz w:val="20"/>
          <w:szCs w:val="20"/>
        </w:rPr>
        <w:t>2010</w:t>
      </w:r>
      <w:r w:rsidR="00B14F8F">
        <w:rPr>
          <w:color w:val="000000"/>
          <w:sz w:val="20"/>
          <w:szCs w:val="20"/>
        </w:rPr>
        <w:t>, $</w:t>
      </w:r>
      <w:r w:rsidR="00290E66">
        <w:rPr>
          <w:color w:val="000000"/>
          <w:sz w:val="20"/>
          <w:szCs w:val="20"/>
        </w:rPr>
        <w:t>423</w:t>
      </w:r>
      <w:r w:rsidR="00B14F8F">
        <w:rPr>
          <w:color w:val="000000"/>
          <w:sz w:val="20"/>
          <w:szCs w:val="20"/>
        </w:rPr>
        <w:t xml:space="preserve">,000 is for repertoire development in progress that had not been released. </w:t>
      </w:r>
      <w:r>
        <w:rPr>
          <w:color w:val="000000"/>
          <w:sz w:val="20"/>
          <w:szCs w:val="20"/>
        </w:rPr>
        <w:t>When the content that is currently in development is released into current product, these additional amounts will also be amortized over five years on a straight-line basis. The estimated future amortization expense for existing capitalized software is as follows:  </w:t>
      </w:r>
    </w:p>
    <w:tbl>
      <w:tblPr>
        <w:tblW w:w="4024" w:type="pct"/>
        <w:tblLook w:val="00A0" w:firstRow="1" w:lastRow="0" w:firstColumn="1" w:lastColumn="0" w:noHBand="0" w:noVBand="0"/>
      </w:tblPr>
      <w:tblGrid>
        <w:gridCol w:w="5746"/>
        <w:gridCol w:w="833"/>
        <w:gridCol w:w="1174"/>
      </w:tblGrid>
      <w:tr w:rsidR="004851D7">
        <w:trPr>
          <w:gridAfter w:val="1"/>
          <w:wAfter w:w="757" w:type="pct"/>
          <w:trHeight w:val="255"/>
        </w:trPr>
        <w:tc>
          <w:tcPr>
            <w:tcW w:w="4243" w:type="pct"/>
            <w:gridSpan w:val="2"/>
            <w:tcBorders>
              <w:top w:val="nil"/>
              <w:left w:val="nil"/>
              <w:bottom w:val="nil"/>
              <w:right w:val="nil"/>
            </w:tcBorders>
          </w:tcPr>
          <w:p w:rsidR="004851D7" w:rsidRDefault="004851D7">
            <w:pPr>
              <w:jc w:val="right"/>
              <w:rPr>
                <w:i/>
                <w:iCs/>
                <w:sz w:val="20"/>
                <w:szCs w:val="20"/>
              </w:rPr>
            </w:pPr>
          </w:p>
        </w:tc>
      </w:tr>
      <w:tr w:rsidR="004851D7">
        <w:trPr>
          <w:trHeight w:val="255"/>
        </w:trPr>
        <w:tc>
          <w:tcPr>
            <w:tcW w:w="3706" w:type="pct"/>
            <w:tcBorders>
              <w:top w:val="nil"/>
              <w:left w:val="nil"/>
              <w:bottom w:val="nil"/>
              <w:right w:val="nil"/>
            </w:tcBorders>
            <w:noWrap/>
          </w:tcPr>
          <w:p w:rsidR="004851D7" w:rsidRDefault="004851D7">
            <w:pPr>
              <w:jc w:val="both"/>
              <w:rPr>
                <w:sz w:val="20"/>
                <w:szCs w:val="20"/>
              </w:rPr>
            </w:pPr>
          </w:p>
        </w:tc>
        <w:tc>
          <w:tcPr>
            <w:tcW w:w="1294" w:type="pct"/>
            <w:gridSpan w:val="2"/>
            <w:tcBorders>
              <w:top w:val="nil"/>
              <w:left w:val="nil"/>
              <w:bottom w:val="nil"/>
              <w:right w:val="nil"/>
            </w:tcBorders>
          </w:tcPr>
          <w:p w:rsidR="004851D7" w:rsidRDefault="004851D7">
            <w:pPr>
              <w:jc w:val="right"/>
              <w:rPr>
                <w:b/>
                <w:bCs/>
                <w:sz w:val="20"/>
                <w:szCs w:val="20"/>
              </w:rPr>
            </w:pPr>
            <w:r>
              <w:rPr>
                <w:i/>
                <w:iCs/>
                <w:sz w:val="20"/>
                <w:szCs w:val="20"/>
              </w:rPr>
              <w:t>(In thousands)</w:t>
            </w:r>
          </w:p>
        </w:tc>
      </w:tr>
      <w:tr w:rsidR="00290E66">
        <w:trPr>
          <w:trHeight w:val="255"/>
        </w:trPr>
        <w:tc>
          <w:tcPr>
            <w:tcW w:w="3706" w:type="pct"/>
            <w:tcBorders>
              <w:top w:val="nil"/>
              <w:left w:val="nil"/>
              <w:bottom w:val="nil"/>
              <w:right w:val="nil"/>
            </w:tcBorders>
            <w:noWrap/>
          </w:tcPr>
          <w:p w:rsidR="00290E66" w:rsidRDefault="00290E66">
            <w:pPr>
              <w:jc w:val="right"/>
              <w:rPr>
                <w:sz w:val="20"/>
                <w:szCs w:val="20"/>
              </w:rPr>
            </w:pPr>
            <w:r>
              <w:rPr>
                <w:sz w:val="20"/>
                <w:szCs w:val="20"/>
              </w:rPr>
              <w:t xml:space="preserve">2012 </w:t>
            </w:r>
          </w:p>
        </w:tc>
        <w:tc>
          <w:tcPr>
            <w:tcW w:w="1294" w:type="pct"/>
            <w:gridSpan w:val="2"/>
            <w:tcBorders>
              <w:top w:val="nil"/>
              <w:left w:val="nil"/>
              <w:bottom w:val="nil"/>
              <w:right w:val="nil"/>
            </w:tcBorders>
          </w:tcPr>
          <w:p w:rsidR="00290E66" w:rsidRDefault="00290E66" w:rsidP="00141103">
            <w:pPr>
              <w:jc w:val="right"/>
              <w:rPr>
                <w:b/>
                <w:bCs/>
                <w:sz w:val="20"/>
                <w:szCs w:val="20"/>
              </w:rPr>
            </w:pPr>
            <w:r>
              <w:rPr>
                <w:b/>
                <w:bCs/>
                <w:sz w:val="20"/>
                <w:szCs w:val="20"/>
              </w:rPr>
              <w:t>$</w:t>
            </w:r>
            <w:r w:rsidR="00141103">
              <w:rPr>
                <w:b/>
                <w:bCs/>
                <w:sz w:val="20"/>
                <w:szCs w:val="20"/>
              </w:rPr>
              <w:t>888</w:t>
            </w:r>
          </w:p>
        </w:tc>
      </w:tr>
      <w:tr w:rsidR="00290E66">
        <w:trPr>
          <w:trHeight w:val="255"/>
        </w:trPr>
        <w:tc>
          <w:tcPr>
            <w:tcW w:w="3706" w:type="pct"/>
            <w:tcBorders>
              <w:top w:val="nil"/>
              <w:left w:val="nil"/>
              <w:bottom w:val="nil"/>
              <w:right w:val="nil"/>
            </w:tcBorders>
            <w:noWrap/>
          </w:tcPr>
          <w:p w:rsidR="00290E66" w:rsidRDefault="00290E66">
            <w:pPr>
              <w:jc w:val="right"/>
              <w:rPr>
                <w:sz w:val="20"/>
                <w:szCs w:val="20"/>
              </w:rPr>
            </w:pPr>
            <w:r>
              <w:rPr>
                <w:sz w:val="20"/>
                <w:szCs w:val="20"/>
              </w:rPr>
              <w:t>2013</w:t>
            </w:r>
          </w:p>
        </w:tc>
        <w:tc>
          <w:tcPr>
            <w:tcW w:w="1294" w:type="pct"/>
            <w:gridSpan w:val="2"/>
            <w:tcBorders>
              <w:top w:val="nil"/>
              <w:left w:val="nil"/>
              <w:bottom w:val="nil"/>
              <w:right w:val="nil"/>
            </w:tcBorders>
          </w:tcPr>
          <w:p w:rsidR="00290E66" w:rsidRDefault="00141103">
            <w:pPr>
              <w:jc w:val="right"/>
              <w:rPr>
                <w:b/>
                <w:bCs/>
                <w:sz w:val="20"/>
                <w:szCs w:val="20"/>
              </w:rPr>
            </w:pPr>
            <w:r>
              <w:rPr>
                <w:b/>
                <w:bCs/>
                <w:sz w:val="20"/>
                <w:szCs w:val="20"/>
              </w:rPr>
              <w:t>688</w:t>
            </w:r>
          </w:p>
        </w:tc>
      </w:tr>
      <w:tr w:rsidR="00290E66">
        <w:trPr>
          <w:trHeight w:val="255"/>
        </w:trPr>
        <w:tc>
          <w:tcPr>
            <w:tcW w:w="3706" w:type="pct"/>
            <w:tcBorders>
              <w:top w:val="nil"/>
              <w:left w:val="nil"/>
              <w:bottom w:val="nil"/>
              <w:right w:val="nil"/>
            </w:tcBorders>
            <w:noWrap/>
          </w:tcPr>
          <w:p w:rsidR="00290E66" w:rsidRDefault="00290E66">
            <w:pPr>
              <w:jc w:val="right"/>
              <w:rPr>
                <w:sz w:val="20"/>
                <w:szCs w:val="20"/>
              </w:rPr>
            </w:pPr>
            <w:r>
              <w:rPr>
                <w:sz w:val="20"/>
                <w:szCs w:val="20"/>
              </w:rPr>
              <w:t xml:space="preserve">2014 </w:t>
            </w:r>
          </w:p>
        </w:tc>
        <w:tc>
          <w:tcPr>
            <w:tcW w:w="1294" w:type="pct"/>
            <w:gridSpan w:val="2"/>
            <w:tcBorders>
              <w:top w:val="nil"/>
              <w:left w:val="nil"/>
              <w:bottom w:val="nil"/>
              <w:right w:val="nil"/>
            </w:tcBorders>
          </w:tcPr>
          <w:p w:rsidR="00290E66" w:rsidRDefault="00141103">
            <w:pPr>
              <w:jc w:val="right"/>
              <w:rPr>
                <w:b/>
                <w:bCs/>
                <w:sz w:val="20"/>
                <w:szCs w:val="20"/>
              </w:rPr>
            </w:pPr>
            <w:r>
              <w:rPr>
                <w:b/>
                <w:bCs/>
                <w:sz w:val="20"/>
                <w:szCs w:val="20"/>
              </w:rPr>
              <w:t>455</w:t>
            </w:r>
          </w:p>
        </w:tc>
      </w:tr>
      <w:tr w:rsidR="00141103">
        <w:trPr>
          <w:trHeight w:val="255"/>
        </w:trPr>
        <w:tc>
          <w:tcPr>
            <w:tcW w:w="3706" w:type="pct"/>
            <w:tcBorders>
              <w:top w:val="nil"/>
              <w:left w:val="nil"/>
              <w:bottom w:val="nil"/>
              <w:right w:val="nil"/>
            </w:tcBorders>
            <w:noWrap/>
          </w:tcPr>
          <w:p w:rsidR="00141103" w:rsidRDefault="00141103">
            <w:pPr>
              <w:jc w:val="right"/>
              <w:rPr>
                <w:sz w:val="20"/>
                <w:szCs w:val="20"/>
              </w:rPr>
            </w:pPr>
            <w:r>
              <w:rPr>
                <w:sz w:val="20"/>
                <w:szCs w:val="20"/>
              </w:rPr>
              <w:t>2015</w:t>
            </w:r>
          </w:p>
        </w:tc>
        <w:tc>
          <w:tcPr>
            <w:tcW w:w="1294" w:type="pct"/>
            <w:gridSpan w:val="2"/>
            <w:tcBorders>
              <w:top w:val="nil"/>
              <w:left w:val="nil"/>
              <w:bottom w:val="nil"/>
              <w:right w:val="nil"/>
            </w:tcBorders>
          </w:tcPr>
          <w:p w:rsidR="00141103" w:rsidRDefault="00141103">
            <w:pPr>
              <w:jc w:val="right"/>
              <w:rPr>
                <w:b/>
                <w:bCs/>
                <w:sz w:val="20"/>
                <w:szCs w:val="20"/>
              </w:rPr>
            </w:pPr>
            <w:r>
              <w:rPr>
                <w:b/>
                <w:bCs/>
                <w:sz w:val="20"/>
                <w:szCs w:val="20"/>
              </w:rPr>
              <w:t>325</w:t>
            </w:r>
          </w:p>
        </w:tc>
      </w:tr>
      <w:tr w:rsidR="00290E66">
        <w:trPr>
          <w:trHeight w:val="255"/>
        </w:trPr>
        <w:tc>
          <w:tcPr>
            <w:tcW w:w="3706" w:type="pct"/>
            <w:tcBorders>
              <w:top w:val="nil"/>
              <w:left w:val="nil"/>
              <w:bottom w:val="nil"/>
              <w:right w:val="nil"/>
            </w:tcBorders>
            <w:noWrap/>
          </w:tcPr>
          <w:p w:rsidR="00290E66" w:rsidRDefault="00290E66" w:rsidP="00141103">
            <w:pPr>
              <w:jc w:val="right"/>
              <w:rPr>
                <w:sz w:val="20"/>
                <w:szCs w:val="20"/>
              </w:rPr>
            </w:pPr>
            <w:r>
              <w:rPr>
                <w:sz w:val="20"/>
                <w:szCs w:val="20"/>
              </w:rPr>
              <w:t>201</w:t>
            </w:r>
            <w:r w:rsidR="00141103">
              <w:rPr>
                <w:sz w:val="20"/>
                <w:szCs w:val="20"/>
              </w:rPr>
              <w:t>6</w:t>
            </w:r>
            <w:r>
              <w:rPr>
                <w:sz w:val="20"/>
                <w:szCs w:val="20"/>
              </w:rPr>
              <w:t xml:space="preserve"> </w:t>
            </w:r>
          </w:p>
        </w:tc>
        <w:tc>
          <w:tcPr>
            <w:tcW w:w="1294" w:type="pct"/>
            <w:gridSpan w:val="2"/>
            <w:tcBorders>
              <w:top w:val="nil"/>
              <w:left w:val="nil"/>
              <w:bottom w:val="nil"/>
              <w:right w:val="nil"/>
            </w:tcBorders>
          </w:tcPr>
          <w:p w:rsidR="00290E66" w:rsidRDefault="00141103">
            <w:pPr>
              <w:jc w:val="right"/>
              <w:rPr>
                <w:b/>
                <w:bCs/>
                <w:sz w:val="20"/>
                <w:szCs w:val="20"/>
              </w:rPr>
            </w:pPr>
            <w:r>
              <w:rPr>
                <w:b/>
                <w:bCs/>
                <w:sz w:val="20"/>
                <w:szCs w:val="20"/>
              </w:rPr>
              <w:t>216</w:t>
            </w:r>
          </w:p>
        </w:tc>
      </w:tr>
      <w:tr w:rsidR="004851D7">
        <w:trPr>
          <w:trHeight w:val="255"/>
        </w:trPr>
        <w:tc>
          <w:tcPr>
            <w:tcW w:w="3706" w:type="pct"/>
            <w:tcBorders>
              <w:top w:val="nil"/>
              <w:left w:val="nil"/>
              <w:bottom w:val="nil"/>
              <w:right w:val="nil"/>
            </w:tcBorders>
            <w:noWrap/>
          </w:tcPr>
          <w:p w:rsidR="004851D7" w:rsidRDefault="00141103" w:rsidP="00141103">
            <w:pPr>
              <w:jc w:val="right"/>
              <w:rPr>
                <w:sz w:val="20"/>
                <w:szCs w:val="20"/>
              </w:rPr>
            </w:pPr>
            <w:r>
              <w:rPr>
                <w:sz w:val="20"/>
                <w:szCs w:val="20"/>
              </w:rPr>
              <w:t>Thereafter</w:t>
            </w:r>
            <w:r w:rsidR="00290E66">
              <w:rPr>
                <w:sz w:val="20"/>
                <w:szCs w:val="20"/>
              </w:rPr>
              <w:t xml:space="preserve"> </w:t>
            </w:r>
          </w:p>
        </w:tc>
        <w:tc>
          <w:tcPr>
            <w:tcW w:w="1294" w:type="pct"/>
            <w:gridSpan w:val="2"/>
            <w:tcBorders>
              <w:top w:val="nil"/>
              <w:left w:val="nil"/>
              <w:bottom w:val="single" w:sz="4" w:space="0" w:color="auto"/>
              <w:right w:val="nil"/>
            </w:tcBorders>
          </w:tcPr>
          <w:p w:rsidR="004851D7" w:rsidRDefault="00141103">
            <w:pPr>
              <w:jc w:val="right"/>
              <w:rPr>
                <w:b/>
                <w:bCs/>
                <w:sz w:val="20"/>
                <w:szCs w:val="20"/>
              </w:rPr>
            </w:pPr>
            <w:r>
              <w:rPr>
                <w:b/>
                <w:bCs/>
                <w:sz w:val="20"/>
                <w:szCs w:val="20"/>
              </w:rPr>
              <w:t>541</w:t>
            </w:r>
          </w:p>
        </w:tc>
      </w:tr>
      <w:tr w:rsidR="004851D7">
        <w:trPr>
          <w:trHeight w:val="255"/>
        </w:trPr>
        <w:tc>
          <w:tcPr>
            <w:tcW w:w="3706" w:type="pct"/>
            <w:tcBorders>
              <w:top w:val="nil"/>
              <w:left w:val="nil"/>
              <w:bottom w:val="nil"/>
              <w:right w:val="nil"/>
            </w:tcBorders>
            <w:noWrap/>
          </w:tcPr>
          <w:p w:rsidR="004851D7" w:rsidRDefault="004851D7">
            <w:pPr>
              <w:rPr>
                <w:sz w:val="20"/>
                <w:szCs w:val="20"/>
              </w:rPr>
            </w:pPr>
          </w:p>
        </w:tc>
        <w:tc>
          <w:tcPr>
            <w:tcW w:w="1294" w:type="pct"/>
            <w:gridSpan w:val="2"/>
            <w:tcBorders>
              <w:top w:val="single" w:sz="4" w:space="0" w:color="auto"/>
              <w:left w:val="nil"/>
              <w:bottom w:val="double" w:sz="4" w:space="0" w:color="auto"/>
              <w:right w:val="nil"/>
            </w:tcBorders>
          </w:tcPr>
          <w:p w:rsidR="004851D7" w:rsidRDefault="004851D7" w:rsidP="00141103">
            <w:pPr>
              <w:jc w:val="right"/>
              <w:rPr>
                <w:b/>
                <w:bCs/>
                <w:sz w:val="20"/>
                <w:szCs w:val="20"/>
              </w:rPr>
            </w:pPr>
            <w:r>
              <w:rPr>
                <w:b/>
                <w:bCs/>
                <w:sz w:val="20"/>
                <w:szCs w:val="20"/>
              </w:rPr>
              <w:t>$</w:t>
            </w:r>
            <w:r w:rsidR="00141103">
              <w:rPr>
                <w:b/>
                <w:bCs/>
                <w:sz w:val="20"/>
                <w:szCs w:val="20"/>
              </w:rPr>
              <w:t>3,113</w:t>
            </w:r>
          </w:p>
        </w:tc>
      </w:tr>
      <w:tr w:rsidR="004851D7">
        <w:trPr>
          <w:trHeight w:val="255"/>
        </w:trPr>
        <w:tc>
          <w:tcPr>
            <w:tcW w:w="3706" w:type="pct"/>
            <w:tcBorders>
              <w:top w:val="nil"/>
              <w:left w:val="nil"/>
              <w:bottom w:val="nil"/>
              <w:right w:val="nil"/>
            </w:tcBorders>
          </w:tcPr>
          <w:p w:rsidR="004851D7" w:rsidRDefault="004851D7">
            <w:pPr>
              <w:rPr>
                <w:sz w:val="20"/>
                <w:szCs w:val="20"/>
              </w:rPr>
            </w:pPr>
          </w:p>
        </w:tc>
        <w:tc>
          <w:tcPr>
            <w:tcW w:w="1294" w:type="pct"/>
            <w:gridSpan w:val="2"/>
            <w:tcBorders>
              <w:top w:val="double" w:sz="4" w:space="0" w:color="auto"/>
              <w:left w:val="nil"/>
              <w:bottom w:val="nil"/>
              <w:right w:val="nil"/>
            </w:tcBorders>
          </w:tcPr>
          <w:p w:rsidR="004851D7" w:rsidRDefault="004851D7">
            <w:pPr>
              <w:jc w:val="right"/>
              <w:rPr>
                <w:b/>
                <w:bCs/>
                <w:sz w:val="20"/>
                <w:szCs w:val="20"/>
              </w:rPr>
            </w:pPr>
          </w:p>
        </w:tc>
      </w:tr>
    </w:tbl>
    <w:p w:rsidR="00561ED5" w:rsidRDefault="004A7EDE">
      <w:pPr>
        <w:rPr>
          <w:b/>
          <w:bCs/>
          <w:color w:val="000000"/>
          <w:sz w:val="20"/>
        </w:rPr>
      </w:pPr>
      <w:r>
        <w:rPr>
          <w:b/>
          <w:bCs/>
          <w:color w:val="000000"/>
          <w:sz w:val="20"/>
        </w:rPr>
        <w:t>Finite Life Intangible Assets</w:t>
      </w:r>
    </w:p>
    <w:p w:rsidR="00561ED5" w:rsidRDefault="00561ED5">
      <w:pPr>
        <w:rPr>
          <w:b/>
          <w:bCs/>
          <w:color w:val="000000"/>
          <w:sz w:val="20"/>
        </w:rPr>
      </w:pPr>
    </w:p>
    <w:p w:rsidR="00561ED5" w:rsidRPr="00F671C5" w:rsidRDefault="00561ED5">
      <w:pPr>
        <w:rPr>
          <w:bCs/>
          <w:color w:val="000000"/>
          <w:sz w:val="20"/>
        </w:rPr>
      </w:pPr>
      <w:r>
        <w:rPr>
          <w:b/>
          <w:bCs/>
          <w:color w:val="000000"/>
          <w:sz w:val="20"/>
        </w:rPr>
        <w:tab/>
      </w:r>
      <w:r w:rsidR="004A7EDE">
        <w:rPr>
          <w:bCs/>
          <w:color w:val="000000"/>
          <w:sz w:val="20"/>
        </w:rPr>
        <w:t xml:space="preserve">Finite life intangible </w:t>
      </w:r>
      <w:r w:rsidR="00F756E5">
        <w:rPr>
          <w:bCs/>
          <w:color w:val="000000"/>
          <w:sz w:val="20"/>
        </w:rPr>
        <w:t>assets</w:t>
      </w:r>
      <w:r>
        <w:rPr>
          <w:bCs/>
          <w:color w:val="000000"/>
          <w:sz w:val="20"/>
        </w:rPr>
        <w:t xml:space="preserve"> include </w:t>
      </w:r>
      <w:r w:rsidR="00D15F0B">
        <w:rPr>
          <w:bCs/>
          <w:color w:val="000000"/>
          <w:sz w:val="20"/>
        </w:rPr>
        <w:t>both complete and incomplete sound sample libraries</w:t>
      </w:r>
      <w:r w:rsidR="004A7EDE">
        <w:rPr>
          <w:bCs/>
          <w:color w:val="000000"/>
          <w:sz w:val="20"/>
        </w:rPr>
        <w:t xml:space="preserve"> and trademarks</w:t>
      </w:r>
      <w:r w:rsidR="00D15F0B">
        <w:rPr>
          <w:bCs/>
          <w:color w:val="000000"/>
          <w:sz w:val="20"/>
        </w:rPr>
        <w:t xml:space="preserve"> acquired upon the purchase of Garritan Corporation </w:t>
      </w:r>
      <w:r w:rsidR="004A7EDE">
        <w:rPr>
          <w:bCs/>
          <w:color w:val="000000"/>
          <w:sz w:val="20"/>
        </w:rPr>
        <w:t xml:space="preserve">on December 30, </w:t>
      </w:r>
      <w:r w:rsidR="00D15F0B">
        <w:rPr>
          <w:bCs/>
          <w:color w:val="000000"/>
          <w:sz w:val="20"/>
        </w:rPr>
        <w:t>2011.</w:t>
      </w:r>
    </w:p>
    <w:p w:rsidR="00561ED5" w:rsidRDefault="00561ED5">
      <w:pPr>
        <w:rPr>
          <w:b/>
          <w:bCs/>
          <w:color w:val="000000"/>
          <w:sz w:val="20"/>
        </w:rPr>
      </w:pPr>
    </w:p>
    <w:tbl>
      <w:tblPr>
        <w:tblW w:w="5000" w:type="pct"/>
        <w:tblLook w:val="00A0" w:firstRow="1" w:lastRow="0" w:firstColumn="1" w:lastColumn="0" w:noHBand="0" w:noVBand="0"/>
      </w:tblPr>
      <w:tblGrid>
        <w:gridCol w:w="5822"/>
        <w:gridCol w:w="1906"/>
        <w:gridCol w:w="1906"/>
      </w:tblGrid>
      <w:tr w:rsidR="00D15F0B" w:rsidTr="001F383B">
        <w:trPr>
          <w:trHeight w:val="270"/>
        </w:trPr>
        <w:tc>
          <w:tcPr>
            <w:tcW w:w="3022" w:type="pct"/>
            <w:tcBorders>
              <w:top w:val="nil"/>
              <w:left w:val="nil"/>
              <w:bottom w:val="nil"/>
              <w:right w:val="nil"/>
            </w:tcBorders>
            <w:noWrap/>
            <w:vAlign w:val="bottom"/>
          </w:tcPr>
          <w:p w:rsidR="00D15F0B" w:rsidRDefault="004A7EDE" w:rsidP="00D15F0B">
            <w:pPr>
              <w:rPr>
                <w:color w:val="000000"/>
                <w:sz w:val="20"/>
                <w:szCs w:val="20"/>
              </w:rPr>
            </w:pPr>
            <w:r>
              <w:rPr>
                <w:color w:val="000000"/>
                <w:sz w:val="20"/>
                <w:szCs w:val="20"/>
              </w:rPr>
              <w:t>Finite life intangible assets</w:t>
            </w:r>
            <w:r w:rsidR="00D15F0B">
              <w:rPr>
                <w:color w:val="000000"/>
                <w:sz w:val="20"/>
                <w:szCs w:val="20"/>
              </w:rPr>
              <w:t xml:space="preserve"> are as follows:</w:t>
            </w:r>
          </w:p>
        </w:tc>
        <w:tc>
          <w:tcPr>
            <w:tcW w:w="1978" w:type="pct"/>
            <w:gridSpan w:val="2"/>
            <w:tcBorders>
              <w:top w:val="nil"/>
              <w:left w:val="nil"/>
              <w:bottom w:val="single" w:sz="8" w:space="0" w:color="auto"/>
              <w:right w:val="nil"/>
            </w:tcBorders>
          </w:tcPr>
          <w:p w:rsidR="00D15F0B" w:rsidRDefault="00D15F0B" w:rsidP="001F383B">
            <w:pPr>
              <w:jc w:val="center"/>
              <w:rPr>
                <w:b/>
                <w:bCs/>
                <w:sz w:val="20"/>
                <w:szCs w:val="20"/>
              </w:rPr>
            </w:pPr>
            <w:r>
              <w:rPr>
                <w:b/>
                <w:bCs/>
                <w:sz w:val="20"/>
                <w:szCs w:val="20"/>
              </w:rPr>
              <w:t>December 31,</w:t>
            </w:r>
          </w:p>
        </w:tc>
      </w:tr>
      <w:tr w:rsidR="00D15F0B" w:rsidTr="001F383B">
        <w:trPr>
          <w:trHeight w:val="270"/>
        </w:trPr>
        <w:tc>
          <w:tcPr>
            <w:tcW w:w="3022" w:type="pct"/>
            <w:tcBorders>
              <w:top w:val="nil"/>
              <w:left w:val="nil"/>
              <w:bottom w:val="nil"/>
              <w:right w:val="nil"/>
            </w:tcBorders>
          </w:tcPr>
          <w:p w:rsidR="00D15F0B" w:rsidRDefault="00D15F0B" w:rsidP="001F383B">
            <w:pPr>
              <w:rPr>
                <w:sz w:val="20"/>
                <w:szCs w:val="20"/>
              </w:rPr>
            </w:pPr>
          </w:p>
        </w:tc>
        <w:tc>
          <w:tcPr>
            <w:tcW w:w="989" w:type="pct"/>
            <w:tcBorders>
              <w:top w:val="nil"/>
              <w:left w:val="nil"/>
              <w:bottom w:val="single" w:sz="8" w:space="0" w:color="auto"/>
              <w:right w:val="nil"/>
            </w:tcBorders>
          </w:tcPr>
          <w:p w:rsidR="00D15F0B" w:rsidRDefault="00D15F0B" w:rsidP="001F383B">
            <w:pPr>
              <w:jc w:val="center"/>
              <w:rPr>
                <w:b/>
                <w:bCs/>
                <w:sz w:val="20"/>
                <w:szCs w:val="20"/>
              </w:rPr>
            </w:pPr>
            <w:r>
              <w:rPr>
                <w:b/>
                <w:bCs/>
                <w:sz w:val="20"/>
                <w:szCs w:val="20"/>
              </w:rPr>
              <w:t>2011</w:t>
            </w:r>
          </w:p>
        </w:tc>
        <w:tc>
          <w:tcPr>
            <w:tcW w:w="989" w:type="pct"/>
            <w:tcBorders>
              <w:top w:val="nil"/>
              <w:left w:val="nil"/>
              <w:bottom w:val="single" w:sz="8" w:space="0" w:color="auto"/>
              <w:right w:val="nil"/>
            </w:tcBorders>
          </w:tcPr>
          <w:p w:rsidR="00D15F0B" w:rsidRDefault="00D15F0B" w:rsidP="001F383B">
            <w:pPr>
              <w:jc w:val="center"/>
              <w:rPr>
                <w:b/>
                <w:bCs/>
                <w:sz w:val="20"/>
                <w:szCs w:val="20"/>
              </w:rPr>
            </w:pPr>
            <w:r>
              <w:rPr>
                <w:b/>
                <w:bCs/>
                <w:sz w:val="20"/>
                <w:szCs w:val="20"/>
              </w:rPr>
              <w:t>2010</w:t>
            </w:r>
          </w:p>
        </w:tc>
      </w:tr>
      <w:tr w:rsidR="00D15F0B" w:rsidTr="001F383B">
        <w:trPr>
          <w:trHeight w:val="263"/>
        </w:trPr>
        <w:tc>
          <w:tcPr>
            <w:tcW w:w="3022" w:type="pct"/>
            <w:tcBorders>
              <w:top w:val="nil"/>
              <w:left w:val="nil"/>
              <w:bottom w:val="nil"/>
              <w:right w:val="nil"/>
            </w:tcBorders>
          </w:tcPr>
          <w:p w:rsidR="00D15F0B" w:rsidRDefault="00D15F0B" w:rsidP="001F383B">
            <w:pPr>
              <w:rPr>
                <w:sz w:val="20"/>
                <w:szCs w:val="20"/>
              </w:rPr>
            </w:pPr>
          </w:p>
        </w:tc>
        <w:tc>
          <w:tcPr>
            <w:tcW w:w="1978" w:type="pct"/>
            <w:gridSpan w:val="2"/>
            <w:tcBorders>
              <w:top w:val="single" w:sz="8" w:space="0" w:color="auto"/>
              <w:left w:val="nil"/>
              <w:bottom w:val="nil"/>
              <w:right w:val="nil"/>
            </w:tcBorders>
          </w:tcPr>
          <w:p w:rsidR="00D15F0B" w:rsidRDefault="00D15F0B" w:rsidP="001F383B">
            <w:pPr>
              <w:jc w:val="center"/>
              <w:rPr>
                <w:i/>
                <w:iCs/>
                <w:sz w:val="20"/>
                <w:szCs w:val="20"/>
              </w:rPr>
            </w:pPr>
            <w:r>
              <w:rPr>
                <w:i/>
                <w:iCs/>
                <w:sz w:val="20"/>
                <w:szCs w:val="20"/>
              </w:rPr>
              <w:t>(In thousands)</w:t>
            </w:r>
          </w:p>
        </w:tc>
      </w:tr>
      <w:tr w:rsidR="00D15F0B" w:rsidTr="001F383B">
        <w:trPr>
          <w:trHeight w:val="255"/>
        </w:trPr>
        <w:tc>
          <w:tcPr>
            <w:tcW w:w="3022" w:type="pct"/>
            <w:tcBorders>
              <w:top w:val="nil"/>
              <w:left w:val="nil"/>
              <w:bottom w:val="nil"/>
              <w:right w:val="nil"/>
            </w:tcBorders>
          </w:tcPr>
          <w:p w:rsidR="00D15F0B" w:rsidRDefault="00D15F0B" w:rsidP="001F383B">
            <w:pPr>
              <w:rPr>
                <w:sz w:val="20"/>
                <w:szCs w:val="20"/>
              </w:rPr>
            </w:pPr>
            <w:proofErr w:type="spellStart"/>
            <w:r>
              <w:rPr>
                <w:sz w:val="20"/>
                <w:szCs w:val="20"/>
              </w:rPr>
              <w:t>Soundware</w:t>
            </w:r>
            <w:proofErr w:type="spellEnd"/>
            <w:r>
              <w:rPr>
                <w:sz w:val="20"/>
                <w:szCs w:val="20"/>
              </w:rPr>
              <w:t xml:space="preserve"> Sample Libraries, Misc.</w:t>
            </w:r>
          </w:p>
        </w:tc>
        <w:tc>
          <w:tcPr>
            <w:tcW w:w="989" w:type="pct"/>
            <w:tcBorders>
              <w:top w:val="nil"/>
              <w:left w:val="nil"/>
              <w:bottom w:val="nil"/>
              <w:right w:val="nil"/>
            </w:tcBorders>
          </w:tcPr>
          <w:p w:rsidR="00D15F0B" w:rsidRDefault="00D15F0B" w:rsidP="001F383B">
            <w:pPr>
              <w:jc w:val="right"/>
              <w:rPr>
                <w:b/>
                <w:bCs/>
                <w:sz w:val="20"/>
                <w:szCs w:val="20"/>
              </w:rPr>
            </w:pPr>
            <w:r>
              <w:rPr>
                <w:b/>
                <w:bCs/>
                <w:sz w:val="20"/>
                <w:szCs w:val="20"/>
              </w:rPr>
              <w:t>$  72</w:t>
            </w:r>
          </w:p>
        </w:tc>
        <w:tc>
          <w:tcPr>
            <w:tcW w:w="989" w:type="pct"/>
            <w:tcBorders>
              <w:top w:val="nil"/>
              <w:left w:val="nil"/>
              <w:bottom w:val="nil"/>
              <w:right w:val="nil"/>
            </w:tcBorders>
          </w:tcPr>
          <w:p w:rsidR="00D15F0B" w:rsidRDefault="00D15F0B" w:rsidP="004A7EDE">
            <w:pPr>
              <w:jc w:val="right"/>
              <w:rPr>
                <w:sz w:val="20"/>
                <w:szCs w:val="20"/>
              </w:rPr>
            </w:pPr>
            <w:r>
              <w:rPr>
                <w:bCs/>
                <w:sz w:val="20"/>
                <w:szCs w:val="20"/>
              </w:rPr>
              <w:t>$</w:t>
            </w:r>
            <w:r w:rsidR="004A7EDE">
              <w:rPr>
                <w:bCs/>
                <w:sz w:val="20"/>
                <w:szCs w:val="20"/>
              </w:rPr>
              <w:t xml:space="preserve">- </w:t>
            </w:r>
          </w:p>
        </w:tc>
      </w:tr>
      <w:tr w:rsidR="00D15F0B" w:rsidTr="008F38DC">
        <w:trPr>
          <w:trHeight w:val="255"/>
        </w:trPr>
        <w:tc>
          <w:tcPr>
            <w:tcW w:w="3022" w:type="pct"/>
            <w:tcBorders>
              <w:top w:val="nil"/>
              <w:left w:val="nil"/>
              <w:bottom w:val="nil"/>
              <w:right w:val="nil"/>
            </w:tcBorders>
          </w:tcPr>
          <w:p w:rsidR="00D15F0B" w:rsidRDefault="00D15F0B" w:rsidP="001F383B">
            <w:pPr>
              <w:rPr>
                <w:sz w:val="20"/>
                <w:szCs w:val="20"/>
              </w:rPr>
            </w:pPr>
            <w:proofErr w:type="spellStart"/>
            <w:r>
              <w:rPr>
                <w:sz w:val="20"/>
                <w:szCs w:val="20"/>
              </w:rPr>
              <w:t>Soundware</w:t>
            </w:r>
            <w:proofErr w:type="spellEnd"/>
            <w:r>
              <w:rPr>
                <w:sz w:val="20"/>
                <w:szCs w:val="20"/>
              </w:rPr>
              <w:t xml:space="preserve"> Sample Libraries – Complete Technology</w:t>
            </w:r>
          </w:p>
        </w:tc>
        <w:tc>
          <w:tcPr>
            <w:tcW w:w="989" w:type="pct"/>
            <w:tcBorders>
              <w:top w:val="nil"/>
              <w:left w:val="nil"/>
              <w:right w:val="nil"/>
            </w:tcBorders>
          </w:tcPr>
          <w:p w:rsidR="00D15F0B" w:rsidRDefault="00D15F0B" w:rsidP="006B64D0">
            <w:pPr>
              <w:jc w:val="right"/>
              <w:rPr>
                <w:b/>
                <w:bCs/>
                <w:sz w:val="20"/>
                <w:szCs w:val="20"/>
              </w:rPr>
            </w:pPr>
            <w:r>
              <w:rPr>
                <w:b/>
                <w:bCs/>
                <w:sz w:val="20"/>
                <w:szCs w:val="20"/>
              </w:rPr>
              <w:t>4</w:t>
            </w:r>
            <w:r w:rsidR="006B64D0">
              <w:rPr>
                <w:b/>
                <w:bCs/>
                <w:sz w:val="20"/>
                <w:szCs w:val="20"/>
              </w:rPr>
              <w:t>21</w:t>
            </w:r>
          </w:p>
        </w:tc>
        <w:tc>
          <w:tcPr>
            <w:tcW w:w="989" w:type="pct"/>
            <w:tcBorders>
              <w:top w:val="nil"/>
              <w:left w:val="nil"/>
              <w:right w:val="nil"/>
            </w:tcBorders>
          </w:tcPr>
          <w:p w:rsidR="00D15F0B" w:rsidRDefault="004A7EDE" w:rsidP="001F383B">
            <w:pPr>
              <w:jc w:val="right"/>
              <w:rPr>
                <w:sz w:val="20"/>
                <w:szCs w:val="20"/>
              </w:rPr>
            </w:pPr>
            <w:r>
              <w:rPr>
                <w:bCs/>
                <w:sz w:val="20"/>
                <w:szCs w:val="20"/>
              </w:rPr>
              <w:t>-</w:t>
            </w:r>
          </w:p>
        </w:tc>
      </w:tr>
      <w:tr w:rsidR="00394A67" w:rsidTr="008F38DC">
        <w:trPr>
          <w:trHeight w:val="255"/>
        </w:trPr>
        <w:tc>
          <w:tcPr>
            <w:tcW w:w="3022" w:type="pct"/>
            <w:tcBorders>
              <w:top w:val="nil"/>
              <w:left w:val="nil"/>
              <w:bottom w:val="nil"/>
              <w:right w:val="nil"/>
            </w:tcBorders>
          </w:tcPr>
          <w:p w:rsidR="00394A67" w:rsidRDefault="00394A67" w:rsidP="001F383B">
            <w:pPr>
              <w:rPr>
                <w:sz w:val="20"/>
                <w:szCs w:val="20"/>
              </w:rPr>
            </w:pPr>
            <w:proofErr w:type="spellStart"/>
            <w:r>
              <w:rPr>
                <w:sz w:val="20"/>
                <w:szCs w:val="20"/>
              </w:rPr>
              <w:t>Soundware</w:t>
            </w:r>
            <w:proofErr w:type="spellEnd"/>
            <w:r>
              <w:rPr>
                <w:sz w:val="20"/>
                <w:szCs w:val="20"/>
              </w:rPr>
              <w:t xml:space="preserve"> Sample Libraries – Incomplete Technology</w:t>
            </w:r>
          </w:p>
        </w:tc>
        <w:tc>
          <w:tcPr>
            <w:tcW w:w="989" w:type="pct"/>
            <w:tcBorders>
              <w:top w:val="nil"/>
              <w:left w:val="nil"/>
              <w:right w:val="nil"/>
            </w:tcBorders>
          </w:tcPr>
          <w:p w:rsidR="00394A67" w:rsidRDefault="00394A67" w:rsidP="001F383B">
            <w:pPr>
              <w:jc w:val="right"/>
              <w:rPr>
                <w:b/>
                <w:bCs/>
                <w:sz w:val="20"/>
                <w:szCs w:val="20"/>
              </w:rPr>
            </w:pPr>
            <w:r>
              <w:rPr>
                <w:b/>
                <w:bCs/>
                <w:sz w:val="20"/>
                <w:szCs w:val="20"/>
              </w:rPr>
              <w:t>307</w:t>
            </w:r>
          </w:p>
        </w:tc>
        <w:tc>
          <w:tcPr>
            <w:tcW w:w="989" w:type="pct"/>
            <w:tcBorders>
              <w:top w:val="nil"/>
              <w:left w:val="nil"/>
              <w:right w:val="nil"/>
            </w:tcBorders>
          </w:tcPr>
          <w:p w:rsidR="00394A67" w:rsidRDefault="00394A67" w:rsidP="001F383B">
            <w:pPr>
              <w:jc w:val="right"/>
              <w:rPr>
                <w:bCs/>
                <w:sz w:val="20"/>
                <w:szCs w:val="20"/>
              </w:rPr>
            </w:pPr>
          </w:p>
        </w:tc>
      </w:tr>
      <w:tr w:rsidR="00D15F0B" w:rsidTr="008F38DC">
        <w:trPr>
          <w:trHeight w:val="255"/>
        </w:trPr>
        <w:tc>
          <w:tcPr>
            <w:tcW w:w="3022" w:type="pct"/>
            <w:tcBorders>
              <w:top w:val="nil"/>
              <w:left w:val="nil"/>
              <w:bottom w:val="nil"/>
              <w:right w:val="nil"/>
            </w:tcBorders>
          </w:tcPr>
          <w:p w:rsidR="00D15F0B" w:rsidRDefault="00394A67" w:rsidP="001F383B">
            <w:pPr>
              <w:rPr>
                <w:sz w:val="20"/>
                <w:szCs w:val="20"/>
              </w:rPr>
            </w:pPr>
            <w:r>
              <w:rPr>
                <w:sz w:val="20"/>
                <w:szCs w:val="20"/>
              </w:rPr>
              <w:t>Trademarks</w:t>
            </w:r>
          </w:p>
        </w:tc>
        <w:tc>
          <w:tcPr>
            <w:tcW w:w="989" w:type="pct"/>
            <w:tcBorders>
              <w:left w:val="nil"/>
              <w:bottom w:val="single" w:sz="4" w:space="0" w:color="auto"/>
              <w:right w:val="nil"/>
            </w:tcBorders>
          </w:tcPr>
          <w:p w:rsidR="00D15F0B" w:rsidRDefault="00394A67" w:rsidP="001F383B">
            <w:pPr>
              <w:jc w:val="right"/>
              <w:rPr>
                <w:b/>
                <w:bCs/>
                <w:sz w:val="20"/>
                <w:szCs w:val="20"/>
              </w:rPr>
            </w:pPr>
            <w:r>
              <w:rPr>
                <w:b/>
                <w:bCs/>
                <w:sz w:val="20"/>
                <w:szCs w:val="20"/>
              </w:rPr>
              <w:t>220</w:t>
            </w:r>
          </w:p>
        </w:tc>
        <w:tc>
          <w:tcPr>
            <w:tcW w:w="989" w:type="pct"/>
            <w:tcBorders>
              <w:left w:val="nil"/>
              <w:bottom w:val="single" w:sz="4" w:space="0" w:color="auto"/>
              <w:right w:val="nil"/>
            </w:tcBorders>
          </w:tcPr>
          <w:p w:rsidR="00D15F0B" w:rsidRDefault="004A7EDE" w:rsidP="001F383B">
            <w:pPr>
              <w:jc w:val="right"/>
              <w:rPr>
                <w:sz w:val="20"/>
                <w:szCs w:val="20"/>
              </w:rPr>
            </w:pPr>
            <w:r>
              <w:rPr>
                <w:bCs/>
                <w:sz w:val="20"/>
                <w:szCs w:val="20"/>
              </w:rPr>
              <w:t>-</w:t>
            </w:r>
          </w:p>
        </w:tc>
      </w:tr>
      <w:tr w:rsidR="00D15F0B" w:rsidTr="001F383B">
        <w:trPr>
          <w:trHeight w:val="255"/>
        </w:trPr>
        <w:tc>
          <w:tcPr>
            <w:tcW w:w="3022" w:type="pct"/>
            <w:tcBorders>
              <w:top w:val="nil"/>
              <w:left w:val="nil"/>
              <w:bottom w:val="nil"/>
              <w:right w:val="nil"/>
            </w:tcBorders>
          </w:tcPr>
          <w:p w:rsidR="00D15F0B" w:rsidRDefault="00D15F0B" w:rsidP="001F383B">
            <w:pPr>
              <w:rPr>
                <w:sz w:val="20"/>
                <w:szCs w:val="20"/>
              </w:rPr>
            </w:pPr>
          </w:p>
        </w:tc>
        <w:tc>
          <w:tcPr>
            <w:tcW w:w="989" w:type="pct"/>
            <w:tcBorders>
              <w:top w:val="nil"/>
              <w:left w:val="nil"/>
              <w:bottom w:val="nil"/>
              <w:right w:val="nil"/>
            </w:tcBorders>
          </w:tcPr>
          <w:p w:rsidR="00D15F0B" w:rsidRDefault="00394A67" w:rsidP="001F383B">
            <w:pPr>
              <w:jc w:val="right"/>
              <w:rPr>
                <w:b/>
                <w:bCs/>
                <w:sz w:val="20"/>
                <w:szCs w:val="20"/>
              </w:rPr>
            </w:pPr>
            <w:r>
              <w:rPr>
                <w:b/>
                <w:bCs/>
                <w:sz w:val="20"/>
                <w:szCs w:val="20"/>
              </w:rPr>
              <w:t>1,020</w:t>
            </w:r>
          </w:p>
        </w:tc>
        <w:tc>
          <w:tcPr>
            <w:tcW w:w="989" w:type="pct"/>
            <w:tcBorders>
              <w:top w:val="nil"/>
              <w:left w:val="nil"/>
              <w:bottom w:val="nil"/>
              <w:right w:val="nil"/>
            </w:tcBorders>
          </w:tcPr>
          <w:p w:rsidR="00D15F0B" w:rsidRDefault="004A7EDE" w:rsidP="001F383B">
            <w:pPr>
              <w:jc w:val="right"/>
              <w:rPr>
                <w:sz w:val="20"/>
                <w:szCs w:val="20"/>
              </w:rPr>
            </w:pPr>
            <w:r>
              <w:rPr>
                <w:bCs/>
                <w:sz w:val="20"/>
                <w:szCs w:val="20"/>
              </w:rPr>
              <w:t>-</w:t>
            </w:r>
          </w:p>
        </w:tc>
      </w:tr>
      <w:tr w:rsidR="00D15F0B" w:rsidTr="001F383B">
        <w:trPr>
          <w:trHeight w:val="270"/>
        </w:trPr>
        <w:tc>
          <w:tcPr>
            <w:tcW w:w="3022" w:type="pct"/>
            <w:tcBorders>
              <w:top w:val="nil"/>
              <w:left w:val="nil"/>
              <w:bottom w:val="nil"/>
              <w:right w:val="nil"/>
            </w:tcBorders>
          </w:tcPr>
          <w:p w:rsidR="00D15F0B" w:rsidRDefault="00D15F0B" w:rsidP="00D15F0B">
            <w:pPr>
              <w:rPr>
                <w:sz w:val="20"/>
                <w:szCs w:val="20"/>
              </w:rPr>
            </w:pPr>
            <w:r>
              <w:rPr>
                <w:sz w:val="20"/>
                <w:szCs w:val="20"/>
              </w:rPr>
              <w:t>Less amortization</w:t>
            </w:r>
          </w:p>
        </w:tc>
        <w:tc>
          <w:tcPr>
            <w:tcW w:w="989" w:type="pct"/>
            <w:tcBorders>
              <w:top w:val="nil"/>
              <w:left w:val="nil"/>
              <w:bottom w:val="single" w:sz="8" w:space="0" w:color="auto"/>
              <w:right w:val="nil"/>
            </w:tcBorders>
          </w:tcPr>
          <w:p w:rsidR="00D15F0B" w:rsidRDefault="004A7EDE" w:rsidP="001F383B">
            <w:pPr>
              <w:jc w:val="right"/>
              <w:rPr>
                <w:b/>
                <w:bCs/>
                <w:sz w:val="20"/>
                <w:szCs w:val="20"/>
              </w:rPr>
            </w:pPr>
            <w:r>
              <w:rPr>
                <w:b/>
                <w:bCs/>
                <w:color w:val="FF0000"/>
                <w:sz w:val="20"/>
                <w:szCs w:val="20"/>
              </w:rPr>
              <w:t>-</w:t>
            </w:r>
          </w:p>
        </w:tc>
        <w:tc>
          <w:tcPr>
            <w:tcW w:w="989" w:type="pct"/>
            <w:tcBorders>
              <w:top w:val="nil"/>
              <w:left w:val="nil"/>
              <w:bottom w:val="single" w:sz="8" w:space="0" w:color="auto"/>
              <w:right w:val="nil"/>
            </w:tcBorders>
          </w:tcPr>
          <w:p w:rsidR="00D15F0B" w:rsidRDefault="004A7EDE" w:rsidP="001F383B">
            <w:pPr>
              <w:jc w:val="right"/>
              <w:rPr>
                <w:sz w:val="20"/>
                <w:szCs w:val="20"/>
              </w:rPr>
            </w:pPr>
            <w:r>
              <w:rPr>
                <w:bCs/>
                <w:color w:val="FF0000"/>
                <w:sz w:val="20"/>
                <w:szCs w:val="20"/>
              </w:rPr>
              <w:t>-</w:t>
            </w:r>
          </w:p>
        </w:tc>
      </w:tr>
      <w:tr w:rsidR="00D15F0B" w:rsidTr="001F383B">
        <w:trPr>
          <w:trHeight w:val="270"/>
        </w:trPr>
        <w:tc>
          <w:tcPr>
            <w:tcW w:w="3022" w:type="pct"/>
            <w:tcBorders>
              <w:top w:val="nil"/>
              <w:left w:val="nil"/>
              <w:bottom w:val="nil"/>
              <w:right w:val="nil"/>
            </w:tcBorders>
          </w:tcPr>
          <w:p w:rsidR="00D15F0B" w:rsidRDefault="00D15F0B" w:rsidP="001F383B">
            <w:pPr>
              <w:rPr>
                <w:sz w:val="20"/>
                <w:szCs w:val="20"/>
              </w:rPr>
            </w:pPr>
          </w:p>
        </w:tc>
        <w:tc>
          <w:tcPr>
            <w:tcW w:w="989" w:type="pct"/>
            <w:tcBorders>
              <w:top w:val="nil"/>
              <w:left w:val="nil"/>
              <w:bottom w:val="double" w:sz="6" w:space="0" w:color="auto"/>
              <w:right w:val="nil"/>
            </w:tcBorders>
          </w:tcPr>
          <w:p w:rsidR="00D15F0B" w:rsidRDefault="00D15F0B" w:rsidP="00394A67">
            <w:pPr>
              <w:jc w:val="right"/>
              <w:rPr>
                <w:b/>
                <w:bCs/>
                <w:sz w:val="20"/>
                <w:szCs w:val="20"/>
                <w:highlight w:val="yellow"/>
              </w:rPr>
            </w:pPr>
            <w:r>
              <w:rPr>
                <w:b/>
                <w:bCs/>
                <w:sz w:val="20"/>
                <w:szCs w:val="20"/>
              </w:rPr>
              <w:t xml:space="preserve">$ </w:t>
            </w:r>
            <w:r w:rsidR="00394A67">
              <w:rPr>
                <w:b/>
                <w:bCs/>
                <w:sz w:val="20"/>
                <w:szCs w:val="20"/>
              </w:rPr>
              <w:t xml:space="preserve">1,020 </w:t>
            </w:r>
          </w:p>
        </w:tc>
        <w:tc>
          <w:tcPr>
            <w:tcW w:w="989" w:type="pct"/>
            <w:tcBorders>
              <w:top w:val="nil"/>
              <w:left w:val="nil"/>
              <w:bottom w:val="double" w:sz="6" w:space="0" w:color="auto"/>
              <w:right w:val="nil"/>
            </w:tcBorders>
          </w:tcPr>
          <w:p w:rsidR="00D15F0B" w:rsidRDefault="00D15F0B" w:rsidP="004A7EDE">
            <w:pPr>
              <w:jc w:val="right"/>
              <w:rPr>
                <w:sz w:val="20"/>
                <w:szCs w:val="20"/>
              </w:rPr>
            </w:pPr>
            <w:r>
              <w:rPr>
                <w:bCs/>
                <w:sz w:val="20"/>
                <w:szCs w:val="20"/>
              </w:rPr>
              <w:t>$</w:t>
            </w:r>
            <w:r w:rsidR="004A7EDE">
              <w:rPr>
                <w:bCs/>
                <w:sz w:val="20"/>
                <w:szCs w:val="20"/>
              </w:rPr>
              <w:t xml:space="preserve">- </w:t>
            </w:r>
          </w:p>
        </w:tc>
      </w:tr>
    </w:tbl>
    <w:p w:rsidR="004C371E" w:rsidRDefault="004C371E" w:rsidP="00D15F0B">
      <w:pPr>
        <w:rPr>
          <w:color w:val="000000"/>
          <w:sz w:val="20"/>
          <w:szCs w:val="20"/>
        </w:rPr>
      </w:pPr>
    </w:p>
    <w:p w:rsidR="00D15F0B" w:rsidRDefault="009A41A4" w:rsidP="007D461D">
      <w:pPr>
        <w:ind w:firstLine="720"/>
        <w:rPr>
          <w:color w:val="000000"/>
          <w:sz w:val="20"/>
          <w:szCs w:val="20"/>
        </w:rPr>
      </w:pPr>
      <w:r>
        <w:rPr>
          <w:color w:val="000000"/>
          <w:sz w:val="20"/>
          <w:szCs w:val="20"/>
        </w:rPr>
        <w:t xml:space="preserve">Finite life intangible assets are amortized </w:t>
      </w:r>
      <w:r w:rsidR="00F032DC">
        <w:rPr>
          <w:color w:val="000000"/>
          <w:sz w:val="20"/>
          <w:szCs w:val="20"/>
        </w:rPr>
        <w:t>using</w:t>
      </w:r>
      <w:r>
        <w:rPr>
          <w:color w:val="000000"/>
          <w:sz w:val="20"/>
          <w:szCs w:val="20"/>
        </w:rPr>
        <w:t xml:space="preserve"> straight-line </w:t>
      </w:r>
      <w:r w:rsidR="00F032DC">
        <w:rPr>
          <w:color w:val="000000"/>
          <w:sz w:val="20"/>
          <w:szCs w:val="20"/>
        </w:rPr>
        <w:t>and accelerated methods over their</w:t>
      </w:r>
      <w:r>
        <w:rPr>
          <w:color w:val="000000"/>
          <w:sz w:val="20"/>
          <w:szCs w:val="20"/>
        </w:rPr>
        <w:t xml:space="preserve"> estimated useful lives ranging from </w:t>
      </w:r>
      <w:r w:rsidR="00190ADE">
        <w:rPr>
          <w:color w:val="000000"/>
          <w:sz w:val="20"/>
          <w:szCs w:val="20"/>
        </w:rPr>
        <w:t xml:space="preserve">3 to 7 for </w:t>
      </w:r>
      <w:proofErr w:type="spellStart"/>
      <w:r w:rsidR="00190ADE">
        <w:rPr>
          <w:color w:val="000000"/>
          <w:sz w:val="20"/>
          <w:szCs w:val="20"/>
        </w:rPr>
        <w:t>soundware</w:t>
      </w:r>
      <w:proofErr w:type="spellEnd"/>
      <w:r w:rsidR="00190ADE">
        <w:rPr>
          <w:color w:val="000000"/>
          <w:sz w:val="20"/>
          <w:szCs w:val="20"/>
        </w:rPr>
        <w:t xml:space="preserve"> sample libraries and 20</w:t>
      </w:r>
      <w:r>
        <w:rPr>
          <w:color w:val="000000"/>
          <w:sz w:val="20"/>
          <w:szCs w:val="20"/>
        </w:rPr>
        <w:t xml:space="preserve"> years</w:t>
      </w:r>
      <w:r w:rsidR="00190ADE">
        <w:rPr>
          <w:color w:val="000000"/>
          <w:sz w:val="20"/>
          <w:szCs w:val="20"/>
        </w:rPr>
        <w:t xml:space="preserve"> for trademarks</w:t>
      </w:r>
      <w:r>
        <w:rPr>
          <w:color w:val="000000"/>
          <w:sz w:val="20"/>
          <w:szCs w:val="20"/>
        </w:rPr>
        <w:t xml:space="preserve">. </w:t>
      </w:r>
      <w:r w:rsidR="00D15F0B">
        <w:rPr>
          <w:color w:val="000000"/>
          <w:sz w:val="20"/>
          <w:szCs w:val="20"/>
        </w:rPr>
        <w:t xml:space="preserve">The estimated future amortization expense for </w:t>
      </w:r>
      <w:r w:rsidR="004A7EDE">
        <w:rPr>
          <w:color w:val="000000"/>
          <w:sz w:val="20"/>
          <w:szCs w:val="20"/>
        </w:rPr>
        <w:t>finite life intangible assets</w:t>
      </w:r>
      <w:r w:rsidR="00D15F0B">
        <w:rPr>
          <w:color w:val="000000"/>
          <w:sz w:val="20"/>
          <w:szCs w:val="20"/>
        </w:rPr>
        <w:t xml:space="preserve"> is as follows:  </w:t>
      </w:r>
    </w:p>
    <w:tbl>
      <w:tblPr>
        <w:tblW w:w="4024" w:type="pct"/>
        <w:tblLook w:val="00A0" w:firstRow="1" w:lastRow="0" w:firstColumn="1" w:lastColumn="0" w:noHBand="0" w:noVBand="0"/>
      </w:tblPr>
      <w:tblGrid>
        <w:gridCol w:w="5746"/>
        <w:gridCol w:w="833"/>
        <w:gridCol w:w="1174"/>
      </w:tblGrid>
      <w:tr w:rsidR="00D15F0B" w:rsidTr="001F383B">
        <w:trPr>
          <w:gridAfter w:val="1"/>
          <w:wAfter w:w="757" w:type="pct"/>
          <w:trHeight w:val="255"/>
        </w:trPr>
        <w:tc>
          <w:tcPr>
            <w:tcW w:w="4243" w:type="pct"/>
            <w:gridSpan w:val="2"/>
            <w:tcBorders>
              <w:top w:val="nil"/>
              <w:left w:val="nil"/>
              <w:bottom w:val="nil"/>
              <w:right w:val="nil"/>
            </w:tcBorders>
          </w:tcPr>
          <w:p w:rsidR="00D15F0B" w:rsidRDefault="00D15F0B" w:rsidP="001F383B">
            <w:pPr>
              <w:jc w:val="right"/>
              <w:rPr>
                <w:i/>
                <w:iCs/>
                <w:sz w:val="20"/>
                <w:szCs w:val="20"/>
              </w:rPr>
            </w:pPr>
          </w:p>
        </w:tc>
      </w:tr>
      <w:tr w:rsidR="00D15F0B" w:rsidTr="001F383B">
        <w:trPr>
          <w:trHeight w:val="255"/>
        </w:trPr>
        <w:tc>
          <w:tcPr>
            <w:tcW w:w="3706" w:type="pct"/>
            <w:tcBorders>
              <w:top w:val="nil"/>
              <w:left w:val="nil"/>
              <w:bottom w:val="nil"/>
              <w:right w:val="nil"/>
            </w:tcBorders>
            <w:noWrap/>
          </w:tcPr>
          <w:p w:rsidR="00D15F0B" w:rsidRDefault="00D15F0B" w:rsidP="001F383B">
            <w:pPr>
              <w:jc w:val="both"/>
              <w:rPr>
                <w:sz w:val="20"/>
                <w:szCs w:val="20"/>
              </w:rPr>
            </w:pPr>
          </w:p>
        </w:tc>
        <w:tc>
          <w:tcPr>
            <w:tcW w:w="1294" w:type="pct"/>
            <w:gridSpan w:val="2"/>
            <w:tcBorders>
              <w:top w:val="nil"/>
              <w:left w:val="nil"/>
              <w:bottom w:val="nil"/>
              <w:right w:val="nil"/>
            </w:tcBorders>
          </w:tcPr>
          <w:p w:rsidR="00D15F0B" w:rsidRDefault="00D15F0B" w:rsidP="001F383B">
            <w:pPr>
              <w:jc w:val="right"/>
              <w:rPr>
                <w:b/>
                <w:bCs/>
                <w:sz w:val="20"/>
                <w:szCs w:val="20"/>
              </w:rPr>
            </w:pPr>
            <w:r>
              <w:rPr>
                <w:i/>
                <w:iCs/>
                <w:sz w:val="20"/>
                <w:szCs w:val="20"/>
              </w:rPr>
              <w:t>(In thousands)</w:t>
            </w:r>
          </w:p>
        </w:tc>
      </w:tr>
      <w:tr w:rsidR="00D15F0B" w:rsidTr="001F383B">
        <w:trPr>
          <w:trHeight w:val="255"/>
        </w:trPr>
        <w:tc>
          <w:tcPr>
            <w:tcW w:w="3706" w:type="pct"/>
            <w:tcBorders>
              <w:top w:val="nil"/>
              <w:left w:val="nil"/>
              <w:bottom w:val="nil"/>
              <w:right w:val="nil"/>
            </w:tcBorders>
            <w:noWrap/>
          </w:tcPr>
          <w:p w:rsidR="00D15F0B" w:rsidRDefault="00D15F0B" w:rsidP="001F383B">
            <w:pPr>
              <w:jc w:val="right"/>
              <w:rPr>
                <w:sz w:val="20"/>
                <w:szCs w:val="20"/>
              </w:rPr>
            </w:pPr>
            <w:r>
              <w:rPr>
                <w:sz w:val="20"/>
                <w:szCs w:val="20"/>
              </w:rPr>
              <w:t xml:space="preserve">2012 </w:t>
            </w:r>
          </w:p>
        </w:tc>
        <w:tc>
          <w:tcPr>
            <w:tcW w:w="1294" w:type="pct"/>
            <w:gridSpan w:val="2"/>
            <w:tcBorders>
              <w:top w:val="nil"/>
              <w:left w:val="nil"/>
              <w:bottom w:val="nil"/>
              <w:right w:val="nil"/>
            </w:tcBorders>
          </w:tcPr>
          <w:p w:rsidR="00D15F0B" w:rsidRDefault="00D15F0B" w:rsidP="00190ADE">
            <w:pPr>
              <w:jc w:val="right"/>
              <w:rPr>
                <w:b/>
                <w:bCs/>
                <w:sz w:val="20"/>
                <w:szCs w:val="20"/>
              </w:rPr>
            </w:pPr>
            <w:r>
              <w:rPr>
                <w:b/>
                <w:bCs/>
                <w:sz w:val="20"/>
                <w:szCs w:val="20"/>
              </w:rPr>
              <w:t>$</w:t>
            </w:r>
            <w:r w:rsidR="008A2C34">
              <w:rPr>
                <w:b/>
                <w:bCs/>
                <w:sz w:val="20"/>
                <w:szCs w:val="20"/>
              </w:rPr>
              <w:t xml:space="preserve"> </w:t>
            </w:r>
            <w:r w:rsidR="00190ADE">
              <w:rPr>
                <w:b/>
                <w:bCs/>
                <w:sz w:val="20"/>
                <w:szCs w:val="20"/>
              </w:rPr>
              <w:t>243</w:t>
            </w:r>
          </w:p>
        </w:tc>
      </w:tr>
      <w:tr w:rsidR="00D15F0B" w:rsidTr="001F383B">
        <w:trPr>
          <w:trHeight w:val="255"/>
        </w:trPr>
        <w:tc>
          <w:tcPr>
            <w:tcW w:w="3706" w:type="pct"/>
            <w:tcBorders>
              <w:top w:val="nil"/>
              <w:left w:val="nil"/>
              <w:bottom w:val="nil"/>
              <w:right w:val="nil"/>
            </w:tcBorders>
            <w:noWrap/>
          </w:tcPr>
          <w:p w:rsidR="00D15F0B" w:rsidRDefault="00D15F0B" w:rsidP="001F383B">
            <w:pPr>
              <w:jc w:val="right"/>
              <w:rPr>
                <w:sz w:val="20"/>
                <w:szCs w:val="20"/>
              </w:rPr>
            </w:pPr>
            <w:r>
              <w:rPr>
                <w:sz w:val="20"/>
                <w:szCs w:val="20"/>
              </w:rPr>
              <w:t>2013</w:t>
            </w:r>
          </w:p>
        </w:tc>
        <w:tc>
          <w:tcPr>
            <w:tcW w:w="1294" w:type="pct"/>
            <w:gridSpan w:val="2"/>
            <w:tcBorders>
              <w:top w:val="nil"/>
              <w:left w:val="nil"/>
              <w:bottom w:val="nil"/>
              <w:right w:val="nil"/>
            </w:tcBorders>
          </w:tcPr>
          <w:p w:rsidR="00D15F0B" w:rsidRDefault="00190ADE" w:rsidP="001F383B">
            <w:pPr>
              <w:jc w:val="right"/>
              <w:rPr>
                <w:b/>
                <w:bCs/>
                <w:sz w:val="20"/>
                <w:szCs w:val="20"/>
              </w:rPr>
            </w:pPr>
            <w:r>
              <w:rPr>
                <w:b/>
                <w:bCs/>
                <w:sz w:val="20"/>
                <w:szCs w:val="20"/>
              </w:rPr>
              <w:t>255</w:t>
            </w:r>
          </w:p>
        </w:tc>
      </w:tr>
      <w:tr w:rsidR="00D15F0B" w:rsidTr="001F383B">
        <w:trPr>
          <w:trHeight w:val="255"/>
        </w:trPr>
        <w:tc>
          <w:tcPr>
            <w:tcW w:w="3706" w:type="pct"/>
            <w:tcBorders>
              <w:top w:val="nil"/>
              <w:left w:val="nil"/>
              <w:bottom w:val="nil"/>
              <w:right w:val="nil"/>
            </w:tcBorders>
            <w:noWrap/>
          </w:tcPr>
          <w:p w:rsidR="00D15F0B" w:rsidRDefault="00D15F0B" w:rsidP="001F383B">
            <w:pPr>
              <w:jc w:val="right"/>
              <w:rPr>
                <w:sz w:val="20"/>
                <w:szCs w:val="20"/>
              </w:rPr>
            </w:pPr>
            <w:r>
              <w:rPr>
                <w:sz w:val="20"/>
                <w:szCs w:val="20"/>
              </w:rPr>
              <w:t xml:space="preserve">2014 </w:t>
            </w:r>
          </w:p>
        </w:tc>
        <w:tc>
          <w:tcPr>
            <w:tcW w:w="1294" w:type="pct"/>
            <w:gridSpan w:val="2"/>
            <w:tcBorders>
              <w:top w:val="nil"/>
              <w:left w:val="nil"/>
              <w:bottom w:val="nil"/>
              <w:right w:val="nil"/>
            </w:tcBorders>
          </w:tcPr>
          <w:p w:rsidR="00D15F0B" w:rsidRDefault="00190ADE" w:rsidP="001F383B">
            <w:pPr>
              <w:jc w:val="right"/>
              <w:rPr>
                <w:b/>
                <w:bCs/>
                <w:sz w:val="20"/>
                <w:szCs w:val="20"/>
              </w:rPr>
            </w:pPr>
            <w:r>
              <w:rPr>
                <w:b/>
                <w:bCs/>
                <w:sz w:val="20"/>
                <w:szCs w:val="20"/>
              </w:rPr>
              <w:t>182</w:t>
            </w:r>
          </w:p>
        </w:tc>
      </w:tr>
      <w:tr w:rsidR="00D15F0B" w:rsidTr="001F383B">
        <w:trPr>
          <w:trHeight w:val="255"/>
        </w:trPr>
        <w:tc>
          <w:tcPr>
            <w:tcW w:w="3706" w:type="pct"/>
            <w:tcBorders>
              <w:top w:val="nil"/>
              <w:left w:val="nil"/>
              <w:bottom w:val="nil"/>
              <w:right w:val="nil"/>
            </w:tcBorders>
            <w:noWrap/>
          </w:tcPr>
          <w:p w:rsidR="00D15F0B" w:rsidRDefault="00D15F0B" w:rsidP="001F383B">
            <w:pPr>
              <w:jc w:val="right"/>
              <w:rPr>
                <w:sz w:val="20"/>
                <w:szCs w:val="20"/>
              </w:rPr>
            </w:pPr>
            <w:r>
              <w:rPr>
                <w:sz w:val="20"/>
                <w:szCs w:val="20"/>
              </w:rPr>
              <w:t>2015</w:t>
            </w:r>
          </w:p>
        </w:tc>
        <w:tc>
          <w:tcPr>
            <w:tcW w:w="1294" w:type="pct"/>
            <w:gridSpan w:val="2"/>
            <w:tcBorders>
              <w:top w:val="nil"/>
              <w:left w:val="nil"/>
              <w:bottom w:val="nil"/>
              <w:right w:val="nil"/>
            </w:tcBorders>
          </w:tcPr>
          <w:p w:rsidR="00D15F0B" w:rsidRDefault="00190ADE" w:rsidP="001F383B">
            <w:pPr>
              <w:jc w:val="right"/>
              <w:rPr>
                <w:b/>
                <w:bCs/>
                <w:sz w:val="20"/>
                <w:szCs w:val="20"/>
              </w:rPr>
            </w:pPr>
            <w:r>
              <w:rPr>
                <w:b/>
                <w:bCs/>
                <w:sz w:val="20"/>
                <w:szCs w:val="20"/>
              </w:rPr>
              <w:t>91</w:t>
            </w:r>
          </w:p>
        </w:tc>
      </w:tr>
      <w:tr w:rsidR="00D15F0B" w:rsidTr="001F383B">
        <w:trPr>
          <w:trHeight w:val="255"/>
        </w:trPr>
        <w:tc>
          <w:tcPr>
            <w:tcW w:w="3706" w:type="pct"/>
            <w:tcBorders>
              <w:top w:val="nil"/>
              <w:left w:val="nil"/>
              <w:bottom w:val="nil"/>
              <w:right w:val="nil"/>
            </w:tcBorders>
            <w:noWrap/>
          </w:tcPr>
          <w:p w:rsidR="00D15F0B" w:rsidRDefault="00D15F0B" w:rsidP="001F383B">
            <w:pPr>
              <w:jc w:val="right"/>
              <w:rPr>
                <w:sz w:val="20"/>
                <w:szCs w:val="20"/>
              </w:rPr>
            </w:pPr>
            <w:r>
              <w:rPr>
                <w:sz w:val="20"/>
                <w:szCs w:val="20"/>
              </w:rPr>
              <w:t xml:space="preserve">2016 </w:t>
            </w:r>
          </w:p>
        </w:tc>
        <w:tc>
          <w:tcPr>
            <w:tcW w:w="1294" w:type="pct"/>
            <w:gridSpan w:val="2"/>
            <w:tcBorders>
              <w:top w:val="nil"/>
              <w:left w:val="nil"/>
              <w:bottom w:val="nil"/>
              <w:right w:val="nil"/>
            </w:tcBorders>
          </w:tcPr>
          <w:p w:rsidR="00D15F0B" w:rsidRDefault="00190ADE" w:rsidP="001F383B">
            <w:pPr>
              <w:jc w:val="right"/>
              <w:rPr>
                <w:b/>
                <w:bCs/>
                <w:sz w:val="20"/>
                <w:szCs w:val="20"/>
              </w:rPr>
            </w:pPr>
            <w:r>
              <w:rPr>
                <w:b/>
                <w:bCs/>
                <w:sz w:val="20"/>
                <w:szCs w:val="20"/>
              </w:rPr>
              <w:t>54</w:t>
            </w:r>
          </w:p>
        </w:tc>
      </w:tr>
      <w:tr w:rsidR="00D15F0B" w:rsidTr="001F383B">
        <w:trPr>
          <w:trHeight w:val="255"/>
        </w:trPr>
        <w:tc>
          <w:tcPr>
            <w:tcW w:w="3706" w:type="pct"/>
            <w:tcBorders>
              <w:top w:val="nil"/>
              <w:left w:val="nil"/>
              <w:bottom w:val="nil"/>
              <w:right w:val="nil"/>
            </w:tcBorders>
            <w:noWrap/>
          </w:tcPr>
          <w:p w:rsidR="00D15F0B" w:rsidRDefault="00D15F0B" w:rsidP="001F383B">
            <w:pPr>
              <w:jc w:val="right"/>
              <w:rPr>
                <w:sz w:val="20"/>
                <w:szCs w:val="20"/>
              </w:rPr>
            </w:pPr>
            <w:r>
              <w:rPr>
                <w:sz w:val="20"/>
                <w:szCs w:val="20"/>
              </w:rPr>
              <w:t xml:space="preserve">Thereafter </w:t>
            </w:r>
          </w:p>
        </w:tc>
        <w:tc>
          <w:tcPr>
            <w:tcW w:w="1294" w:type="pct"/>
            <w:gridSpan w:val="2"/>
            <w:tcBorders>
              <w:top w:val="nil"/>
              <w:left w:val="nil"/>
              <w:bottom w:val="single" w:sz="4" w:space="0" w:color="auto"/>
              <w:right w:val="nil"/>
            </w:tcBorders>
          </w:tcPr>
          <w:p w:rsidR="00D15F0B" w:rsidRDefault="00190ADE" w:rsidP="001F383B">
            <w:pPr>
              <w:jc w:val="right"/>
              <w:rPr>
                <w:b/>
                <w:bCs/>
                <w:sz w:val="20"/>
                <w:szCs w:val="20"/>
              </w:rPr>
            </w:pPr>
            <w:r>
              <w:rPr>
                <w:b/>
                <w:bCs/>
                <w:sz w:val="20"/>
                <w:szCs w:val="20"/>
              </w:rPr>
              <w:t>195</w:t>
            </w:r>
          </w:p>
        </w:tc>
      </w:tr>
      <w:tr w:rsidR="00D15F0B" w:rsidTr="001F383B">
        <w:trPr>
          <w:trHeight w:val="255"/>
        </w:trPr>
        <w:tc>
          <w:tcPr>
            <w:tcW w:w="3706" w:type="pct"/>
            <w:tcBorders>
              <w:top w:val="nil"/>
              <w:left w:val="nil"/>
              <w:bottom w:val="nil"/>
              <w:right w:val="nil"/>
            </w:tcBorders>
            <w:noWrap/>
          </w:tcPr>
          <w:p w:rsidR="00D15F0B" w:rsidRDefault="00D15F0B" w:rsidP="001F383B">
            <w:pPr>
              <w:rPr>
                <w:sz w:val="20"/>
                <w:szCs w:val="20"/>
              </w:rPr>
            </w:pPr>
          </w:p>
        </w:tc>
        <w:tc>
          <w:tcPr>
            <w:tcW w:w="1294" w:type="pct"/>
            <w:gridSpan w:val="2"/>
            <w:tcBorders>
              <w:top w:val="single" w:sz="4" w:space="0" w:color="auto"/>
              <w:left w:val="nil"/>
              <w:bottom w:val="double" w:sz="4" w:space="0" w:color="auto"/>
              <w:right w:val="nil"/>
            </w:tcBorders>
          </w:tcPr>
          <w:p w:rsidR="00D15F0B" w:rsidRDefault="00D15F0B" w:rsidP="00394A67">
            <w:pPr>
              <w:jc w:val="right"/>
              <w:rPr>
                <w:b/>
                <w:bCs/>
                <w:sz w:val="20"/>
                <w:szCs w:val="20"/>
              </w:rPr>
            </w:pPr>
            <w:r>
              <w:rPr>
                <w:b/>
                <w:bCs/>
                <w:sz w:val="20"/>
                <w:szCs w:val="20"/>
              </w:rPr>
              <w:t>$</w:t>
            </w:r>
            <w:r w:rsidR="008A2C34">
              <w:rPr>
                <w:b/>
                <w:bCs/>
                <w:sz w:val="20"/>
                <w:szCs w:val="20"/>
              </w:rPr>
              <w:t xml:space="preserve"> </w:t>
            </w:r>
            <w:r w:rsidR="00394A67">
              <w:rPr>
                <w:b/>
                <w:bCs/>
                <w:sz w:val="20"/>
                <w:szCs w:val="20"/>
              </w:rPr>
              <w:t>1,020</w:t>
            </w:r>
          </w:p>
        </w:tc>
      </w:tr>
    </w:tbl>
    <w:p w:rsidR="00561ED5" w:rsidRDefault="00561ED5">
      <w:pPr>
        <w:rPr>
          <w:b/>
          <w:bCs/>
          <w:color w:val="000000"/>
          <w:sz w:val="20"/>
        </w:rPr>
      </w:pPr>
    </w:p>
    <w:p w:rsidR="00561ED5" w:rsidRDefault="00561ED5">
      <w:pPr>
        <w:rPr>
          <w:b/>
          <w:bCs/>
          <w:color w:val="000000"/>
          <w:sz w:val="20"/>
        </w:rPr>
      </w:pPr>
    </w:p>
    <w:p w:rsidR="00561ED5" w:rsidRDefault="00561ED5">
      <w:pPr>
        <w:rPr>
          <w:b/>
          <w:bCs/>
          <w:color w:val="000000"/>
          <w:sz w:val="20"/>
        </w:rPr>
      </w:pPr>
    </w:p>
    <w:p w:rsidR="004851D7" w:rsidRDefault="004851D7">
      <w:pPr>
        <w:rPr>
          <w:b/>
          <w:bCs/>
          <w:color w:val="000000"/>
          <w:sz w:val="20"/>
        </w:rPr>
      </w:pPr>
      <w:r>
        <w:rPr>
          <w:b/>
          <w:bCs/>
          <w:color w:val="000000"/>
          <w:sz w:val="20"/>
        </w:rPr>
        <w:t>Goodwill</w:t>
      </w:r>
    </w:p>
    <w:p w:rsidR="004851D7" w:rsidRDefault="004851D7">
      <w:pPr>
        <w:rPr>
          <w:color w:val="000000"/>
          <w:sz w:val="20"/>
        </w:rPr>
      </w:pPr>
    </w:p>
    <w:p w:rsidR="006E1512" w:rsidRDefault="00321977" w:rsidP="00F2275B">
      <w:pPr>
        <w:ind w:firstLine="720"/>
        <w:rPr>
          <w:color w:val="000000"/>
          <w:sz w:val="20"/>
        </w:rPr>
      </w:pPr>
      <w:r>
        <w:rPr>
          <w:color w:val="000000"/>
          <w:sz w:val="20"/>
        </w:rPr>
        <w:t xml:space="preserve">The </w:t>
      </w:r>
      <w:r w:rsidR="00E32735">
        <w:rPr>
          <w:color w:val="000000"/>
          <w:sz w:val="20"/>
        </w:rPr>
        <w:t xml:space="preserve">following is a reconciliation of the beginning and ending balance of the Company’s </w:t>
      </w:r>
      <w:r w:rsidR="00CC4CCA">
        <w:rPr>
          <w:color w:val="000000"/>
          <w:sz w:val="20"/>
        </w:rPr>
        <w:t>goodwill:</w:t>
      </w:r>
    </w:p>
    <w:p w:rsidR="00CC4CCA" w:rsidRDefault="00CC4CCA" w:rsidP="00CC4CCA">
      <w:pPr>
        <w:rPr>
          <w:color w:val="000000"/>
          <w:sz w:val="20"/>
        </w:rPr>
      </w:pPr>
    </w:p>
    <w:tbl>
      <w:tblPr>
        <w:tblW w:w="0" w:type="auto"/>
        <w:tblInd w:w="3241" w:type="dxa"/>
        <w:tblLook w:val="04A0" w:firstRow="1" w:lastRow="0" w:firstColumn="1" w:lastColumn="0" w:noHBand="0" w:noVBand="1"/>
      </w:tblPr>
      <w:tblGrid>
        <w:gridCol w:w="2915"/>
        <w:gridCol w:w="222"/>
        <w:gridCol w:w="1378"/>
      </w:tblGrid>
      <w:tr w:rsidR="00CC4CCA" w:rsidTr="00CC4CCA">
        <w:trPr>
          <w:trHeight w:val="255"/>
        </w:trPr>
        <w:tc>
          <w:tcPr>
            <w:tcW w:w="0" w:type="auto"/>
            <w:tcBorders>
              <w:top w:val="nil"/>
              <w:left w:val="nil"/>
              <w:bottom w:val="nil"/>
              <w:right w:val="nil"/>
            </w:tcBorders>
            <w:shd w:val="clear" w:color="auto" w:fill="auto"/>
            <w:noWrap/>
            <w:vAlign w:val="bottom"/>
            <w:hideMark/>
          </w:tcPr>
          <w:p w:rsidR="00CC4CCA" w:rsidRDefault="00CC4CCA">
            <w:pPr>
              <w:rPr>
                <w:sz w:val="20"/>
                <w:szCs w:val="20"/>
              </w:rPr>
            </w:pPr>
          </w:p>
        </w:tc>
        <w:tc>
          <w:tcPr>
            <w:tcW w:w="0" w:type="auto"/>
            <w:tcBorders>
              <w:top w:val="nil"/>
              <w:left w:val="nil"/>
              <w:bottom w:val="nil"/>
              <w:right w:val="nil"/>
            </w:tcBorders>
            <w:shd w:val="clear" w:color="auto" w:fill="auto"/>
            <w:noWrap/>
            <w:vAlign w:val="bottom"/>
            <w:hideMark/>
          </w:tcPr>
          <w:p w:rsidR="00CC4CCA" w:rsidRDefault="00CC4CCA">
            <w:pPr>
              <w:rPr>
                <w:sz w:val="20"/>
                <w:szCs w:val="20"/>
              </w:rPr>
            </w:pPr>
          </w:p>
        </w:tc>
        <w:tc>
          <w:tcPr>
            <w:tcW w:w="0" w:type="auto"/>
            <w:tcBorders>
              <w:top w:val="nil"/>
              <w:left w:val="nil"/>
              <w:bottom w:val="nil"/>
              <w:right w:val="nil"/>
            </w:tcBorders>
            <w:shd w:val="clear" w:color="auto" w:fill="auto"/>
            <w:noWrap/>
            <w:vAlign w:val="bottom"/>
            <w:hideMark/>
          </w:tcPr>
          <w:p w:rsidR="00CC4CCA" w:rsidRDefault="00CC4CCA" w:rsidP="00CC4CCA">
            <w:pPr>
              <w:jc w:val="right"/>
              <w:rPr>
                <w:i/>
                <w:iCs/>
                <w:sz w:val="20"/>
                <w:szCs w:val="20"/>
              </w:rPr>
            </w:pPr>
            <w:r>
              <w:rPr>
                <w:i/>
                <w:iCs/>
                <w:sz w:val="20"/>
                <w:szCs w:val="20"/>
              </w:rPr>
              <w:t>(In thousands)</w:t>
            </w:r>
          </w:p>
        </w:tc>
      </w:tr>
      <w:tr w:rsidR="00CC4CCA" w:rsidTr="00F2275B">
        <w:trPr>
          <w:trHeight w:val="255"/>
        </w:trPr>
        <w:tc>
          <w:tcPr>
            <w:tcW w:w="0" w:type="auto"/>
            <w:tcBorders>
              <w:top w:val="nil"/>
              <w:left w:val="nil"/>
              <w:bottom w:val="nil"/>
              <w:right w:val="nil"/>
            </w:tcBorders>
            <w:shd w:val="clear" w:color="auto" w:fill="auto"/>
            <w:noWrap/>
            <w:vAlign w:val="bottom"/>
            <w:hideMark/>
          </w:tcPr>
          <w:p w:rsidR="00CC4CCA" w:rsidRDefault="00CC4CCA">
            <w:pPr>
              <w:rPr>
                <w:sz w:val="20"/>
                <w:szCs w:val="20"/>
              </w:rPr>
            </w:pPr>
            <w:r>
              <w:rPr>
                <w:sz w:val="20"/>
                <w:szCs w:val="20"/>
              </w:rPr>
              <w:t>Balance as of December 31, 2010</w:t>
            </w:r>
          </w:p>
        </w:tc>
        <w:tc>
          <w:tcPr>
            <w:tcW w:w="0" w:type="auto"/>
            <w:tcBorders>
              <w:top w:val="nil"/>
              <w:left w:val="nil"/>
              <w:bottom w:val="nil"/>
              <w:right w:val="nil"/>
            </w:tcBorders>
            <w:shd w:val="clear" w:color="auto" w:fill="auto"/>
            <w:noWrap/>
            <w:vAlign w:val="bottom"/>
            <w:hideMark/>
          </w:tcPr>
          <w:p w:rsidR="00CC4CCA" w:rsidRDefault="00CC4CCA">
            <w:pPr>
              <w:rPr>
                <w:sz w:val="20"/>
                <w:szCs w:val="20"/>
              </w:rPr>
            </w:pPr>
          </w:p>
        </w:tc>
        <w:tc>
          <w:tcPr>
            <w:tcW w:w="0" w:type="auto"/>
            <w:tcBorders>
              <w:top w:val="nil"/>
              <w:left w:val="nil"/>
              <w:bottom w:val="nil"/>
              <w:right w:val="nil"/>
            </w:tcBorders>
            <w:shd w:val="clear" w:color="auto" w:fill="auto"/>
            <w:noWrap/>
            <w:vAlign w:val="bottom"/>
            <w:hideMark/>
          </w:tcPr>
          <w:p w:rsidR="00CC4CCA" w:rsidRPr="00F2275B" w:rsidRDefault="00CC4CCA" w:rsidP="00F2275B">
            <w:pPr>
              <w:jc w:val="right"/>
              <w:rPr>
                <w:b/>
                <w:sz w:val="20"/>
                <w:szCs w:val="20"/>
              </w:rPr>
            </w:pPr>
            <w:r w:rsidRPr="00F2275B">
              <w:rPr>
                <w:b/>
                <w:sz w:val="20"/>
                <w:szCs w:val="20"/>
              </w:rPr>
              <w:t xml:space="preserve">   $3,630 </w:t>
            </w:r>
          </w:p>
        </w:tc>
      </w:tr>
      <w:tr w:rsidR="00CC4CCA" w:rsidTr="00F2275B">
        <w:trPr>
          <w:trHeight w:val="255"/>
        </w:trPr>
        <w:tc>
          <w:tcPr>
            <w:tcW w:w="0" w:type="auto"/>
            <w:tcBorders>
              <w:top w:val="nil"/>
              <w:left w:val="nil"/>
              <w:bottom w:val="nil"/>
              <w:right w:val="nil"/>
            </w:tcBorders>
            <w:shd w:val="clear" w:color="auto" w:fill="auto"/>
            <w:noWrap/>
            <w:vAlign w:val="bottom"/>
            <w:hideMark/>
          </w:tcPr>
          <w:p w:rsidR="00CC4CCA" w:rsidRDefault="00CC4CCA" w:rsidP="00F032DC">
            <w:pPr>
              <w:rPr>
                <w:sz w:val="20"/>
                <w:szCs w:val="20"/>
              </w:rPr>
            </w:pPr>
            <w:r>
              <w:rPr>
                <w:sz w:val="20"/>
                <w:szCs w:val="20"/>
              </w:rPr>
              <w:t>Acquisitions</w:t>
            </w:r>
          </w:p>
        </w:tc>
        <w:tc>
          <w:tcPr>
            <w:tcW w:w="0" w:type="auto"/>
            <w:tcBorders>
              <w:top w:val="nil"/>
              <w:left w:val="nil"/>
              <w:bottom w:val="nil"/>
              <w:right w:val="nil"/>
            </w:tcBorders>
            <w:shd w:val="clear" w:color="auto" w:fill="auto"/>
            <w:noWrap/>
            <w:vAlign w:val="bottom"/>
            <w:hideMark/>
          </w:tcPr>
          <w:p w:rsidR="00CC4CCA" w:rsidRDefault="00CC4CCA">
            <w:pPr>
              <w:rPr>
                <w:sz w:val="20"/>
                <w:szCs w:val="20"/>
              </w:rPr>
            </w:pPr>
          </w:p>
        </w:tc>
        <w:tc>
          <w:tcPr>
            <w:tcW w:w="0" w:type="auto"/>
            <w:tcBorders>
              <w:top w:val="nil"/>
              <w:left w:val="nil"/>
              <w:bottom w:val="nil"/>
              <w:right w:val="nil"/>
            </w:tcBorders>
            <w:shd w:val="clear" w:color="auto" w:fill="auto"/>
            <w:noWrap/>
            <w:vAlign w:val="bottom"/>
            <w:hideMark/>
          </w:tcPr>
          <w:p w:rsidR="00CC4CCA" w:rsidRPr="00F2275B" w:rsidRDefault="00CC4CCA" w:rsidP="00F2275B">
            <w:pPr>
              <w:jc w:val="right"/>
              <w:rPr>
                <w:b/>
                <w:sz w:val="20"/>
                <w:szCs w:val="20"/>
              </w:rPr>
            </w:pPr>
            <w:r w:rsidRPr="00F2275B">
              <w:rPr>
                <w:b/>
                <w:sz w:val="20"/>
                <w:szCs w:val="20"/>
              </w:rPr>
              <w:t xml:space="preserve">        853 </w:t>
            </w:r>
          </w:p>
        </w:tc>
      </w:tr>
      <w:tr w:rsidR="00CC4CCA" w:rsidTr="00F2275B">
        <w:trPr>
          <w:trHeight w:val="270"/>
        </w:trPr>
        <w:tc>
          <w:tcPr>
            <w:tcW w:w="0" w:type="auto"/>
            <w:tcBorders>
              <w:top w:val="nil"/>
              <w:left w:val="nil"/>
              <w:bottom w:val="nil"/>
              <w:right w:val="nil"/>
            </w:tcBorders>
            <w:shd w:val="clear" w:color="auto" w:fill="auto"/>
            <w:noWrap/>
            <w:vAlign w:val="bottom"/>
            <w:hideMark/>
          </w:tcPr>
          <w:p w:rsidR="00CC4CCA" w:rsidRDefault="00CC4CCA">
            <w:pPr>
              <w:rPr>
                <w:sz w:val="20"/>
                <w:szCs w:val="20"/>
              </w:rPr>
            </w:pPr>
            <w:r>
              <w:rPr>
                <w:sz w:val="20"/>
                <w:szCs w:val="20"/>
              </w:rPr>
              <w:t>Balance as of December 31, 2011</w:t>
            </w:r>
          </w:p>
        </w:tc>
        <w:tc>
          <w:tcPr>
            <w:tcW w:w="0" w:type="auto"/>
            <w:tcBorders>
              <w:top w:val="nil"/>
              <w:left w:val="nil"/>
              <w:bottom w:val="nil"/>
              <w:right w:val="nil"/>
            </w:tcBorders>
            <w:shd w:val="clear" w:color="auto" w:fill="auto"/>
            <w:noWrap/>
            <w:vAlign w:val="bottom"/>
            <w:hideMark/>
          </w:tcPr>
          <w:p w:rsidR="00CC4CCA" w:rsidRDefault="00CC4CCA">
            <w:pPr>
              <w:rPr>
                <w:sz w:val="20"/>
                <w:szCs w:val="20"/>
              </w:rPr>
            </w:pPr>
          </w:p>
        </w:tc>
        <w:tc>
          <w:tcPr>
            <w:tcW w:w="0" w:type="auto"/>
            <w:tcBorders>
              <w:top w:val="single" w:sz="4" w:space="0" w:color="auto"/>
              <w:left w:val="nil"/>
              <w:bottom w:val="double" w:sz="6" w:space="0" w:color="auto"/>
              <w:right w:val="nil"/>
            </w:tcBorders>
            <w:shd w:val="clear" w:color="auto" w:fill="auto"/>
            <w:noWrap/>
            <w:vAlign w:val="bottom"/>
            <w:hideMark/>
          </w:tcPr>
          <w:p w:rsidR="00CC4CCA" w:rsidRPr="00F2275B" w:rsidRDefault="00CC4CCA" w:rsidP="00F2275B">
            <w:pPr>
              <w:jc w:val="right"/>
              <w:rPr>
                <w:b/>
                <w:sz w:val="20"/>
                <w:szCs w:val="20"/>
              </w:rPr>
            </w:pPr>
            <w:r w:rsidRPr="00F2275B">
              <w:rPr>
                <w:b/>
                <w:sz w:val="20"/>
                <w:szCs w:val="20"/>
              </w:rPr>
              <w:t xml:space="preserve"> $4,483 </w:t>
            </w:r>
          </w:p>
        </w:tc>
      </w:tr>
    </w:tbl>
    <w:p w:rsidR="006E1512" w:rsidRDefault="006E1512">
      <w:pPr>
        <w:rPr>
          <w:color w:val="000000"/>
          <w:sz w:val="20"/>
        </w:rPr>
      </w:pPr>
    </w:p>
    <w:p w:rsidR="004851D7" w:rsidRDefault="00DF35A7">
      <w:pPr>
        <w:ind w:firstLine="720"/>
        <w:rPr>
          <w:color w:val="000000"/>
          <w:sz w:val="20"/>
        </w:rPr>
      </w:pPr>
      <w:r>
        <w:rPr>
          <w:color w:val="000000"/>
          <w:sz w:val="20"/>
        </w:rPr>
        <w:t>Goodwill as of December 31, 201</w:t>
      </w:r>
      <w:r w:rsidR="008A2C34">
        <w:rPr>
          <w:color w:val="000000"/>
          <w:sz w:val="20"/>
        </w:rPr>
        <w:t>0</w:t>
      </w:r>
      <w:r>
        <w:rPr>
          <w:color w:val="000000"/>
          <w:sz w:val="20"/>
        </w:rPr>
        <w:t xml:space="preserve"> was </w:t>
      </w:r>
      <w:r w:rsidR="004851D7">
        <w:rPr>
          <w:color w:val="000000"/>
          <w:sz w:val="20"/>
        </w:rPr>
        <w:t xml:space="preserve">$3,630,000 </w:t>
      </w:r>
      <w:r w:rsidR="00CC4CCA">
        <w:rPr>
          <w:color w:val="000000"/>
          <w:sz w:val="20"/>
        </w:rPr>
        <w:t xml:space="preserve">which </w:t>
      </w:r>
      <w:r w:rsidR="004851D7">
        <w:rPr>
          <w:color w:val="000000"/>
          <w:sz w:val="20"/>
        </w:rPr>
        <w:t xml:space="preserve">resulted from a reverse </w:t>
      </w:r>
      <w:r w:rsidR="004851D7">
        <w:rPr>
          <w:color w:val="000000"/>
          <w:sz w:val="20"/>
          <w:szCs w:val="20"/>
        </w:rPr>
        <w:t xml:space="preserve">merger in 2000. </w:t>
      </w:r>
      <w:r w:rsidR="00CC4CCA">
        <w:rPr>
          <w:color w:val="000000"/>
          <w:sz w:val="20"/>
          <w:szCs w:val="20"/>
        </w:rPr>
        <w:t xml:space="preserve">Additional goodwill in 2011 resulted from the purchase of Garritan Corporation and other </w:t>
      </w:r>
      <w:r w:rsidR="008A2C34">
        <w:rPr>
          <w:color w:val="000000"/>
          <w:sz w:val="20"/>
          <w:szCs w:val="20"/>
        </w:rPr>
        <w:t xml:space="preserve">asset </w:t>
      </w:r>
      <w:r w:rsidR="00CC4CCA">
        <w:rPr>
          <w:color w:val="000000"/>
          <w:sz w:val="20"/>
          <w:szCs w:val="20"/>
        </w:rPr>
        <w:t xml:space="preserve">acquisitions. </w:t>
      </w:r>
      <w:proofErr w:type="spellStart"/>
      <w:r w:rsidR="004851D7">
        <w:rPr>
          <w:color w:val="000000"/>
          <w:sz w:val="20"/>
          <w:szCs w:val="20"/>
        </w:rPr>
        <w:t>MakeMusic</w:t>
      </w:r>
      <w:proofErr w:type="spellEnd"/>
      <w:r w:rsidR="004851D7">
        <w:rPr>
          <w:color w:val="000000"/>
          <w:sz w:val="20"/>
          <w:szCs w:val="20"/>
        </w:rPr>
        <w:t xml:space="preserve"> has two reporting units</w:t>
      </w:r>
      <w:r w:rsidR="00BB59A8">
        <w:rPr>
          <w:color w:val="000000"/>
          <w:sz w:val="20"/>
          <w:szCs w:val="20"/>
        </w:rPr>
        <w:t xml:space="preserve"> and</w:t>
      </w:r>
      <w:r w:rsidR="004851D7">
        <w:rPr>
          <w:color w:val="000000"/>
          <w:sz w:val="20"/>
          <w:szCs w:val="20"/>
        </w:rPr>
        <w:t xml:space="preserve"> assigned all goodwill to the Notation reporting unit.</w:t>
      </w:r>
      <w:r w:rsidR="004851D7">
        <w:rPr>
          <w:color w:val="000000"/>
        </w:rPr>
        <w:t xml:space="preserve"> </w:t>
      </w:r>
      <w:r w:rsidR="004851D7">
        <w:rPr>
          <w:color w:val="000000"/>
          <w:sz w:val="20"/>
        </w:rPr>
        <w:t xml:space="preserve">On an annual basis, or more often if indicators of impairment exist, we evaluate goodwill to determine whether any impairment may have occurred. Our impairment analyses for years ended December 31, </w:t>
      </w:r>
      <w:r w:rsidR="00290E66">
        <w:rPr>
          <w:color w:val="000000"/>
          <w:sz w:val="20"/>
        </w:rPr>
        <w:t>2011</w:t>
      </w:r>
      <w:r w:rsidR="004851D7">
        <w:rPr>
          <w:color w:val="000000"/>
          <w:sz w:val="20"/>
        </w:rPr>
        <w:t xml:space="preserve">, and </w:t>
      </w:r>
      <w:r w:rsidR="00290E66">
        <w:rPr>
          <w:color w:val="000000"/>
          <w:sz w:val="20"/>
        </w:rPr>
        <w:t xml:space="preserve">2010 </w:t>
      </w:r>
      <w:r w:rsidR="004851D7">
        <w:rPr>
          <w:color w:val="000000"/>
          <w:sz w:val="20"/>
        </w:rPr>
        <w:t>indicated no impairment had occurred.</w:t>
      </w:r>
    </w:p>
    <w:p w:rsidR="004851D7" w:rsidRDefault="004851D7">
      <w:pPr>
        <w:ind w:left="360"/>
        <w:rPr>
          <w:b/>
          <w:bCs/>
          <w:color w:val="000000"/>
          <w:sz w:val="20"/>
        </w:rPr>
      </w:pPr>
      <w:r>
        <w:rPr>
          <w:color w:val="000000"/>
          <w:sz w:val="20"/>
        </w:rPr>
        <w:t xml:space="preserve"> </w:t>
      </w:r>
    </w:p>
    <w:p w:rsidR="004851D7" w:rsidRDefault="004851D7">
      <w:pPr>
        <w:rPr>
          <w:b/>
          <w:bCs/>
          <w:color w:val="000000"/>
          <w:sz w:val="20"/>
        </w:rPr>
      </w:pPr>
      <w:r>
        <w:rPr>
          <w:b/>
          <w:bCs/>
          <w:color w:val="000000"/>
          <w:sz w:val="20"/>
        </w:rPr>
        <w:t>Deferred Revenue</w:t>
      </w:r>
    </w:p>
    <w:p w:rsidR="004851D7" w:rsidRDefault="004851D7">
      <w:pPr>
        <w:rPr>
          <w:color w:val="000000"/>
          <w:sz w:val="20"/>
        </w:rPr>
      </w:pPr>
    </w:p>
    <w:p w:rsidR="004851D7" w:rsidRDefault="004851D7">
      <w:pPr>
        <w:rPr>
          <w:color w:val="000000"/>
          <w:sz w:val="20"/>
        </w:rPr>
      </w:pPr>
      <w:r>
        <w:rPr>
          <w:color w:val="000000"/>
          <w:sz w:val="20"/>
        </w:rPr>
        <w:tab/>
        <w:t xml:space="preserve">Deferred revenue is </w:t>
      </w:r>
      <w:r w:rsidR="002D1223">
        <w:rPr>
          <w:color w:val="000000"/>
          <w:sz w:val="20"/>
        </w:rPr>
        <w:t xml:space="preserve">primarily </w:t>
      </w:r>
      <w:r>
        <w:rPr>
          <w:color w:val="000000"/>
          <w:sz w:val="20"/>
        </w:rPr>
        <w:t xml:space="preserve">composed of the unearned portion of </w:t>
      </w:r>
      <w:proofErr w:type="spellStart"/>
      <w:r>
        <w:rPr>
          <w:color w:val="000000"/>
          <w:sz w:val="20"/>
        </w:rPr>
        <w:t>SmartMusic</w:t>
      </w:r>
      <w:proofErr w:type="spellEnd"/>
      <w:r>
        <w:rPr>
          <w:color w:val="000000"/>
          <w:sz w:val="20"/>
        </w:rPr>
        <w:t xml:space="preserve"> subscriptions lasting more than one month</w:t>
      </w:r>
      <w:r w:rsidR="002D1223">
        <w:rPr>
          <w:color w:val="000000"/>
          <w:sz w:val="20"/>
        </w:rPr>
        <w:t>,</w:t>
      </w:r>
      <w:r>
        <w:rPr>
          <w:color w:val="000000"/>
          <w:sz w:val="20"/>
        </w:rPr>
        <w:t xml:space="preserve"> deferrals of Finale notation revenue for free upgrades granted to customers purchasing Finale immediately prior to release of a new version, </w:t>
      </w:r>
      <w:r w:rsidR="002D1223">
        <w:rPr>
          <w:color w:val="000000"/>
          <w:sz w:val="20"/>
        </w:rPr>
        <w:t>and other deferred revenue and deposits,</w:t>
      </w:r>
      <w:r>
        <w:rPr>
          <w:color w:val="000000"/>
          <w:sz w:val="20"/>
        </w:rPr>
        <w:t xml:space="preserve"> as follows:</w:t>
      </w:r>
    </w:p>
    <w:p w:rsidR="004851D7" w:rsidRDefault="004851D7">
      <w:pPr>
        <w:rPr>
          <w:b/>
          <w:bCs/>
          <w:color w:val="000000"/>
          <w:sz w:val="20"/>
        </w:rPr>
      </w:pPr>
    </w:p>
    <w:tbl>
      <w:tblPr>
        <w:tblW w:w="5000" w:type="pct"/>
        <w:tblLook w:val="00A0" w:firstRow="1" w:lastRow="0" w:firstColumn="1" w:lastColumn="0" w:noHBand="0" w:noVBand="0"/>
      </w:tblPr>
      <w:tblGrid>
        <w:gridCol w:w="5802"/>
        <w:gridCol w:w="1917"/>
        <w:gridCol w:w="1915"/>
      </w:tblGrid>
      <w:tr w:rsidR="004851D7">
        <w:trPr>
          <w:trHeight w:val="270"/>
        </w:trPr>
        <w:tc>
          <w:tcPr>
            <w:tcW w:w="3011" w:type="pct"/>
            <w:tcBorders>
              <w:top w:val="nil"/>
              <w:left w:val="nil"/>
              <w:bottom w:val="nil"/>
              <w:right w:val="nil"/>
            </w:tcBorders>
          </w:tcPr>
          <w:p w:rsidR="004851D7" w:rsidRDefault="004851D7">
            <w:pPr>
              <w:rPr>
                <w:sz w:val="20"/>
                <w:szCs w:val="20"/>
              </w:rPr>
            </w:pPr>
          </w:p>
        </w:tc>
        <w:tc>
          <w:tcPr>
            <w:tcW w:w="1989" w:type="pct"/>
            <w:gridSpan w:val="2"/>
            <w:tcBorders>
              <w:top w:val="nil"/>
              <w:left w:val="nil"/>
              <w:bottom w:val="single" w:sz="8" w:space="0" w:color="auto"/>
              <w:right w:val="nil"/>
            </w:tcBorders>
          </w:tcPr>
          <w:p w:rsidR="004851D7" w:rsidRDefault="004851D7">
            <w:pPr>
              <w:jc w:val="center"/>
              <w:rPr>
                <w:b/>
                <w:bCs/>
                <w:sz w:val="20"/>
                <w:szCs w:val="20"/>
              </w:rPr>
            </w:pPr>
            <w:r>
              <w:rPr>
                <w:b/>
                <w:bCs/>
                <w:sz w:val="20"/>
                <w:szCs w:val="20"/>
              </w:rPr>
              <w:t>December 31,</w:t>
            </w:r>
          </w:p>
        </w:tc>
      </w:tr>
      <w:tr w:rsidR="004851D7">
        <w:trPr>
          <w:trHeight w:val="270"/>
        </w:trPr>
        <w:tc>
          <w:tcPr>
            <w:tcW w:w="3011" w:type="pct"/>
            <w:tcBorders>
              <w:top w:val="nil"/>
              <w:left w:val="nil"/>
              <w:bottom w:val="nil"/>
              <w:right w:val="nil"/>
            </w:tcBorders>
          </w:tcPr>
          <w:p w:rsidR="004851D7" w:rsidRDefault="004851D7">
            <w:pPr>
              <w:rPr>
                <w:sz w:val="20"/>
                <w:szCs w:val="20"/>
              </w:rPr>
            </w:pPr>
          </w:p>
        </w:tc>
        <w:tc>
          <w:tcPr>
            <w:tcW w:w="995" w:type="pct"/>
            <w:tcBorders>
              <w:top w:val="nil"/>
              <w:left w:val="nil"/>
              <w:bottom w:val="single" w:sz="8" w:space="0" w:color="auto"/>
              <w:right w:val="nil"/>
            </w:tcBorders>
          </w:tcPr>
          <w:p w:rsidR="004851D7" w:rsidRDefault="00366B07" w:rsidP="00223B45">
            <w:pPr>
              <w:jc w:val="center"/>
              <w:rPr>
                <w:b/>
                <w:bCs/>
                <w:sz w:val="20"/>
                <w:szCs w:val="20"/>
              </w:rPr>
            </w:pPr>
            <w:r>
              <w:rPr>
                <w:b/>
                <w:bCs/>
                <w:sz w:val="20"/>
                <w:szCs w:val="20"/>
              </w:rPr>
              <w:t>2011</w:t>
            </w:r>
          </w:p>
        </w:tc>
        <w:tc>
          <w:tcPr>
            <w:tcW w:w="994" w:type="pct"/>
            <w:tcBorders>
              <w:top w:val="nil"/>
              <w:left w:val="nil"/>
              <w:bottom w:val="single" w:sz="8" w:space="0" w:color="auto"/>
              <w:right w:val="nil"/>
            </w:tcBorders>
          </w:tcPr>
          <w:p w:rsidR="004851D7" w:rsidRDefault="00366B07" w:rsidP="00223B45">
            <w:pPr>
              <w:jc w:val="center"/>
              <w:rPr>
                <w:sz w:val="20"/>
                <w:szCs w:val="20"/>
              </w:rPr>
            </w:pPr>
            <w:r>
              <w:rPr>
                <w:sz w:val="20"/>
                <w:szCs w:val="20"/>
              </w:rPr>
              <w:t>2010</w:t>
            </w:r>
          </w:p>
        </w:tc>
      </w:tr>
      <w:tr w:rsidR="004851D7">
        <w:trPr>
          <w:trHeight w:val="263"/>
        </w:trPr>
        <w:tc>
          <w:tcPr>
            <w:tcW w:w="3011" w:type="pct"/>
            <w:tcBorders>
              <w:top w:val="nil"/>
              <w:left w:val="nil"/>
              <w:bottom w:val="nil"/>
              <w:right w:val="nil"/>
            </w:tcBorders>
          </w:tcPr>
          <w:p w:rsidR="004851D7" w:rsidRDefault="004851D7">
            <w:pPr>
              <w:rPr>
                <w:sz w:val="20"/>
                <w:szCs w:val="20"/>
              </w:rPr>
            </w:pPr>
          </w:p>
        </w:tc>
        <w:tc>
          <w:tcPr>
            <w:tcW w:w="1989" w:type="pct"/>
            <w:gridSpan w:val="2"/>
            <w:tcBorders>
              <w:top w:val="single" w:sz="8" w:space="0" w:color="auto"/>
              <w:left w:val="nil"/>
              <w:bottom w:val="nil"/>
              <w:right w:val="nil"/>
            </w:tcBorders>
          </w:tcPr>
          <w:p w:rsidR="004851D7" w:rsidRDefault="004851D7">
            <w:pPr>
              <w:jc w:val="center"/>
              <w:rPr>
                <w:i/>
                <w:iCs/>
                <w:sz w:val="20"/>
                <w:szCs w:val="20"/>
              </w:rPr>
            </w:pPr>
            <w:r>
              <w:rPr>
                <w:i/>
                <w:iCs/>
                <w:sz w:val="20"/>
                <w:szCs w:val="20"/>
              </w:rPr>
              <w:t>(In thousands)</w:t>
            </w:r>
          </w:p>
        </w:tc>
      </w:tr>
      <w:tr w:rsidR="004851D7">
        <w:trPr>
          <w:trHeight w:val="263"/>
        </w:trPr>
        <w:tc>
          <w:tcPr>
            <w:tcW w:w="3011" w:type="pct"/>
            <w:tcBorders>
              <w:top w:val="nil"/>
              <w:left w:val="nil"/>
              <w:bottom w:val="nil"/>
              <w:right w:val="nil"/>
            </w:tcBorders>
          </w:tcPr>
          <w:p w:rsidR="004851D7" w:rsidRDefault="004851D7">
            <w:pPr>
              <w:rPr>
                <w:sz w:val="20"/>
                <w:szCs w:val="20"/>
              </w:rPr>
            </w:pPr>
            <w:r>
              <w:rPr>
                <w:sz w:val="20"/>
                <w:szCs w:val="20"/>
              </w:rPr>
              <w:t xml:space="preserve">Deferred </w:t>
            </w:r>
            <w:proofErr w:type="spellStart"/>
            <w:r>
              <w:rPr>
                <w:sz w:val="20"/>
                <w:szCs w:val="20"/>
              </w:rPr>
              <w:t>SmartMusic</w:t>
            </w:r>
            <w:proofErr w:type="spellEnd"/>
            <w:r>
              <w:rPr>
                <w:sz w:val="20"/>
                <w:szCs w:val="20"/>
              </w:rPr>
              <w:t xml:space="preserve"> subscription revenue</w:t>
            </w:r>
            <w:r w:rsidR="00B14F8F">
              <w:rPr>
                <w:sz w:val="20"/>
                <w:szCs w:val="20"/>
              </w:rPr>
              <w:t>, current</w:t>
            </w:r>
          </w:p>
        </w:tc>
        <w:tc>
          <w:tcPr>
            <w:tcW w:w="995" w:type="pct"/>
            <w:tcBorders>
              <w:top w:val="nil"/>
              <w:left w:val="nil"/>
              <w:bottom w:val="nil"/>
              <w:right w:val="nil"/>
            </w:tcBorders>
          </w:tcPr>
          <w:p w:rsidR="004851D7" w:rsidRDefault="004851D7" w:rsidP="00163082">
            <w:pPr>
              <w:jc w:val="right"/>
              <w:rPr>
                <w:b/>
                <w:bCs/>
                <w:sz w:val="20"/>
                <w:szCs w:val="20"/>
              </w:rPr>
            </w:pPr>
            <w:r>
              <w:rPr>
                <w:b/>
                <w:bCs/>
                <w:sz w:val="20"/>
                <w:szCs w:val="20"/>
              </w:rPr>
              <w:t>$</w:t>
            </w:r>
            <w:r w:rsidR="000040CE">
              <w:rPr>
                <w:b/>
                <w:bCs/>
                <w:sz w:val="20"/>
                <w:szCs w:val="20"/>
              </w:rPr>
              <w:t>4,</w:t>
            </w:r>
            <w:r w:rsidR="00AF50C9">
              <w:rPr>
                <w:b/>
                <w:bCs/>
                <w:sz w:val="20"/>
                <w:szCs w:val="20"/>
              </w:rPr>
              <w:t xml:space="preserve">163 </w:t>
            </w:r>
          </w:p>
        </w:tc>
        <w:tc>
          <w:tcPr>
            <w:tcW w:w="994" w:type="pct"/>
            <w:tcBorders>
              <w:top w:val="nil"/>
              <w:left w:val="nil"/>
              <w:bottom w:val="nil"/>
              <w:right w:val="nil"/>
            </w:tcBorders>
          </w:tcPr>
          <w:p w:rsidR="004851D7" w:rsidRDefault="004851D7" w:rsidP="002A5898">
            <w:pPr>
              <w:jc w:val="right"/>
              <w:rPr>
                <w:sz w:val="20"/>
                <w:szCs w:val="20"/>
              </w:rPr>
            </w:pPr>
            <w:r>
              <w:rPr>
                <w:bCs/>
                <w:sz w:val="20"/>
                <w:szCs w:val="20"/>
              </w:rPr>
              <w:t>$</w:t>
            </w:r>
            <w:r w:rsidR="002A5898">
              <w:rPr>
                <w:bCs/>
                <w:sz w:val="20"/>
                <w:szCs w:val="20"/>
              </w:rPr>
              <w:t>3,537</w:t>
            </w:r>
            <w:r>
              <w:rPr>
                <w:bCs/>
                <w:sz w:val="20"/>
                <w:szCs w:val="20"/>
              </w:rPr>
              <w:t xml:space="preserve"> </w:t>
            </w:r>
          </w:p>
        </w:tc>
      </w:tr>
      <w:tr w:rsidR="004851D7">
        <w:trPr>
          <w:trHeight w:val="255"/>
        </w:trPr>
        <w:tc>
          <w:tcPr>
            <w:tcW w:w="3011" w:type="pct"/>
            <w:tcBorders>
              <w:top w:val="nil"/>
              <w:left w:val="nil"/>
              <w:bottom w:val="nil"/>
              <w:right w:val="nil"/>
            </w:tcBorders>
          </w:tcPr>
          <w:p w:rsidR="004851D7" w:rsidRDefault="004851D7">
            <w:pPr>
              <w:rPr>
                <w:sz w:val="20"/>
                <w:szCs w:val="20"/>
              </w:rPr>
            </w:pPr>
            <w:r>
              <w:rPr>
                <w:sz w:val="20"/>
                <w:szCs w:val="20"/>
              </w:rPr>
              <w:t xml:space="preserve">Deferred notation </w:t>
            </w:r>
            <w:r w:rsidR="000040CE">
              <w:rPr>
                <w:sz w:val="20"/>
                <w:szCs w:val="20"/>
              </w:rPr>
              <w:t xml:space="preserve">and other </w:t>
            </w:r>
            <w:r>
              <w:rPr>
                <w:sz w:val="20"/>
                <w:szCs w:val="20"/>
              </w:rPr>
              <w:t>revenue</w:t>
            </w:r>
          </w:p>
        </w:tc>
        <w:tc>
          <w:tcPr>
            <w:tcW w:w="995" w:type="pct"/>
            <w:tcBorders>
              <w:top w:val="nil"/>
              <w:left w:val="nil"/>
              <w:bottom w:val="nil"/>
              <w:right w:val="nil"/>
            </w:tcBorders>
          </w:tcPr>
          <w:p w:rsidR="004851D7" w:rsidRDefault="000040CE">
            <w:pPr>
              <w:jc w:val="right"/>
              <w:rPr>
                <w:b/>
                <w:bCs/>
                <w:sz w:val="20"/>
                <w:szCs w:val="20"/>
              </w:rPr>
            </w:pPr>
            <w:r>
              <w:rPr>
                <w:b/>
                <w:bCs/>
                <w:sz w:val="20"/>
                <w:szCs w:val="20"/>
              </w:rPr>
              <w:t>31</w:t>
            </w:r>
          </w:p>
        </w:tc>
        <w:tc>
          <w:tcPr>
            <w:tcW w:w="994" w:type="pct"/>
            <w:tcBorders>
              <w:top w:val="nil"/>
              <w:left w:val="nil"/>
              <w:bottom w:val="nil"/>
              <w:right w:val="nil"/>
            </w:tcBorders>
          </w:tcPr>
          <w:p w:rsidR="004851D7" w:rsidRDefault="002A5898" w:rsidP="002A5898">
            <w:pPr>
              <w:jc w:val="right"/>
              <w:rPr>
                <w:sz w:val="20"/>
                <w:szCs w:val="20"/>
              </w:rPr>
            </w:pPr>
            <w:r>
              <w:rPr>
                <w:bCs/>
                <w:sz w:val="20"/>
                <w:szCs w:val="20"/>
              </w:rPr>
              <w:t>28</w:t>
            </w:r>
          </w:p>
        </w:tc>
      </w:tr>
      <w:tr w:rsidR="00B14F8F" w:rsidTr="00B14F8F">
        <w:trPr>
          <w:trHeight w:val="270"/>
        </w:trPr>
        <w:tc>
          <w:tcPr>
            <w:tcW w:w="3011" w:type="pct"/>
            <w:tcBorders>
              <w:top w:val="nil"/>
              <w:left w:val="nil"/>
              <w:bottom w:val="nil"/>
              <w:right w:val="nil"/>
            </w:tcBorders>
          </w:tcPr>
          <w:p w:rsidR="00B14F8F" w:rsidRDefault="00B14F8F">
            <w:pPr>
              <w:rPr>
                <w:sz w:val="20"/>
                <w:szCs w:val="20"/>
              </w:rPr>
            </w:pPr>
            <w:r>
              <w:rPr>
                <w:sz w:val="20"/>
                <w:szCs w:val="20"/>
              </w:rPr>
              <w:t xml:space="preserve">Deposits </w:t>
            </w:r>
          </w:p>
        </w:tc>
        <w:tc>
          <w:tcPr>
            <w:tcW w:w="995" w:type="pct"/>
            <w:tcBorders>
              <w:top w:val="nil"/>
              <w:left w:val="nil"/>
              <w:bottom w:val="single" w:sz="8" w:space="0" w:color="auto"/>
              <w:right w:val="nil"/>
            </w:tcBorders>
          </w:tcPr>
          <w:p w:rsidR="00B14F8F" w:rsidRDefault="002A5898">
            <w:pPr>
              <w:jc w:val="right"/>
              <w:rPr>
                <w:b/>
                <w:bCs/>
                <w:sz w:val="20"/>
                <w:szCs w:val="20"/>
              </w:rPr>
            </w:pPr>
            <w:r>
              <w:rPr>
                <w:b/>
                <w:bCs/>
                <w:sz w:val="20"/>
                <w:szCs w:val="20"/>
              </w:rPr>
              <w:t>14</w:t>
            </w:r>
          </w:p>
        </w:tc>
        <w:tc>
          <w:tcPr>
            <w:tcW w:w="994" w:type="pct"/>
            <w:tcBorders>
              <w:top w:val="nil"/>
              <w:left w:val="nil"/>
              <w:bottom w:val="single" w:sz="8" w:space="0" w:color="auto"/>
              <w:right w:val="nil"/>
            </w:tcBorders>
          </w:tcPr>
          <w:p w:rsidR="00B14F8F" w:rsidRDefault="002A5898" w:rsidP="002A5898">
            <w:pPr>
              <w:jc w:val="right"/>
              <w:rPr>
                <w:bCs/>
                <w:sz w:val="20"/>
                <w:szCs w:val="20"/>
              </w:rPr>
            </w:pPr>
            <w:r>
              <w:rPr>
                <w:bCs/>
                <w:sz w:val="20"/>
                <w:szCs w:val="20"/>
              </w:rPr>
              <w:t>38</w:t>
            </w:r>
          </w:p>
        </w:tc>
      </w:tr>
      <w:tr w:rsidR="00B14F8F" w:rsidTr="00B14F8F">
        <w:trPr>
          <w:trHeight w:val="270"/>
        </w:trPr>
        <w:tc>
          <w:tcPr>
            <w:tcW w:w="3011" w:type="pct"/>
            <w:tcBorders>
              <w:top w:val="nil"/>
              <w:left w:val="nil"/>
              <w:bottom w:val="nil"/>
              <w:right w:val="nil"/>
            </w:tcBorders>
          </w:tcPr>
          <w:p w:rsidR="00B14F8F" w:rsidRDefault="00B14F8F">
            <w:pPr>
              <w:rPr>
                <w:sz w:val="20"/>
                <w:szCs w:val="20"/>
              </w:rPr>
            </w:pPr>
            <w:r>
              <w:rPr>
                <w:sz w:val="20"/>
                <w:szCs w:val="20"/>
              </w:rPr>
              <w:t>Current Deferred Revenue</w:t>
            </w:r>
          </w:p>
        </w:tc>
        <w:tc>
          <w:tcPr>
            <w:tcW w:w="995" w:type="pct"/>
            <w:tcBorders>
              <w:top w:val="single" w:sz="8" w:space="0" w:color="auto"/>
              <w:left w:val="nil"/>
              <w:right w:val="nil"/>
            </w:tcBorders>
          </w:tcPr>
          <w:p w:rsidR="00B14F8F" w:rsidRDefault="000040CE" w:rsidP="00163082">
            <w:pPr>
              <w:jc w:val="right"/>
              <w:rPr>
                <w:b/>
                <w:bCs/>
                <w:sz w:val="20"/>
                <w:szCs w:val="20"/>
              </w:rPr>
            </w:pPr>
            <w:r>
              <w:rPr>
                <w:b/>
                <w:bCs/>
                <w:sz w:val="20"/>
                <w:szCs w:val="20"/>
              </w:rPr>
              <w:t>4,</w:t>
            </w:r>
            <w:r w:rsidR="00AF50C9">
              <w:rPr>
                <w:b/>
                <w:bCs/>
                <w:sz w:val="20"/>
                <w:szCs w:val="20"/>
              </w:rPr>
              <w:t>208</w:t>
            </w:r>
          </w:p>
        </w:tc>
        <w:tc>
          <w:tcPr>
            <w:tcW w:w="994" w:type="pct"/>
            <w:tcBorders>
              <w:top w:val="single" w:sz="8" w:space="0" w:color="auto"/>
              <w:left w:val="nil"/>
              <w:right w:val="nil"/>
            </w:tcBorders>
          </w:tcPr>
          <w:p w:rsidR="00B14F8F" w:rsidRDefault="002A5898" w:rsidP="002A5898">
            <w:pPr>
              <w:jc w:val="right"/>
              <w:rPr>
                <w:bCs/>
                <w:sz w:val="20"/>
                <w:szCs w:val="20"/>
              </w:rPr>
            </w:pPr>
            <w:r>
              <w:rPr>
                <w:bCs/>
                <w:sz w:val="20"/>
                <w:szCs w:val="20"/>
              </w:rPr>
              <w:t>3,603</w:t>
            </w:r>
          </w:p>
        </w:tc>
      </w:tr>
      <w:tr w:rsidR="004851D7">
        <w:trPr>
          <w:trHeight w:val="270"/>
        </w:trPr>
        <w:tc>
          <w:tcPr>
            <w:tcW w:w="3011" w:type="pct"/>
            <w:tcBorders>
              <w:top w:val="nil"/>
              <w:left w:val="nil"/>
              <w:bottom w:val="nil"/>
              <w:right w:val="nil"/>
            </w:tcBorders>
          </w:tcPr>
          <w:p w:rsidR="004851D7" w:rsidRDefault="00B14F8F">
            <w:pPr>
              <w:rPr>
                <w:sz w:val="20"/>
                <w:szCs w:val="20"/>
              </w:rPr>
            </w:pPr>
            <w:r>
              <w:rPr>
                <w:sz w:val="20"/>
                <w:szCs w:val="20"/>
              </w:rPr>
              <w:t xml:space="preserve">Deferred </w:t>
            </w:r>
            <w:proofErr w:type="spellStart"/>
            <w:r>
              <w:rPr>
                <w:sz w:val="20"/>
                <w:szCs w:val="20"/>
              </w:rPr>
              <w:t>SmartMusic</w:t>
            </w:r>
            <w:proofErr w:type="spellEnd"/>
            <w:r>
              <w:rPr>
                <w:sz w:val="20"/>
                <w:szCs w:val="20"/>
              </w:rPr>
              <w:t xml:space="preserve"> subscription revenue, long-term</w:t>
            </w:r>
          </w:p>
        </w:tc>
        <w:tc>
          <w:tcPr>
            <w:tcW w:w="995" w:type="pct"/>
            <w:tcBorders>
              <w:top w:val="nil"/>
              <w:left w:val="nil"/>
              <w:bottom w:val="single" w:sz="8" w:space="0" w:color="auto"/>
              <w:right w:val="nil"/>
            </w:tcBorders>
          </w:tcPr>
          <w:p w:rsidR="004851D7" w:rsidRDefault="002A5898">
            <w:pPr>
              <w:jc w:val="right"/>
              <w:rPr>
                <w:b/>
                <w:bCs/>
                <w:sz w:val="20"/>
                <w:szCs w:val="20"/>
              </w:rPr>
            </w:pPr>
            <w:r>
              <w:rPr>
                <w:b/>
                <w:bCs/>
                <w:sz w:val="20"/>
                <w:szCs w:val="20"/>
              </w:rPr>
              <w:t>123</w:t>
            </w:r>
          </w:p>
        </w:tc>
        <w:tc>
          <w:tcPr>
            <w:tcW w:w="994" w:type="pct"/>
            <w:tcBorders>
              <w:top w:val="nil"/>
              <w:left w:val="nil"/>
              <w:bottom w:val="single" w:sz="8" w:space="0" w:color="auto"/>
              <w:right w:val="nil"/>
            </w:tcBorders>
          </w:tcPr>
          <w:p w:rsidR="004851D7" w:rsidRDefault="002A5898" w:rsidP="002A5898">
            <w:pPr>
              <w:jc w:val="right"/>
              <w:rPr>
                <w:sz w:val="20"/>
                <w:szCs w:val="20"/>
              </w:rPr>
            </w:pPr>
            <w:r>
              <w:rPr>
                <w:bCs/>
                <w:sz w:val="20"/>
                <w:szCs w:val="20"/>
              </w:rPr>
              <w:t>96</w:t>
            </w:r>
          </w:p>
        </w:tc>
      </w:tr>
      <w:tr w:rsidR="004851D7">
        <w:trPr>
          <w:trHeight w:val="270"/>
        </w:trPr>
        <w:tc>
          <w:tcPr>
            <w:tcW w:w="3011" w:type="pct"/>
            <w:tcBorders>
              <w:top w:val="nil"/>
              <w:left w:val="nil"/>
              <w:bottom w:val="nil"/>
              <w:right w:val="nil"/>
            </w:tcBorders>
          </w:tcPr>
          <w:p w:rsidR="004851D7" w:rsidRDefault="004851D7">
            <w:pPr>
              <w:rPr>
                <w:sz w:val="20"/>
                <w:szCs w:val="20"/>
              </w:rPr>
            </w:pPr>
          </w:p>
        </w:tc>
        <w:tc>
          <w:tcPr>
            <w:tcW w:w="995" w:type="pct"/>
            <w:tcBorders>
              <w:top w:val="nil"/>
              <w:left w:val="nil"/>
              <w:bottom w:val="double" w:sz="6" w:space="0" w:color="auto"/>
              <w:right w:val="nil"/>
            </w:tcBorders>
          </w:tcPr>
          <w:p w:rsidR="004851D7" w:rsidRDefault="004851D7" w:rsidP="00163082">
            <w:pPr>
              <w:jc w:val="right"/>
              <w:rPr>
                <w:b/>
                <w:bCs/>
                <w:sz w:val="20"/>
                <w:szCs w:val="20"/>
              </w:rPr>
            </w:pPr>
            <w:r>
              <w:rPr>
                <w:b/>
                <w:bCs/>
                <w:sz w:val="20"/>
                <w:szCs w:val="20"/>
              </w:rPr>
              <w:t>$</w:t>
            </w:r>
            <w:r w:rsidR="000040CE">
              <w:rPr>
                <w:b/>
                <w:bCs/>
                <w:sz w:val="20"/>
                <w:szCs w:val="20"/>
              </w:rPr>
              <w:t>4,</w:t>
            </w:r>
            <w:r w:rsidR="00AF50C9">
              <w:rPr>
                <w:b/>
                <w:bCs/>
                <w:sz w:val="20"/>
                <w:szCs w:val="20"/>
              </w:rPr>
              <w:t xml:space="preserve">331 </w:t>
            </w:r>
          </w:p>
        </w:tc>
        <w:tc>
          <w:tcPr>
            <w:tcW w:w="994" w:type="pct"/>
            <w:tcBorders>
              <w:top w:val="nil"/>
              <w:left w:val="nil"/>
              <w:bottom w:val="double" w:sz="6" w:space="0" w:color="auto"/>
              <w:right w:val="nil"/>
            </w:tcBorders>
          </w:tcPr>
          <w:p w:rsidR="004851D7" w:rsidRDefault="004851D7" w:rsidP="002A5898">
            <w:pPr>
              <w:jc w:val="right"/>
              <w:rPr>
                <w:sz w:val="20"/>
                <w:szCs w:val="20"/>
              </w:rPr>
            </w:pPr>
            <w:r>
              <w:rPr>
                <w:bCs/>
                <w:sz w:val="20"/>
                <w:szCs w:val="20"/>
              </w:rPr>
              <w:t>$</w:t>
            </w:r>
            <w:r w:rsidR="002A5898">
              <w:rPr>
                <w:bCs/>
                <w:sz w:val="20"/>
                <w:szCs w:val="20"/>
              </w:rPr>
              <w:t>3,699</w:t>
            </w:r>
            <w:r>
              <w:rPr>
                <w:bCs/>
                <w:sz w:val="20"/>
                <w:szCs w:val="20"/>
              </w:rPr>
              <w:t xml:space="preserve"> </w:t>
            </w:r>
          </w:p>
        </w:tc>
      </w:tr>
    </w:tbl>
    <w:p w:rsidR="00095858" w:rsidRDefault="00095858" w:rsidP="00095858">
      <w:pPr>
        <w:rPr>
          <w:color w:val="000000"/>
          <w:sz w:val="20"/>
        </w:rPr>
      </w:pPr>
    </w:p>
    <w:p w:rsidR="00095858" w:rsidRDefault="00095858" w:rsidP="00095858">
      <w:pPr>
        <w:rPr>
          <w:color w:val="000000"/>
          <w:sz w:val="20"/>
        </w:rPr>
      </w:pPr>
    </w:p>
    <w:p w:rsidR="00095858" w:rsidRDefault="00095858" w:rsidP="00095858">
      <w:pPr>
        <w:rPr>
          <w:color w:val="000000"/>
          <w:sz w:val="20"/>
        </w:rPr>
      </w:pPr>
    </w:p>
    <w:p w:rsidR="00095858" w:rsidRDefault="00095858" w:rsidP="0039741E">
      <w:pPr>
        <w:rPr>
          <w:b/>
          <w:bCs/>
          <w:color w:val="000000"/>
          <w:sz w:val="20"/>
        </w:rPr>
      </w:pPr>
    </w:p>
    <w:p w:rsidR="00095858" w:rsidRDefault="00095858" w:rsidP="0039741E">
      <w:pPr>
        <w:rPr>
          <w:b/>
          <w:bCs/>
          <w:color w:val="000000"/>
          <w:sz w:val="20"/>
        </w:rPr>
      </w:pPr>
    </w:p>
    <w:p w:rsidR="00095858" w:rsidRPr="0039741E" w:rsidRDefault="00095858" w:rsidP="0039741E">
      <w:pPr>
        <w:pStyle w:val="ListParagraph"/>
        <w:numPr>
          <w:ilvl w:val="0"/>
          <w:numId w:val="23"/>
        </w:numPr>
        <w:rPr>
          <w:b/>
          <w:bCs/>
          <w:color w:val="000000"/>
          <w:sz w:val="20"/>
        </w:rPr>
      </w:pPr>
      <w:r w:rsidRPr="0039741E">
        <w:rPr>
          <w:b/>
          <w:bCs/>
          <w:color w:val="000000"/>
          <w:sz w:val="20"/>
        </w:rPr>
        <w:t>Supplemental Balance Sheet Information (Continued)</w:t>
      </w:r>
    </w:p>
    <w:p w:rsidR="007E12DD" w:rsidRDefault="007E12DD">
      <w:pPr>
        <w:rPr>
          <w:b/>
          <w:bCs/>
          <w:color w:val="000000"/>
          <w:sz w:val="20"/>
        </w:rPr>
      </w:pPr>
    </w:p>
    <w:p w:rsidR="004851D7" w:rsidRDefault="004851D7">
      <w:pPr>
        <w:rPr>
          <w:b/>
          <w:bCs/>
          <w:color w:val="000000"/>
          <w:sz w:val="20"/>
        </w:rPr>
      </w:pPr>
      <w:r>
        <w:rPr>
          <w:b/>
          <w:bCs/>
          <w:color w:val="000000"/>
          <w:sz w:val="20"/>
        </w:rPr>
        <w:t xml:space="preserve">Other Accrued </w:t>
      </w:r>
      <w:r w:rsidR="00CC423E">
        <w:rPr>
          <w:b/>
          <w:bCs/>
          <w:color w:val="000000"/>
          <w:sz w:val="20"/>
        </w:rPr>
        <w:t>Expenses</w:t>
      </w:r>
    </w:p>
    <w:p w:rsidR="004851D7" w:rsidRDefault="004851D7">
      <w:pPr>
        <w:rPr>
          <w:color w:val="000000"/>
          <w:sz w:val="20"/>
        </w:rPr>
      </w:pPr>
    </w:p>
    <w:p w:rsidR="004851D7" w:rsidRDefault="004851D7">
      <w:pPr>
        <w:ind w:firstLine="720"/>
        <w:rPr>
          <w:color w:val="000000"/>
          <w:sz w:val="20"/>
        </w:rPr>
      </w:pPr>
      <w:r>
        <w:rPr>
          <w:color w:val="000000"/>
          <w:sz w:val="20"/>
        </w:rPr>
        <w:t xml:space="preserve">Other accrued </w:t>
      </w:r>
      <w:r w:rsidR="00095858">
        <w:rPr>
          <w:color w:val="000000"/>
          <w:sz w:val="20"/>
        </w:rPr>
        <w:t xml:space="preserve">expenses </w:t>
      </w:r>
      <w:r>
        <w:rPr>
          <w:color w:val="000000"/>
          <w:sz w:val="20"/>
        </w:rPr>
        <w:t>are composed of accrued royalties and other miscellaneous accrued expenses as follows:</w:t>
      </w:r>
    </w:p>
    <w:p w:rsidR="004851D7" w:rsidRDefault="004851D7">
      <w:pPr>
        <w:rPr>
          <w:color w:val="000000"/>
          <w:sz w:val="20"/>
        </w:rPr>
      </w:pPr>
    </w:p>
    <w:tbl>
      <w:tblPr>
        <w:tblW w:w="5000" w:type="pct"/>
        <w:tblLook w:val="00A0" w:firstRow="1" w:lastRow="0" w:firstColumn="1" w:lastColumn="0" w:noHBand="0" w:noVBand="0"/>
      </w:tblPr>
      <w:tblGrid>
        <w:gridCol w:w="5802"/>
        <w:gridCol w:w="1917"/>
        <w:gridCol w:w="1915"/>
      </w:tblGrid>
      <w:tr w:rsidR="004851D7">
        <w:trPr>
          <w:trHeight w:val="270"/>
        </w:trPr>
        <w:tc>
          <w:tcPr>
            <w:tcW w:w="3011" w:type="pct"/>
            <w:tcBorders>
              <w:top w:val="nil"/>
              <w:left w:val="nil"/>
              <w:bottom w:val="nil"/>
              <w:right w:val="nil"/>
            </w:tcBorders>
          </w:tcPr>
          <w:p w:rsidR="004851D7" w:rsidRDefault="004851D7">
            <w:pPr>
              <w:rPr>
                <w:sz w:val="20"/>
                <w:szCs w:val="20"/>
              </w:rPr>
            </w:pPr>
          </w:p>
        </w:tc>
        <w:tc>
          <w:tcPr>
            <w:tcW w:w="1989" w:type="pct"/>
            <w:gridSpan w:val="2"/>
            <w:tcBorders>
              <w:top w:val="nil"/>
              <w:left w:val="nil"/>
              <w:bottom w:val="single" w:sz="8" w:space="0" w:color="auto"/>
              <w:right w:val="nil"/>
            </w:tcBorders>
          </w:tcPr>
          <w:p w:rsidR="004851D7" w:rsidRDefault="004851D7">
            <w:pPr>
              <w:jc w:val="center"/>
              <w:rPr>
                <w:b/>
                <w:bCs/>
                <w:sz w:val="20"/>
                <w:szCs w:val="20"/>
              </w:rPr>
            </w:pPr>
            <w:r>
              <w:rPr>
                <w:b/>
                <w:bCs/>
                <w:sz w:val="20"/>
                <w:szCs w:val="20"/>
              </w:rPr>
              <w:t>December 31,</w:t>
            </w:r>
          </w:p>
        </w:tc>
      </w:tr>
      <w:tr w:rsidR="004851D7">
        <w:trPr>
          <w:trHeight w:val="270"/>
        </w:trPr>
        <w:tc>
          <w:tcPr>
            <w:tcW w:w="3011" w:type="pct"/>
            <w:tcBorders>
              <w:top w:val="nil"/>
              <w:left w:val="nil"/>
              <w:bottom w:val="nil"/>
              <w:right w:val="nil"/>
            </w:tcBorders>
          </w:tcPr>
          <w:p w:rsidR="004851D7" w:rsidRDefault="004851D7">
            <w:pPr>
              <w:rPr>
                <w:sz w:val="20"/>
                <w:szCs w:val="20"/>
              </w:rPr>
            </w:pPr>
          </w:p>
        </w:tc>
        <w:tc>
          <w:tcPr>
            <w:tcW w:w="995" w:type="pct"/>
            <w:tcBorders>
              <w:top w:val="nil"/>
              <w:left w:val="nil"/>
              <w:bottom w:val="single" w:sz="8" w:space="0" w:color="auto"/>
              <w:right w:val="nil"/>
            </w:tcBorders>
          </w:tcPr>
          <w:p w:rsidR="004851D7" w:rsidRDefault="00366B07" w:rsidP="00223B45">
            <w:pPr>
              <w:jc w:val="center"/>
              <w:rPr>
                <w:b/>
                <w:bCs/>
                <w:sz w:val="20"/>
                <w:szCs w:val="20"/>
              </w:rPr>
            </w:pPr>
            <w:r>
              <w:rPr>
                <w:b/>
                <w:bCs/>
                <w:sz w:val="20"/>
                <w:szCs w:val="20"/>
              </w:rPr>
              <w:t>2011</w:t>
            </w:r>
          </w:p>
        </w:tc>
        <w:tc>
          <w:tcPr>
            <w:tcW w:w="995" w:type="pct"/>
            <w:tcBorders>
              <w:top w:val="nil"/>
              <w:left w:val="nil"/>
              <w:bottom w:val="single" w:sz="8" w:space="0" w:color="auto"/>
              <w:right w:val="nil"/>
            </w:tcBorders>
          </w:tcPr>
          <w:p w:rsidR="004851D7" w:rsidRDefault="00366B07" w:rsidP="00223B45">
            <w:pPr>
              <w:jc w:val="center"/>
              <w:rPr>
                <w:b/>
                <w:bCs/>
                <w:sz w:val="20"/>
                <w:szCs w:val="20"/>
              </w:rPr>
            </w:pPr>
            <w:r>
              <w:rPr>
                <w:b/>
                <w:bCs/>
                <w:sz w:val="20"/>
                <w:szCs w:val="20"/>
              </w:rPr>
              <w:t>2010</w:t>
            </w:r>
          </w:p>
        </w:tc>
      </w:tr>
      <w:tr w:rsidR="004851D7">
        <w:trPr>
          <w:trHeight w:val="263"/>
        </w:trPr>
        <w:tc>
          <w:tcPr>
            <w:tcW w:w="3011" w:type="pct"/>
            <w:tcBorders>
              <w:top w:val="nil"/>
              <w:left w:val="nil"/>
              <w:bottom w:val="nil"/>
              <w:right w:val="nil"/>
            </w:tcBorders>
          </w:tcPr>
          <w:p w:rsidR="004851D7" w:rsidRDefault="004851D7">
            <w:pPr>
              <w:rPr>
                <w:sz w:val="20"/>
                <w:szCs w:val="20"/>
              </w:rPr>
            </w:pPr>
          </w:p>
        </w:tc>
        <w:tc>
          <w:tcPr>
            <w:tcW w:w="1989" w:type="pct"/>
            <w:gridSpan w:val="2"/>
            <w:tcBorders>
              <w:top w:val="single" w:sz="8" w:space="0" w:color="auto"/>
              <w:left w:val="nil"/>
              <w:bottom w:val="nil"/>
              <w:right w:val="nil"/>
            </w:tcBorders>
          </w:tcPr>
          <w:p w:rsidR="004851D7" w:rsidRDefault="004851D7">
            <w:pPr>
              <w:jc w:val="center"/>
              <w:rPr>
                <w:i/>
                <w:iCs/>
                <w:sz w:val="20"/>
                <w:szCs w:val="20"/>
              </w:rPr>
            </w:pPr>
            <w:r>
              <w:rPr>
                <w:i/>
                <w:iCs/>
                <w:sz w:val="20"/>
                <w:szCs w:val="20"/>
              </w:rPr>
              <w:t>(In thousands)</w:t>
            </w:r>
          </w:p>
        </w:tc>
      </w:tr>
      <w:tr w:rsidR="004851D7">
        <w:trPr>
          <w:trHeight w:val="255"/>
        </w:trPr>
        <w:tc>
          <w:tcPr>
            <w:tcW w:w="3011" w:type="pct"/>
            <w:tcBorders>
              <w:top w:val="nil"/>
              <w:left w:val="nil"/>
              <w:bottom w:val="nil"/>
              <w:right w:val="nil"/>
            </w:tcBorders>
          </w:tcPr>
          <w:p w:rsidR="004851D7" w:rsidRDefault="004851D7">
            <w:pPr>
              <w:rPr>
                <w:sz w:val="20"/>
                <w:szCs w:val="20"/>
              </w:rPr>
            </w:pPr>
            <w:r>
              <w:rPr>
                <w:sz w:val="20"/>
                <w:szCs w:val="20"/>
              </w:rPr>
              <w:t>Accrued royalties</w:t>
            </w:r>
          </w:p>
        </w:tc>
        <w:tc>
          <w:tcPr>
            <w:tcW w:w="995" w:type="pct"/>
            <w:tcBorders>
              <w:top w:val="nil"/>
              <w:left w:val="nil"/>
              <w:bottom w:val="nil"/>
              <w:right w:val="nil"/>
            </w:tcBorders>
          </w:tcPr>
          <w:p w:rsidR="004851D7" w:rsidRDefault="004851D7" w:rsidP="000040CE">
            <w:pPr>
              <w:jc w:val="right"/>
              <w:rPr>
                <w:b/>
                <w:bCs/>
                <w:sz w:val="20"/>
                <w:szCs w:val="20"/>
              </w:rPr>
            </w:pPr>
            <w:r>
              <w:rPr>
                <w:b/>
                <w:bCs/>
                <w:sz w:val="20"/>
                <w:szCs w:val="20"/>
              </w:rPr>
              <w:t>$</w:t>
            </w:r>
            <w:r w:rsidR="000040CE">
              <w:rPr>
                <w:b/>
                <w:bCs/>
                <w:sz w:val="20"/>
                <w:szCs w:val="20"/>
              </w:rPr>
              <w:t>125</w:t>
            </w:r>
          </w:p>
        </w:tc>
        <w:tc>
          <w:tcPr>
            <w:tcW w:w="995" w:type="pct"/>
            <w:tcBorders>
              <w:top w:val="nil"/>
              <w:left w:val="nil"/>
              <w:bottom w:val="nil"/>
              <w:right w:val="nil"/>
            </w:tcBorders>
          </w:tcPr>
          <w:p w:rsidR="004851D7" w:rsidRDefault="004851D7" w:rsidP="002A5898">
            <w:pPr>
              <w:jc w:val="right"/>
              <w:rPr>
                <w:sz w:val="20"/>
                <w:szCs w:val="20"/>
              </w:rPr>
            </w:pPr>
            <w:r>
              <w:rPr>
                <w:sz w:val="20"/>
                <w:szCs w:val="20"/>
              </w:rPr>
              <w:t>$</w:t>
            </w:r>
            <w:r w:rsidR="002A5898">
              <w:rPr>
                <w:sz w:val="20"/>
                <w:szCs w:val="20"/>
              </w:rPr>
              <w:t>119</w:t>
            </w:r>
            <w:r w:rsidR="00366B07">
              <w:rPr>
                <w:sz w:val="20"/>
                <w:szCs w:val="20"/>
              </w:rPr>
              <w:t xml:space="preserve"> </w:t>
            </w:r>
          </w:p>
        </w:tc>
      </w:tr>
      <w:tr w:rsidR="004851D7">
        <w:trPr>
          <w:trHeight w:val="270"/>
        </w:trPr>
        <w:tc>
          <w:tcPr>
            <w:tcW w:w="3011" w:type="pct"/>
            <w:tcBorders>
              <w:top w:val="nil"/>
              <w:left w:val="nil"/>
              <w:bottom w:val="nil"/>
              <w:right w:val="nil"/>
            </w:tcBorders>
          </w:tcPr>
          <w:p w:rsidR="004851D7" w:rsidRDefault="00930695">
            <w:pPr>
              <w:rPr>
                <w:sz w:val="20"/>
                <w:szCs w:val="20"/>
              </w:rPr>
            </w:pPr>
            <w:r>
              <w:rPr>
                <w:sz w:val="20"/>
                <w:szCs w:val="20"/>
              </w:rPr>
              <w:t>Other</w:t>
            </w:r>
          </w:p>
        </w:tc>
        <w:tc>
          <w:tcPr>
            <w:tcW w:w="995" w:type="pct"/>
            <w:tcBorders>
              <w:top w:val="nil"/>
              <w:left w:val="nil"/>
              <w:bottom w:val="single" w:sz="8" w:space="0" w:color="auto"/>
              <w:right w:val="nil"/>
            </w:tcBorders>
          </w:tcPr>
          <w:p w:rsidR="004851D7" w:rsidRDefault="00E349D9" w:rsidP="00E349D9">
            <w:pPr>
              <w:jc w:val="right"/>
              <w:rPr>
                <w:b/>
                <w:bCs/>
                <w:sz w:val="20"/>
                <w:szCs w:val="20"/>
              </w:rPr>
            </w:pPr>
            <w:r>
              <w:rPr>
                <w:b/>
                <w:bCs/>
                <w:sz w:val="20"/>
                <w:szCs w:val="20"/>
              </w:rPr>
              <w:t>383</w:t>
            </w:r>
          </w:p>
        </w:tc>
        <w:tc>
          <w:tcPr>
            <w:tcW w:w="995" w:type="pct"/>
            <w:tcBorders>
              <w:top w:val="nil"/>
              <w:left w:val="nil"/>
              <w:bottom w:val="single" w:sz="8" w:space="0" w:color="auto"/>
              <w:right w:val="nil"/>
            </w:tcBorders>
          </w:tcPr>
          <w:p w:rsidR="004851D7" w:rsidRDefault="002A5898" w:rsidP="00223B45">
            <w:pPr>
              <w:jc w:val="right"/>
              <w:rPr>
                <w:sz w:val="20"/>
                <w:szCs w:val="20"/>
              </w:rPr>
            </w:pPr>
            <w:r>
              <w:rPr>
                <w:sz w:val="20"/>
                <w:szCs w:val="20"/>
              </w:rPr>
              <w:t>188</w:t>
            </w:r>
          </w:p>
        </w:tc>
      </w:tr>
      <w:tr w:rsidR="004851D7">
        <w:trPr>
          <w:trHeight w:val="270"/>
        </w:trPr>
        <w:tc>
          <w:tcPr>
            <w:tcW w:w="3011" w:type="pct"/>
            <w:tcBorders>
              <w:top w:val="nil"/>
              <w:left w:val="nil"/>
              <w:bottom w:val="nil"/>
              <w:right w:val="nil"/>
            </w:tcBorders>
          </w:tcPr>
          <w:p w:rsidR="004851D7" w:rsidRDefault="004851D7">
            <w:pPr>
              <w:rPr>
                <w:sz w:val="20"/>
                <w:szCs w:val="20"/>
              </w:rPr>
            </w:pPr>
          </w:p>
        </w:tc>
        <w:tc>
          <w:tcPr>
            <w:tcW w:w="995" w:type="pct"/>
            <w:tcBorders>
              <w:top w:val="nil"/>
              <w:left w:val="nil"/>
              <w:bottom w:val="double" w:sz="6" w:space="0" w:color="auto"/>
              <w:right w:val="nil"/>
            </w:tcBorders>
          </w:tcPr>
          <w:p w:rsidR="004851D7" w:rsidRDefault="004851D7" w:rsidP="00E349D9">
            <w:pPr>
              <w:jc w:val="right"/>
              <w:rPr>
                <w:b/>
                <w:bCs/>
                <w:sz w:val="20"/>
                <w:szCs w:val="20"/>
              </w:rPr>
            </w:pPr>
            <w:r>
              <w:rPr>
                <w:b/>
                <w:bCs/>
                <w:sz w:val="20"/>
                <w:szCs w:val="20"/>
              </w:rPr>
              <w:t>$</w:t>
            </w:r>
            <w:r w:rsidR="00E349D9">
              <w:rPr>
                <w:b/>
                <w:bCs/>
                <w:sz w:val="20"/>
                <w:szCs w:val="20"/>
              </w:rPr>
              <w:t>508</w:t>
            </w:r>
          </w:p>
        </w:tc>
        <w:tc>
          <w:tcPr>
            <w:tcW w:w="995" w:type="pct"/>
            <w:tcBorders>
              <w:top w:val="nil"/>
              <w:left w:val="nil"/>
              <w:bottom w:val="double" w:sz="6" w:space="0" w:color="auto"/>
              <w:right w:val="nil"/>
            </w:tcBorders>
          </w:tcPr>
          <w:p w:rsidR="004851D7" w:rsidRDefault="004851D7" w:rsidP="002A5898">
            <w:pPr>
              <w:jc w:val="right"/>
              <w:rPr>
                <w:sz w:val="20"/>
                <w:szCs w:val="20"/>
              </w:rPr>
            </w:pPr>
            <w:r>
              <w:rPr>
                <w:sz w:val="20"/>
                <w:szCs w:val="20"/>
              </w:rPr>
              <w:t>$</w:t>
            </w:r>
            <w:r w:rsidR="002A5898">
              <w:rPr>
                <w:sz w:val="20"/>
                <w:szCs w:val="20"/>
              </w:rPr>
              <w:t>307</w:t>
            </w:r>
          </w:p>
        </w:tc>
      </w:tr>
    </w:tbl>
    <w:p w:rsidR="004851D7" w:rsidRDefault="004851D7">
      <w:pPr>
        <w:rPr>
          <w:b/>
          <w:bCs/>
          <w:color w:val="000000"/>
          <w:sz w:val="20"/>
        </w:rPr>
      </w:pPr>
    </w:p>
    <w:p w:rsidR="004851D7" w:rsidRDefault="004851D7">
      <w:pPr>
        <w:rPr>
          <w:b/>
          <w:bCs/>
          <w:color w:val="000000"/>
          <w:sz w:val="20"/>
        </w:rPr>
      </w:pPr>
      <w:r>
        <w:rPr>
          <w:b/>
          <w:bCs/>
          <w:color w:val="000000"/>
          <w:sz w:val="20"/>
        </w:rPr>
        <w:t>5.  Shareholders’ Equity</w:t>
      </w:r>
    </w:p>
    <w:p w:rsidR="004851D7" w:rsidRDefault="004851D7">
      <w:pPr>
        <w:rPr>
          <w:color w:val="000000"/>
          <w:sz w:val="20"/>
        </w:rPr>
      </w:pPr>
    </w:p>
    <w:p w:rsidR="004851D7" w:rsidRDefault="004851D7">
      <w:pPr>
        <w:rPr>
          <w:b/>
          <w:bCs/>
          <w:color w:val="000000"/>
          <w:sz w:val="20"/>
        </w:rPr>
      </w:pPr>
      <w:r>
        <w:rPr>
          <w:b/>
          <w:bCs/>
          <w:color w:val="000000"/>
          <w:sz w:val="20"/>
        </w:rPr>
        <w:t>Stock Options and Warrants</w:t>
      </w:r>
    </w:p>
    <w:p w:rsidR="004851D7" w:rsidRDefault="004851D7">
      <w:pPr>
        <w:rPr>
          <w:b/>
          <w:bCs/>
          <w:color w:val="000000"/>
          <w:sz w:val="20"/>
        </w:rPr>
      </w:pPr>
    </w:p>
    <w:p w:rsidR="004851D7" w:rsidRDefault="004851D7">
      <w:pPr>
        <w:rPr>
          <w:color w:val="000000"/>
          <w:sz w:val="20"/>
          <w:szCs w:val="20"/>
        </w:rPr>
      </w:pPr>
      <w:r>
        <w:rPr>
          <w:color w:val="000000"/>
          <w:sz w:val="20"/>
        </w:rPr>
        <w:tab/>
      </w:r>
      <w:proofErr w:type="spellStart"/>
      <w:r>
        <w:rPr>
          <w:color w:val="000000"/>
          <w:sz w:val="20"/>
        </w:rPr>
        <w:t>MakeMusic</w:t>
      </w:r>
      <w:proofErr w:type="spellEnd"/>
      <w:r>
        <w:rPr>
          <w:color w:val="000000"/>
          <w:sz w:val="20"/>
        </w:rPr>
        <w:t xml:space="preserve"> has a Stock Option Plan (the 2003 Plan) pursuant to which options for up to 1,500,000 shares of its common stock may be issued to its key employees and directors. Under the 2003 Plan, the options generally may not exceed 10 years and are granted at prices that must be equal to or more than the stock’s fair market value at the grant date. There were </w:t>
      </w:r>
      <w:r w:rsidR="000040CE">
        <w:rPr>
          <w:color w:val="000000"/>
          <w:sz w:val="20"/>
        </w:rPr>
        <w:t xml:space="preserve">522,971 </w:t>
      </w:r>
      <w:r>
        <w:rPr>
          <w:color w:val="000000"/>
          <w:sz w:val="20"/>
        </w:rPr>
        <w:t xml:space="preserve">options outstanding under the 2003 plan as of December 31, </w:t>
      </w:r>
      <w:r w:rsidR="00366B07">
        <w:rPr>
          <w:color w:val="000000"/>
          <w:sz w:val="20"/>
        </w:rPr>
        <w:t>2011</w:t>
      </w:r>
      <w:r>
        <w:rPr>
          <w:color w:val="000000"/>
          <w:sz w:val="20"/>
        </w:rPr>
        <w:t>.</w:t>
      </w:r>
      <w:r>
        <w:rPr>
          <w:color w:val="000000"/>
          <w:sz w:val="20"/>
          <w:szCs w:val="20"/>
        </w:rPr>
        <w:t xml:space="preserve"> </w:t>
      </w:r>
    </w:p>
    <w:p w:rsidR="004851D7" w:rsidRDefault="004851D7">
      <w:pPr>
        <w:rPr>
          <w:color w:val="000000"/>
          <w:sz w:val="20"/>
        </w:rPr>
      </w:pPr>
    </w:p>
    <w:p w:rsidR="004851D7" w:rsidRDefault="004851D7">
      <w:pPr>
        <w:ind w:firstLine="720"/>
        <w:rPr>
          <w:color w:val="000000"/>
          <w:sz w:val="20"/>
          <w:szCs w:val="20"/>
        </w:rPr>
      </w:pPr>
      <w:r>
        <w:rPr>
          <w:color w:val="000000"/>
          <w:sz w:val="20"/>
          <w:szCs w:val="20"/>
        </w:rPr>
        <w:t xml:space="preserve">The following table represents stock option and restricted stock activity for the year ended December 31, </w:t>
      </w:r>
      <w:r w:rsidR="00366B07">
        <w:rPr>
          <w:color w:val="000000"/>
          <w:sz w:val="20"/>
          <w:szCs w:val="20"/>
        </w:rPr>
        <w:t>2011</w:t>
      </w:r>
      <w:r>
        <w:rPr>
          <w:color w:val="000000"/>
          <w:sz w:val="20"/>
          <w:szCs w:val="20"/>
        </w:rPr>
        <w:t>:</w:t>
      </w:r>
    </w:p>
    <w:p w:rsidR="004851D7" w:rsidRDefault="004851D7" w:rsidP="00CC05D5">
      <w:pPr>
        <w:rPr>
          <w:color w:val="000000"/>
          <w:sz w:val="20"/>
        </w:rPr>
      </w:pPr>
    </w:p>
    <w:tbl>
      <w:tblPr>
        <w:tblW w:w="0" w:type="auto"/>
        <w:tblLayout w:type="fixed"/>
        <w:tblLook w:val="04A0" w:firstRow="1" w:lastRow="0" w:firstColumn="1" w:lastColumn="0" w:noHBand="0" w:noVBand="1"/>
      </w:tblPr>
      <w:tblGrid>
        <w:gridCol w:w="2186"/>
        <w:gridCol w:w="1147"/>
        <w:gridCol w:w="236"/>
        <w:gridCol w:w="1364"/>
        <w:gridCol w:w="236"/>
        <w:gridCol w:w="1245"/>
        <w:gridCol w:w="236"/>
        <w:gridCol w:w="1345"/>
        <w:gridCol w:w="236"/>
        <w:gridCol w:w="1459"/>
      </w:tblGrid>
      <w:tr w:rsidR="000E556C" w:rsidTr="000040CE">
        <w:trPr>
          <w:trHeight w:val="960"/>
        </w:trPr>
        <w:tc>
          <w:tcPr>
            <w:tcW w:w="2186" w:type="dxa"/>
            <w:tcBorders>
              <w:top w:val="nil"/>
              <w:left w:val="nil"/>
              <w:bottom w:val="nil"/>
              <w:right w:val="nil"/>
            </w:tcBorders>
            <w:shd w:val="clear" w:color="auto" w:fill="auto"/>
            <w:noWrap/>
            <w:vAlign w:val="bottom"/>
            <w:hideMark/>
          </w:tcPr>
          <w:p w:rsidR="000040CE" w:rsidRDefault="000040CE">
            <w:pPr>
              <w:rPr>
                <w:sz w:val="18"/>
                <w:szCs w:val="18"/>
              </w:rPr>
            </w:pPr>
          </w:p>
        </w:tc>
        <w:tc>
          <w:tcPr>
            <w:tcW w:w="1147" w:type="dxa"/>
            <w:tcBorders>
              <w:top w:val="nil"/>
              <w:left w:val="nil"/>
              <w:bottom w:val="single" w:sz="4" w:space="0" w:color="auto"/>
              <w:right w:val="nil"/>
            </w:tcBorders>
            <w:shd w:val="clear" w:color="auto" w:fill="auto"/>
            <w:vAlign w:val="bottom"/>
            <w:hideMark/>
          </w:tcPr>
          <w:p w:rsidR="000040CE" w:rsidRDefault="000040CE">
            <w:pPr>
              <w:jc w:val="center"/>
              <w:rPr>
                <w:sz w:val="18"/>
                <w:szCs w:val="18"/>
              </w:rPr>
            </w:pPr>
            <w:r>
              <w:rPr>
                <w:sz w:val="18"/>
                <w:szCs w:val="18"/>
              </w:rPr>
              <w:t>Shares Reserved for Grant</w:t>
            </w:r>
          </w:p>
        </w:tc>
        <w:tc>
          <w:tcPr>
            <w:tcW w:w="222" w:type="dxa"/>
            <w:tcBorders>
              <w:top w:val="nil"/>
              <w:left w:val="nil"/>
              <w:bottom w:val="nil"/>
              <w:right w:val="nil"/>
            </w:tcBorders>
            <w:shd w:val="clear" w:color="auto" w:fill="auto"/>
            <w:noWrap/>
            <w:vAlign w:val="bottom"/>
            <w:hideMark/>
          </w:tcPr>
          <w:p w:rsidR="000040CE" w:rsidRDefault="000040CE">
            <w:pPr>
              <w:rPr>
                <w:sz w:val="18"/>
                <w:szCs w:val="18"/>
              </w:rPr>
            </w:pPr>
          </w:p>
        </w:tc>
        <w:tc>
          <w:tcPr>
            <w:tcW w:w="1364" w:type="dxa"/>
            <w:tcBorders>
              <w:top w:val="nil"/>
              <w:left w:val="nil"/>
              <w:bottom w:val="single" w:sz="4" w:space="0" w:color="auto"/>
              <w:right w:val="nil"/>
            </w:tcBorders>
            <w:shd w:val="clear" w:color="auto" w:fill="auto"/>
            <w:vAlign w:val="bottom"/>
            <w:hideMark/>
          </w:tcPr>
          <w:p w:rsidR="000040CE" w:rsidRDefault="000040CE">
            <w:pPr>
              <w:jc w:val="center"/>
              <w:rPr>
                <w:sz w:val="18"/>
                <w:szCs w:val="18"/>
              </w:rPr>
            </w:pPr>
            <w:r>
              <w:rPr>
                <w:sz w:val="18"/>
                <w:szCs w:val="18"/>
              </w:rPr>
              <w:t>2003 Plan Restricted Shares</w:t>
            </w:r>
          </w:p>
        </w:tc>
        <w:tc>
          <w:tcPr>
            <w:tcW w:w="222" w:type="dxa"/>
            <w:tcBorders>
              <w:top w:val="nil"/>
              <w:left w:val="nil"/>
              <w:bottom w:val="nil"/>
              <w:right w:val="nil"/>
            </w:tcBorders>
            <w:shd w:val="clear" w:color="auto" w:fill="auto"/>
            <w:noWrap/>
            <w:vAlign w:val="bottom"/>
            <w:hideMark/>
          </w:tcPr>
          <w:p w:rsidR="000040CE" w:rsidRDefault="000040CE">
            <w:pPr>
              <w:rPr>
                <w:sz w:val="18"/>
                <w:szCs w:val="18"/>
              </w:rPr>
            </w:pPr>
          </w:p>
        </w:tc>
        <w:tc>
          <w:tcPr>
            <w:tcW w:w="1245" w:type="dxa"/>
            <w:tcBorders>
              <w:top w:val="nil"/>
              <w:left w:val="nil"/>
              <w:bottom w:val="single" w:sz="4" w:space="0" w:color="auto"/>
              <w:right w:val="nil"/>
            </w:tcBorders>
            <w:shd w:val="clear" w:color="auto" w:fill="auto"/>
            <w:vAlign w:val="bottom"/>
            <w:hideMark/>
          </w:tcPr>
          <w:p w:rsidR="000040CE" w:rsidRDefault="000040CE">
            <w:pPr>
              <w:jc w:val="center"/>
              <w:rPr>
                <w:sz w:val="18"/>
                <w:szCs w:val="18"/>
              </w:rPr>
            </w:pPr>
            <w:r>
              <w:rPr>
                <w:sz w:val="18"/>
                <w:szCs w:val="18"/>
              </w:rPr>
              <w:t>Plan Option Shares</w:t>
            </w:r>
          </w:p>
        </w:tc>
        <w:tc>
          <w:tcPr>
            <w:tcW w:w="222" w:type="dxa"/>
            <w:tcBorders>
              <w:top w:val="nil"/>
              <w:left w:val="nil"/>
              <w:bottom w:val="nil"/>
              <w:right w:val="nil"/>
            </w:tcBorders>
            <w:shd w:val="clear" w:color="auto" w:fill="auto"/>
            <w:noWrap/>
            <w:vAlign w:val="bottom"/>
            <w:hideMark/>
          </w:tcPr>
          <w:p w:rsidR="000040CE" w:rsidRDefault="000040CE">
            <w:pPr>
              <w:rPr>
                <w:sz w:val="18"/>
                <w:szCs w:val="18"/>
              </w:rPr>
            </w:pPr>
          </w:p>
        </w:tc>
        <w:tc>
          <w:tcPr>
            <w:tcW w:w="1345" w:type="dxa"/>
            <w:tcBorders>
              <w:top w:val="nil"/>
              <w:left w:val="nil"/>
              <w:bottom w:val="single" w:sz="4" w:space="0" w:color="auto"/>
              <w:right w:val="nil"/>
            </w:tcBorders>
            <w:shd w:val="clear" w:color="auto" w:fill="auto"/>
            <w:vAlign w:val="bottom"/>
            <w:hideMark/>
          </w:tcPr>
          <w:p w:rsidR="000040CE" w:rsidRDefault="000040CE">
            <w:pPr>
              <w:jc w:val="center"/>
              <w:rPr>
                <w:sz w:val="18"/>
                <w:szCs w:val="18"/>
              </w:rPr>
            </w:pPr>
            <w:r>
              <w:rPr>
                <w:sz w:val="18"/>
                <w:szCs w:val="18"/>
              </w:rPr>
              <w:t>Weighted Average Option Exercise Price</w:t>
            </w:r>
          </w:p>
        </w:tc>
        <w:tc>
          <w:tcPr>
            <w:tcW w:w="222" w:type="dxa"/>
            <w:tcBorders>
              <w:top w:val="nil"/>
              <w:left w:val="nil"/>
              <w:bottom w:val="nil"/>
              <w:right w:val="nil"/>
            </w:tcBorders>
            <w:shd w:val="clear" w:color="auto" w:fill="auto"/>
            <w:vAlign w:val="bottom"/>
            <w:hideMark/>
          </w:tcPr>
          <w:p w:rsidR="000040CE" w:rsidRDefault="000040CE">
            <w:pPr>
              <w:jc w:val="center"/>
              <w:rPr>
                <w:sz w:val="18"/>
                <w:szCs w:val="18"/>
              </w:rPr>
            </w:pPr>
          </w:p>
        </w:tc>
        <w:tc>
          <w:tcPr>
            <w:tcW w:w="1459" w:type="dxa"/>
            <w:tcBorders>
              <w:top w:val="nil"/>
              <w:left w:val="nil"/>
              <w:bottom w:val="single" w:sz="4" w:space="0" w:color="auto"/>
              <w:right w:val="nil"/>
            </w:tcBorders>
            <w:shd w:val="clear" w:color="auto" w:fill="auto"/>
            <w:vAlign w:val="bottom"/>
            <w:hideMark/>
          </w:tcPr>
          <w:p w:rsidR="000040CE" w:rsidRDefault="000040CE">
            <w:pPr>
              <w:jc w:val="center"/>
              <w:rPr>
                <w:sz w:val="18"/>
                <w:szCs w:val="18"/>
              </w:rPr>
            </w:pPr>
            <w:r>
              <w:rPr>
                <w:sz w:val="18"/>
                <w:szCs w:val="18"/>
              </w:rPr>
              <w:t xml:space="preserve">Weighted Average Remaining Contract Life </w:t>
            </w:r>
          </w:p>
        </w:tc>
      </w:tr>
      <w:tr w:rsidR="000040CE" w:rsidTr="00CC05D5">
        <w:trPr>
          <w:trHeight w:val="255"/>
        </w:trPr>
        <w:tc>
          <w:tcPr>
            <w:tcW w:w="2186" w:type="dxa"/>
            <w:tcBorders>
              <w:top w:val="nil"/>
              <w:left w:val="nil"/>
              <w:bottom w:val="nil"/>
              <w:right w:val="nil"/>
            </w:tcBorders>
            <w:shd w:val="clear" w:color="auto" w:fill="auto"/>
            <w:noWrap/>
            <w:hideMark/>
          </w:tcPr>
          <w:p w:rsidR="000040CE" w:rsidRDefault="000040CE">
            <w:pPr>
              <w:rPr>
                <w:sz w:val="18"/>
                <w:szCs w:val="18"/>
              </w:rPr>
            </w:pPr>
            <w:r>
              <w:rPr>
                <w:sz w:val="18"/>
                <w:szCs w:val="18"/>
              </w:rPr>
              <w:t>At December 31, 2010</w:t>
            </w:r>
          </w:p>
        </w:tc>
        <w:tc>
          <w:tcPr>
            <w:tcW w:w="1147" w:type="dxa"/>
            <w:tcBorders>
              <w:top w:val="nil"/>
              <w:left w:val="nil"/>
              <w:bottom w:val="nil"/>
              <w:right w:val="nil"/>
            </w:tcBorders>
            <w:shd w:val="clear" w:color="auto" w:fill="auto"/>
            <w:hideMark/>
          </w:tcPr>
          <w:p w:rsidR="000040CE" w:rsidRDefault="000040CE">
            <w:pPr>
              <w:jc w:val="right"/>
              <w:rPr>
                <w:sz w:val="18"/>
                <w:szCs w:val="18"/>
              </w:rPr>
            </w:pPr>
            <w:r>
              <w:rPr>
                <w:sz w:val="18"/>
                <w:szCs w:val="18"/>
              </w:rPr>
              <w:t xml:space="preserve">361,103 </w:t>
            </w:r>
          </w:p>
        </w:tc>
        <w:tc>
          <w:tcPr>
            <w:tcW w:w="222" w:type="dxa"/>
            <w:tcBorders>
              <w:top w:val="nil"/>
              <w:left w:val="nil"/>
              <w:bottom w:val="nil"/>
              <w:right w:val="nil"/>
            </w:tcBorders>
            <w:shd w:val="clear" w:color="auto" w:fill="auto"/>
            <w:noWrap/>
            <w:hideMark/>
          </w:tcPr>
          <w:p w:rsidR="000040CE" w:rsidRDefault="000040CE">
            <w:pPr>
              <w:jc w:val="both"/>
              <w:rPr>
                <w:color w:val="000000"/>
                <w:sz w:val="18"/>
                <w:szCs w:val="18"/>
              </w:rPr>
            </w:pPr>
          </w:p>
        </w:tc>
        <w:tc>
          <w:tcPr>
            <w:tcW w:w="1364" w:type="dxa"/>
            <w:tcBorders>
              <w:top w:val="nil"/>
              <w:left w:val="nil"/>
              <w:bottom w:val="nil"/>
              <w:right w:val="nil"/>
            </w:tcBorders>
            <w:shd w:val="clear" w:color="auto" w:fill="auto"/>
            <w:hideMark/>
          </w:tcPr>
          <w:p w:rsidR="000040CE" w:rsidRDefault="000040CE">
            <w:pPr>
              <w:jc w:val="right"/>
              <w:rPr>
                <w:sz w:val="18"/>
                <w:szCs w:val="18"/>
              </w:rPr>
            </w:pPr>
            <w:r>
              <w:rPr>
                <w:sz w:val="18"/>
                <w:szCs w:val="18"/>
              </w:rPr>
              <w:t xml:space="preserve">80,049 </w:t>
            </w:r>
          </w:p>
        </w:tc>
        <w:tc>
          <w:tcPr>
            <w:tcW w:w="222" w:type="dxa"/>
            <w:tcBorders>
              <w:top w:val="nil"/>
              <w:left w:val="nil"/>
              <w:bottom w:val="nil"/>
              <w:right w:val="nil"/>
            </w:tcBorders>
            <w:shd w:val="clear" w:color="auto" w:fill="auto"/>
            <w:noWrap/>
            <w:hideMark/>
          </w:tcPr>
          <w:p w:rsidR="000040CE" w:rsidRDefault="000040CE">
            <w:pPr>
              <w:jc w:val="both"/>
              <w:rPr>
                <w:color w:val="000000"/>
                <w:sz w:val="18"/>
                <w:szCs w:val="18"/>
              </w:rPr>
            </w:pPr>
          </w:p>
        </w:tc>
        <w:tc>
          <w:tcPr>
            <w:tcW w:w="1245" w:type="dxa"/>
            <w:tcBorders>
              <w:top w:val="nil"/>
              <w:left w:val="nil"/>
              <w:bottom w:val="nil"/>
              <w:right w:val="nil"/>
            </w:tcBorders>
            <w:shd w:val="clear" w:color="auto" w:fill="auto"/>
            <w:hideMark/>
          </w:tcPr>
          <w:p w:rsidR="000040CE" w:rsidRDefault="000040CE">
            <w:pPr>
              <w:jc w:val="right"/>
              <w:rPr>
                <w:sz w:val="18"/>
                <w:szCs w:val="18"/>
              </w:rPr>
            </w:pPr>
            <w:r>
              <w:rPr>
                <w:sz w:val="18"/>
                <w:szCs w:val="18"/>
              </w:rPr>
              <w:t xml:space="preserve">504,536 </w:t>
            </w:r>
          </w:p>
        </w:tc>
        <w:tc>
          <w:tcPr>
            <w:tcW w:w="222" w:type="dxa"/>
            <w:tcBorders>
              <w:top w:val="nil"/>
              <w:left w:val="nil"/>
              <w:bottom w:val="nil"/>
              <w:right w:val="nil"/>
            </w:tcBorders>
            <w:shd w:val="clear" w:color="auto" w:fill="auto"/>
            <w:noWrap/>
            <w:hideMark/>
          </w:tcPr>
          <w:p w:rsidR="000040CE" w:rsidRDefault="000040CE">
            <w:pPr>
              <w:jc w:val="both"/>
              <w:rPr>
                <w:color w:val="000000"/>
                <w:sz w:val="18"/>
                <w:szCs w:val="18"/>
              </w:rPr>
            </w:pPr>
          </w:p>
        </w:tc>
        <w:tc>
          <w:tcPr>
            <w:tcW w:w="1345" w:type="dxa"/>
            <w:tcBorders>
              <w:top w:val="nil"/>
              <w:left w:val="nil"/>
              <w:bottom w:val="nil"/>
              <w:right w:val="nil"/>
            </w:tcBorders>
            <w:shd w:val="clear" w:color="auto" w:fill="auto"/>
            <w:noWrap/>
            <w:hideMark/>
          </w:tcPr>
          <w:p w:rsidR="000040CE" w:rsidRDefault="000040CE">
            <w:pPr>
              <w:jc w:val="center"/>
              <w:rPr>
                <w:sz w:val="18"/>
                <w:szCs w:val="18"/>
              </w:rPr>
            </w:pPr>
            <w:r>
              <w:rPr>
                <w:sz w:val="18"/>
                <w:szCs w:val="18"/>
              </w:rPr>
              <w:t xml:space="preserve">$5.51 </w:t>
            </w:r>
          </w:p>
        </w:tc>
        <w:tc>
          <w:tcPr>
            <w:tcW w:w="222" w:type="dxa"/>
            <w:tcBorders>
              <w:top w:val="nil"/>
              <w:left w:val="nil"/>
              <w:bottom w:val="nil"/>
              <w:right w:val="nil"/>
            </w:tcBorders>
            <w:shd w:val="clear" w:color="auto" w:fill="auto"/>
            <w:noWrap/>
            <w:hideMark/>
          </w:tcPr>
          <w:p w:rsidR="000040CE" w:rsidRDefault="000040CE">
            <w:pPr>
              <w:jc w:val="center"/>
              <w:rPr>
                <w:sz w:val="18"/>
                <w:szCs w:val="18"/>
              </w:rPr>
            </w:pPr>
          </w:p>
        </w:tc>
        <w:tc>
          <w:tcPr>
            <w:tcW w:w="1459" w:type="dxa"/>
            <w:tcBorders>
              <w:top w:val="nil"/>
              <w:left w:val="nil"/>
              <w:bottom w:val="nil"/>
              <w:right w:val="nil"/>
            </w:tcBorders>
            <w:shd w:val="clear" w:color="auto" w:fill="auto"/>
            <w:noWrap/>
            <w:hideMark/>
          </w:tcPr>
          <w:p w:rsidR="000040CE" w:rsidRDefault="000040CE">
            <w:pPr>
              <w:jc w:val="both"/>
              <w:rPr>
                <w:color w:val="000000"/>
                <w:sz w:val="18"/>
                <w:szCs w:val="18"/>
              </w:rPr>
            </w:pPr>
          </w:p>
        </w:tc>
      </w:tr>
      <w:tr w:rsidR="000040CE" w:rsidTr="00CC05D5">
        <w:trPr>
          <w:trHeight w:val="255"/>
        </w:trPr>
        <w:tc>
          <w:tcPr>
            <w:tcW w:w="2186" w:type="dxa"/>
            <w:tcBorders>
              <w:top w:val="nil"/>
              <w:left w:val="nil"/>
              <w:bottom w:val="nil"/>
              <w:right w:val="nil"/>
            </w:tcBorders>
            <w:shd w:val="clear" w:color="auto" w:fill="auto"/>
            <w:noWrap/>
            <w:hideMark/>
          </w:tcPr>
          <w:p w:rsidR="000040CE" w:rsidRDefault="000040CE">
            <w:pPr>
              <w:rPr>
                <w:sz w:val="18"/>
                <w:szCs w:val="18"/>
              </w:rPr>
            </w:pPr>
          </w:p>
        </w:tc>
        <w:tc>
          <w:tcPr>
            <w:tcW w:w="1147" w:type="dxa"/>
            <w:tcBorders>
              <w:top w:val="nil"/>
              <w:left w:val="nil"/>
              <w:bottom w:val="nil"/>
              <w:right w:val="nil"/>
            </w:tcBorders>
            <w:shd w:val="clear" w:color="auto" w:fill="auto"/>
            <w:vAlign w:val="bottom"/>
            <w:hideMark/>
          </w:tcPr>
          <w:p w:rsidR="000040CE" w:rsidRDefault="000040CE">
            <w:pPr>
              <w:rPr>
                <w:sz w:val="18"/>
                <w:szCs w:val="18"/>
              </w:rPr>
            </w:pPr>
          </w:p>
        </w:tc>
        <w:tc>
          <w:tcPr>
            <w:tcW w:w="222" w:type="dxa"/>
            <w:tcBorders>
              <w:top w:val="nil"/>
              <w:left w:val="nil"/>
              <w:bottom w:val="nil"/>
              <w:right w:val="nil"/>
            </w:tcBorders>
            <w:shd w:val="clear" w:color="auto" w:fill="auto"/>
            <w:noWrap/>
            <w:vAlign w:val="bottom"/>
            <w:hideMark/>
          </w:tcPr>
          <w:p w:rsidR="000040CE" w:rsidRDefault="000040CE">
            <w:pPr>
              <w:rPr>
                <w:sz w:val="18"/>
                <w:szCs w:val="18"/>
              </w:rPr>
            </w:pPr>
          </w:p>
        </w:tc>
        <w:tc>
          <w:tcPr>
            <w:tcW w:w="1364" w:type="dxa"/>
            <w:tcBorders>
              <w:top w:val="nil"/>
              <w:left w:val="nil"/>
              <w:bottom w:val="nil"/>
              <w:right w:val="nil"/>
            </w:tcBorders>
            <w:shd w:val="clear" w:color="auto" w:fill="auto"/>
            <w:noWrap/>
            <w:vAlign w:val="bottom"/>
            <w:hideMark/>
          </w:tcPr>
          <w:p w:rsidR="000040CE" w:rsidRDefault="000040CE">
            <w:pPr>
              <w:rPr>
                <w:sz w:val="18"/>
                <w:szCs w:val="18"/>
              </w:rPr>
            </w:pPr>
          </w:p>
        </w:tc>
        <w:tc>
          <w:tcPr>
            <w:tcW w:w="222" w:type="dxa"/>
            <w:tcBorders>
              <w:top w:val="nil"/>
              <w:left w:val="nil"/>
              <w:bottom w:val="nil"/>
              <w:right w:val="nil"/>
            </w:tcBorders>
            <w:shd w:val="clear" w:color="auto" w:fill="auto"/>
            <w:noWrap/>
            <w:vAlign w:val="bottom"/>
            <w:hideMark/>
          </w:tcPr>
          <w:p w:rsidR="000040CE" w:rsidRDefault="000040CE">
            <w:pPr>
              <w:rPr>
                <w:sz w:val="18"/>
                <w:szCs w:val="18"/>
              </w:rPr>
            </w:pPr>
          </w:p>
        </w:tc>
        <w:tc>
          <w:tcPr>
            <w:tcW w:w="1245" w:type="dxa"/>
            <w:tcBorders>
              <w:top w:val="nil"/>
              <w:left w:val="nil"/>
              <w:bottom w:val="nil"/>
              <w:right w:val="nil"/>
            </w:tcBorders>
            <w:shd w:val="clear" w:color="auto" w:fill="auto"/>
            <w:vAlign w:val="bottom"/>
            <w:hideMark/>
          </w:tcPr>
          <w:p w:rsidR="000040CE" w:rsidRDefault="000040CE">
            <w:pPr>
              <w:rPr>
                <w:sz w:val="18"/>
                <w:szCs w:val="18"/>
              </w:rPr>
            </w:pPr>
          </w:p>
        </w:tc>
        <w:tc>
          <w:tcPr>
            <w:tcW w:w="222" w:type="dxa"/>
            <w:tcBorders>
              <w:top w:val="nil"/>
              <w:left w:val="nil"/>
              <w:bottom w:val="nil"/>
              <w:right w:val="nil"/>
            </w:tcBorders>
            <w:shd w:val="clear" w:color="auto" w:fill="auto"/>
            <w:noWrap/>
            <w:vAlign w:val="bottom"/>
            <w:hideMark/>
          </w:tcPr>
          <w:p w:rsidR="000040CE" w:rsidRDefault="000040CE">
            <w:pPr>
              <w:rPr>
                <w:sz w:val="18"/>
                <w:szCs w:val="18"/>
              </w:rPr>
            </w:pPr>
          </w:p>
        </w:tc>
        <w:tc>
          <w:tcPr>
            <w:tcW w:w="1345" w:type="dxa"/>
            <w:tcBorders>
              <w:top w:val="nil"/>
              <w:left w:val="nil"/>
              <w:bottom w:val="nil"/>
              <w:right w:val="nil"/>
            </w:tcBorders>
            <w:shd w:val="clear" w:color="auto" w:fill="auto"/>
            <w:noWrap/>
            <w:hideMark/>
          </w:tcPr>
          <w:p w:rsidR="000040CE" w:rsidRDefault="000040CE">
            <w:pPr>
              <w:jc w:val="center"/>
              <w:rPr>
                <w:sz w:val="18"/>
                <w:szCs w:val="18"/>
              </w:rPr>
            </w:pPr>
          </w:p>
        </w:tc>
        <w:tc>
          <w:tcPr>
            <w:tcW w:w="222" w:type="dxa"/>
            <w:tcBorders>
              <w:top w:val="nil"/>
              <w:left w:val="nil"/>
              <w:bottom w:val="nil"/>
              <w:right w:val="nil"/>
            </w:tcBorders>
            <w:shd w:val="clear" w:color="auto" w:fill="auto"/>
            <w:noWrap/>
            <w:hideMark/>
          </w:tcPr>
          <w:p w:rsidR="000040CE" w:rsidRDefault="000040CE">
            <w:pPr>
              <w:jc w:val="center"/>
              <w:rPr>
                <w:sz w:val="18"/>
                <w:szCs w:val="18"/>
              </w:rPr>
            </w:pPr>
          </w:p>
        </w:tc>
        <w:tc>
          <w:tcPr>
            <w:tcW w:w="1459" w:type="dxa"/>
            <w:tcBorders>
              <w:top w:val="nil"/>
              <w:left w:val="nil"/>
              <w:bottom w:val="nil"/>
              <w:right w:val="nil"/>
            </w:tcBorders>
            <w:shd w:val="clear" w:color="auto" w:fill="auto"/>
            <w:noWrap/>
            <w:vAlign w:val="bottom"/>
            <w:hideMark/>
          </w:tcPr>
          <w:p w:rsidR="000040CE" w:rsidRDefault="000040CE">
            <w:pPr>
              <w:rPr>
                <w:sz w:val="18"/>
                <w:szCs w:val="18"/>
              </w:rPr>
            </w:pPr>
          </w:p>
        </w:tc>
      </w:tr>
      <w:tr w:rsidR="000040CE" w:rsidTr="00CC05D5">
        <w:trPr>
          <w:trHeight w:val="255"/>
        </w:trPr>
        <w:tc>
          <w:tcPr>
            <w:tcW w:w="2186" w:type="dxa"/>
            <w:tcBorders>
              <w:top w:val="nil"/>
              <w:left w:val="nil"/>
              <w:bottom w:val="nil"/>
              <w:right w:val="nil"/>
            </w:tcBorders>
            <w:shd w:val="clear" w:color="auto" w:fill="auto"/>
            <w:noWrap/>
            <w:hideMark/>
          </w:tcPr>
          <w:p w:rsidR="000040CE" w:rsidRDefault="000040CE">
            <w:pPr>
              <w:rPr>
                <w:sz w:val="18"/>
                <w:szCs w:val="18"/>
              </w:rPr>
            </w:pPr>
            <w:r>
              <w:rPr>
                <w:sz w:val="18"/>
                <w:szCs w:val="18"/>
              </w:rPr>
              <w:t>Authorized</w:t>
            </w:r>
          </w:p>
        </w:tc>
        <w:tc>
          <w:tcPr>
            <w:tcW w:w="1147" w:type="dxa"/>
            <w:tcBorders>
              <w:top w:val="nil"/>
              <w:left w:val="nil"/>
              <w:bottom w:val="nil"/>
              <w:right w:val="nil"/>
            </w:tcBorders>
            <w:shd w:val="clear" w:color="auto" w:fill="auto"/>
            <w:hideMark/>
          </w:tcPr>
          <w:p w:rsidR="000040CE" w:rsidRDefault="000040CE">
            <w:pPr>
              <w:jc w:val="right"/>
              <w:rPr>
                <w:sz w:val="18"/>
                <w:szCs w:val="18"/>
              </w:rPr>
            </w:pPr>
            <w:r>
              <w:rPr>
                <w:sz w:val="18"/>
                <w:szCs w:val="18"/>
              </w:rPr>
              <w:t xml:space="preserve">               - </w:t>
            </w:r>
          </w:p>
        </w:tc>
        <w:tc>
          <w:tcPr>
            <w:tcW w:w="222" w:type="dxa"/>
            <w:tcBorders>
              <w:top w:val="nil"/>
              <w:left w:val="nil"/>
              <w:bottom w:val="nil"/>
              <w:right w:val="nil"/>
            </w:tcBorders>
            <w:shd w:val="clear" w:color="auto" w:fill="auto"/>
            <w:noWrap/>
            <w:vAlign w:val="bottom"/>
            <w:hideMark/>
          </w:tcPr>
          <w:p w:rsidR="000040CE" w:rsidRDefault="000040CE">
            <w:pPr>
              <w:rPr>
                <w:sz w:val="18"/>
                <w:szCs w:val="18"/>
              </w:rPr>
            </w:pPr>
          </w:p>
        </w:tc>
        <w:tc>
          <w:tcPr>
            <w:tcW w:w="1364" w:type="dxa"/>
            <w:tcBorders>
              <w:top w:val="nil"/>
              <w:left w:val="nil"/>
              <w:bottom w:val="nil"/>
              <w:right w:val="nil"/>
            </w:tcBorders>
            <w:shd w:val="clear" w:color="auto" w:fill="auto"/>
            <w:hideMark/>
          </w:tcPr>
          <w:p w:rsidR="000040CE" w:rsidRDefault="000040CE">
            <w:pPr>
              <w:jc w:val="right"/>
              <w:rPr>
                <w:sz w:val="18"/>
                <w:szCs w:val="18"/>
              </w:rPr>
            </w:pPr>
            <w:r>
              <w:rPr>
                <w:sz w:val="18"/>
                <w:szCs w:val="18"/>
              </w:rPr>
              <w:t xml:space="preserve">                   - </w:t>
            </w:r>
          </w:p>
        </w:tc>
        <w:tc>
          <w:tcPr>
            <w:tcW w:w="222" w:type="dxa"/>
            <w:tcBorders>
              <w:top w:val="nil"/>
              <w:left w:val="nil"/>
              <w:bottom w:val="nil"/>
              <w:right w:val="nil"/>
            </w:tcBorders>
            <w:shd w:val="clear" w:color="auto" w:fill="auto"/>
            <w:noWrap/>
            <w:vAlign w:val="bottom"/>
            <w:hideMark/>
          </w:tcPr>
          <w:p w:rsidR="000040CE" w:rsidRDefault="000040CE">
            <w:pPr>
              <w:rPr>
                <w:sz w:val="18"/>
                <w:szCs w:val="18"/>
              </w:rPr>
            </w:pPr>
          </w:p>
        </w:tc>
        <w:tc>
          <w:tcPr>
            <w:tcW w:w="1245" w:type="dxa"/>
            <w:tcBorders>
              <w:top w:val="nil"/>
              <w:left w:val="nil"/>
              <w:bottom w:val="nil"/>
              <w:right w:val="nil"/>
            </w:tcBorders>
            <w:shd w:val="clear" w:color="auto" w:fill="auto"/>
            <w:hideMark/>
          </w:tcPr>
          <w:p w:rsidR="000040CE" w:rsidRDefault="000040CE">
            <w:pPr>
              <w:jc w:val="right"/>
              <w:rPr>
                <w:sz w:val="18"/>
                <w:szCs w:val="18"/>
              </w:rPr>
            </w:pPr>
            <w:r>
              <w:rPr>
                <w:sz w:val="18"/>
                <w:szCs w:val="18"/>
              </w:rPr>
              <w:t xml:space="preserve">                    - </w:t>
            </w:r>
          </w:p>
        </w:tc>
        <w:tc>
          <w:tcPr>
            <w:tcW w:w="222" w:type="dxa"/>
            <w:tcBorders>
              <w:top w:val="nil"/>
              <w:left w:val="nil"/>
              <w:bottom w:val="nil"/>
              <w:right w:val="nil"/>
            </w:tcBorders>
            <w:shd w:val="clear" w:color="auto" w:fill="auto"/>
            <w:noWrap/>
            <w:vAlign w:val="bottom"/>
            <w:hideMark/>
          </w:tcPr>
          <w:p w:rsidR="000040CE" w:rsidRDefault="000040CE">
            <w:pPr>
              <w:rPr>
                <w:sz w:val="18"/>
                <w:szCs w:val="18"/>
              </w:rPr>
            </w:pPr>
          </w:p>
        </w:tc>
        <w:tc>
          <w:tcPr>
            <w:tcW w:w="1345" w:type="dxa"/>
            <w:tcBorders>
              <w:top w:val="nil"/>
              <w:left w:val="nil"/>
              <w:bottom w:val="nil"/>
              <w:right w:val="nil"/>
            </w:tcBorders>
            <w:shd w:val="clear" w:color="auto" w:fill="auto"/>
            <w:noWrap/>
            <w:hideMark/>
          </w:tcPr>
          <w:p w:rsidR="000040CE" w:rsidRDefault="000040CE">
            <w:pPr>
              <w:jc w:val="center"/>
              <w:rPr>
                <w:sz w:val="18"/>
                <w:szCs w:val="18"/>
              </w:rPr>
            </w:pPr>
          </w:p>
        </w:tc>
        <w:tc>
          <w:tcPr>
            <w:tcW w:w="222" w:type="dxa"/>
            <w:tcBorders>
              <w:top w:val="nil"/>
              <w:left w:val="nil"/>
              <w:bottom w:val="nil"/>
              <w:right w:val="nil"/>
            </w:tcBorders>
            <w:shd w:val="clear" w:color="auto" w:fill="auto"/>
            <w:noWrap/>
            <w:hideMark/>
          </w:tcPr>
          <w:p w:rsidR="000040CE" w:rsidRDefault="000040CE">
            <w:pPr>
              <w:jc w:val="center"/>
              <w:rPr>
                <w:sz w:val="18"/>
                <w:szCs w:val="18"/>
              </w:rPr>
            </w:pPr>
          </w:p>
        </w:tc>
        <w:tc>
          <w:tcPr>
            <w:tcW w:w="1459" w:type="dxa"/>
            <w:tcBorders>
              <w:top w:val="nil"/>
              <w:left w:val="nil"/>
              <w:bottom w:val="nil"/>
              <w:right w:val="nil"/>
            </w:tcBorders>
            <w:shd w:val="clear" w:color="auto" w:fill="auto"/>
            <w:noWrap/>
            <w:vAlign w:val="bottom"/>
            <w:hideMark/>
          </w:tcPr>
          <w:p w:rsidR="000040CE" w:rsidRDefault="000040CE">
            <w:pPr>
              <w:rPr>
                <w:sz w:val="18"/>
                <w:szCs w:val="18"/>
              </w:rPr>
            </w:pPr>
          </w:p>
        </w:tc>
      </w:tr>
      <w:tr w:rsidR="000040CE" w:rsidTr="00CC05D5">
        <w:trPr>
          <w:trHeight w:val="255"/>
        </w:trPr>
        <w:tc>
          <w:tcPr>
            <w:tcW w:w="2186" w:type="dxa"/>
            <w:tcBorders>
              <w:top w:val="nil"/>
              <w:left w:val="nil"/>
              <w:bottom w:val="nil"/>
              <w:right w:val="nil"/>
            </w:tcBorders>
            <w:shd w:val="clear" w:color="auto" w:fill="auto"/>
            <w:noWrap/>
            <w:hideMark/>
          </w:tcPr>
          <w:p w:rsidR="000040CE" w:rsidRDefault="000040CE">
            <w:pPr>
              <w:rPr>
                <w:sz w:val="18"/>
                <w:szCs w:val="18"/>
              </w:rPr>
            </w:pPr>
            <w:r>
              <w:rPr>
                <w:sz w:val="18"/>
                <w:szCs w:val="18"/>
              </w:rPr>
              <w:t>Granted</w:t>
            </w:r>
          </w:p>
        </w:tc>
        <w:tc>
          <w:tcPr>
            <w:tcW w:w="1147" w:type="dxa"/>
            <w:tcBorders>
              <w:top w:val="nil"/>
              <w:left w:val="nil"/>
              <w:bottom w:val="nil"/>
              <w:right w:val="nil"/>
            </w:tcBorders>
            <w:shd w:val="clear" w:color="auto" w:fill="auto"/>
            <w:hideMark/>
          </w:tcPr>
          <w:p w:rsidR="000040CE" w:rsidRDefault="000040CE">
            <w:pPr>
              <w:jc w:val="right"/>
              <w:rPr>
                <w:sz w:val="18"/>
                <w:szCs w:val="18"/>
              </w:rPr>
            </w:pPr>
            <w:r>
              <w:rPr>
                <w:sz w:val="18"/>
                <w:szCs w:val="18"/>
              </w:rPr>
              <w:t xml:space="preserve"> (314,214)</w:t>
            </w:r>
          </w:p>
        </w:tc>
        <w:tc>
          <w:tcPr>
            <w:tcW w:w="222" w:type="dxa"/>
            <w:tcBorders>
              <w:top w:val="nil"/>
              <w:left w:val="nil"/>
              <w:bottom w:val="nil"/>
              <w:right w:val="nil"/>
            </w:tcBorders>
            <w:shd w:val="clear" w:color="auto" w:fill="auto"/>
            <w:noWrap/>
            <w:hideMark/>
          </w:tcPr>
          <w:p w:rsidR="000040CE" w:rsidRDefault="000040CE">
            <w:pPr>
              <w:jc w:val="right"/>
              <w:rPr>
                <w:sz w:val="18"/>
                <w:szCs w:val="18"/>
              </w:rPr>
            </w:pPr>
          </w:p>
        </w:tc>
        <w:tc>
          <w:tcPr>
            <w:tcW w:w="1364" w:type="dxa"/>
            <w:tcBorders>
              <w:top w:val="nil"/>
              <w:left w:val="nil"/>
              <w:bottom w:val="nil"/>
              <w:right w:val="nil"/>
            </w:tcBorders>
            <w:shd w:val="clear" w:color="auto" w:fill="auto"/>
            <w:noWrap/>
            <w:hideMark/>
          </w:tcPr>
          <w:p w:rsidR="000040CE" w:rsidRDefault="000040CE">
            <w:pPr>
              <w:jc w:val="right"/>
              <w:rPr>
                <w:sz w:val="18"/>
                <w:szCs w:val="18"/>
              </w:rPr>
            </w:pPr>
            <w:r>
              <w:rPr>
                <w:sz w:val="18"/>
                <w:szCs w:val="18"/>
              </w:rPr>
              <w:t xml:space="preserve">          65,381 </w:t>
            </w:r>
          </w:p>
        </w:tc>
        <w:tc>
          <w:tcPr>
            <w:tcW w:w="222" w:type="dxa"/>
            <w:tcBorders>
              <w:top w:val="nil"/>
              <w:left w:val="nil"/>
              <w:bottom w:val="nil"/>
              <w:right w:val="nil"/>
            </w:tcBorders>
            <w:shd w:val="clear" w:color="auto" w:fill="auto"/>
            <w:noWrap/>
            <w:hideMark/>
          </w:tcPr>
          <w:p w:rsidR="000040CE" w:rsidRDefault="000040CE">
            <w:pPr>
              <w:jc w:val="right"/>
              <w:rPr>
                <w:sz w:val="18"/>
                <w:szCs w:val="18"/>
              </w:rPr>
            </w:pPr>
          </w:p>
        </w:tc>
        <w:tc>
          <w:tcPr>
            <w:tcW w:w="1245" w:type="dxa"/>
            <w:tcBorders>
              <w:top w:val="nil"/>
              <w:left w:val="nil"/>
              <w:bottom w:val="nil"/>
              <w:right w:val="nil"/>
            </w:tcBorders>
            <w:shd w:val="clear" w:color="auto" w:fill="auto"/>
            <w:hideMark/>
          </w:tcPr>
          <w:p w:rsidR="000040CE" w:rsidRDefault="000040CE">
            <w:pPr>
              <w:jc w:val="right"/>
              <w:rPr>
                <w:sz w:val="18"/>
                <w:szCs w:val="18"/>
              </w:rPr>
            </w:pPr>
            <w:r>
              <w:rPr>
                <w:sz w:val="18"/>
                <w:szCs w:val="18"/>
              </w:rPr>
              <w:t xml:space="preserve">        248,833 </w:t>
            </w:r>
          </w:p>
        </w:tc>
        <w:tc>
          <w:tcPr>
            <w:tcW w:w="222" w:type="dxa"/>
            <w:tcBorders>
              <w:top w:val="nil"/>
              <w:left w:val="nil"/>
              <w:bottom w:val="nil"/>
              <w:right w:val="nil"/>
            </w:tcBorders>
            <w:shd w:val="clear" w:color="auto" w:fill="auto"/>
            <w:noWrap/>
            <w:hideMark/>
          </w:tcPr>
          <w:p w:rsidR="000040CE" w:rsidRDefault="000040CE">
            <w:pPr>
              <w:jc w:val="right"/>
              <w:rPr>
                <w:sz w:val="18"/>
                <w:szCs w:val="18"/>
              </w:rPr>
            </w:pPr>
          </w:p>
        </w:tc>
        <w:tc>
          <w:tcPr>
            <w:tcW w:w="1345" w:type="dxa"/>
            <w:tcBorders>
              <w:top w:val="nil"/>
              <w:left w:val="nil"/>
              <w:bottom w:val="nil"/>
              <w:right w:val="nil"/>
            </w:tcBorders>
            <w:shd w:val="clear" w:color="auto" w:fill="auto"/>
            <w:noWrap/>
            <w:hideMark/>
          </w:tcPr>
          <w:p w:rsidR="000040CE" w:rsidRDefault="000040CE">
            <w:pPr>
              <w:jc w:val="center"/>
              <w:rPr>
                <w:sz w:val="18"/>
                <w:szCs w:val="18"/>
              </w:rPr>
            </w:pPr>
            <w:r>
              <w:rPr>
                <w:sz w:val="18"/>
                <w:szCs w:val="18"/>
              </w:rPr>
              <w:t xml:space="preserve">$4.93 </w:t>
            </w:r>
          </w:p>
        </w:tc>
        <w:tc>
          <w:tcPr>
            <w:tcW w:w="222" w:type="dxa"/>
            <w:tcBorders>
              <w:top w:val="nil"/>
              <w:left w:val="nil"/>
              <w:bottom w:val="nil"/>
              <w:right w:val="nil"/>
            </w:tcBorders>
            <w:shd w:val="clear" w:color="auto" w:fill="auto"/>
            <w:noWrap/>
            <w:hideMark/>
          </w:tcPr>
          <w:p w:rsidR="000040CE" w:rsidRDefault="000040CE">
            <w:pPr>
              <w:jc w:val="center"/>
              <w:rPr>
                <w:sz w:val="18"/>
                <w:szCs w:val="18"/>
              </w:rPr>
            </w:pPr>
          </w:p>
        </w:tc>
        <w:tc>
          <w:tcPr>
            <w:tcW w:w="1459" w:type="dxa"/>
            <w:tcBorders>
              <w:top w:val="nil"/>
              <w:left w:val="nil"/>
              <w:bottom w:val="nil"/>
              <w:right w:val="nil"/>
            </w:tcBorders>
            <w:shd w:val="clear" w:color="auto" w:fill="auto"/>
            <w:noWrap/>
            <w:vAlign w:val="bottom"/>
            <w:hideMark/>
          </w:tcPr>
          <w:p w:rsidR="000040CE" w:rsidRDefault="000040CE">
            <w:pPr>
              <w:rPr>
                <w:sz w:val="18"/>
                <w:szCs w:val="18"/>
              </w:rPr>
            </w:pPr>
          </w:p>
        </w:tc>
      </w:tr>
      <w:tr w:rsidR="000040CE" w:rsidTr="00CC05D5">
        <w:trPr>
          <w:trHeight w:val="255"/>
        </w:trPr>
        <w:tc>
          <w:tcPr>
            <w:tcW w:w="2186" w:type="dxa"/>
            <w:tcBorders>
              <w:top w:val="nil"/>
              <w:left w:val="nil"/>
              <w:bottom w:val="nil"/>
              <w:right w:val="nil"/>
            </w:tcBorders>
            <w:shd w:val="clear" w:color="auto" w:fill="auto"/>
            <w:noWrap/>
            <w:hideMark/>
          </w:tcPr>
          <w:p w:rsidR="000040CE" w:rsidRDefault="000040CE">
            <w:pPr>
              <w:rPr>
                <w:sz w:val="18"/>
                <w:szCs w:val="18"/>
              </w:rPr>
            </w:pPr>
            <w:r>
              <w:rPr>
                <w:sz w:val="18"/>
                <w:szCs w:val="18"/>
              </w:rPr>
              <w:t xml:space="preserve">Expired </w:t>
            </w:r>
          </w:p>
        </w:tc>
        <w:tc>
          <w:tcPr>
            <w:tcW w:w="1147" w:type="dxa"/>
            <w:tcBorders>
              <w:top w:val="nil"/>
              <w:left w:val="nil"/>
              <w:bottom w:val="nil"/>
              <w:right w:val="nil"/>
            </w:tcBorders>
            <w:shd w:val="clear" w:color="auto" w:fill="auto"/>
            <w:hideMark/>
          </w:tcPr>
          <w:p w:rsidR="000040CE" w:rsidRDefault="000040CE">
            <w:pPr>
              <w:jc w:val="right"/>
              <w:rPr>
                <w:sz w:val="18"/>
                <w:szCs w:val="18"/>
              </w:rPr>
            </w:pPr>
            <w:r>
              <w:rPr>
                <w:sz w:val="18"/>
                <w:szCs w:val="18"/>
              </w:rPr>
              <w:t xml:space="preserve">   103,664 </w:t>
            </w:r>
          </w:p>
        </w:tc>
        <w:tc>
          <w:tcPr>
            <w:tcW w:w="222" w:type="dxa"/>
            <w:tcBorders>
              <w:top w:val="nil"/>
              <w:left w:val="nil"/>
              <w:bottom w:val="nil"/>
              <w:right w:val="nil"/>
            </w:tcBorders>
            <w:shd w:val="clear" w:color="auto" w:fill="auto"/>
            <w:noWrap/>
            <w:hideMark/>
          </w:tcPr>
          <w:p w:rsidR="000040CE" w:rsidRDefault="000040CE">
            <w:pPr>
              <w:jc w:val="right"/>
              <w:rPr>
                <w:sz w:val="18"/>
                <w:szCs w:val="18"/>
              </w:rPr>
            </w:pPr>
          </w:p>
        </w:tc>
        <w:tc>
          <w:tcPr>
            <w:tcW w:w="1364" w:type="dxa"/>
            <w:tcBorders>
              <w:top w:val="nil"/>
              <w:left w:val="nil"/>
              <w:bottom w:val="nil"/>
              <w:right w:val="nil"/>
            </w:tcBorders>
            <w:shd w:val="clear" w:color="auto" w:fill="auto"/>
            <w:hideMark/>
          </w:tcPr>
          <w:p w:rsidR="000040CE" w:rsidRDefault="004A7EDE">
            <w:pPr>
              <w:jc w:val="right"/>
              <w:rPr>
                <w:sz w:val="18"/>
                <w:szCs w:val="18"/>
              </w:rPr>
            </w:pPr>
            <w:r>
              <w:rPr>
                <w:sz w:val="18"/>
                <w:szCs w:val="18"/>
              </w:rPr>
              <w:t>-</w:t>
            </w:r>
          </w:p>
        </w:tc>
        <w:tc>
          <w:tcPr>
            <w:tcW w:w="222" w:type="dxa"/>
            <w:tcBorders>
              <w:top w:val="nil"/>
              <w:left w:val="nil"/>
              <w:bottom w:val="nil"/>
              <w:right w:val="nil"/>
            </w:tcBorders>
            <w:shd w:val="clear" w:color="auto" w:fill="auto"/>
            <w:noWrap/>
            <w:hideMark/>
          </w:tcPr>
          <w:p w:rsidR="000040CE" w:rsidRDefault="000040CE">
            <w:pPr>
              <w:jc w:val="right"/>
              <w:rPr>
                <w:sz w:val="18"/>
                <w:szCs w:val="18"/>
              </w:rPr>
            </w:pPr>
          </w:p>
        </w:tc>
        <w:tc>
          <w:tcPr>
            <w:tcW w:w="1245" w:type="dxa"/>
            <w:tcBorders>
              <w:top w:val="nil"/>
              <w:left w:val="nil"/>
              <w:bottom w:val="nil"/>
              <w:right w:val="nil"/>
            </w:tcBorders>
            <w:shd w:val="clear" w:color="auto" w:fill="auto"/>
            <w:hideMark/>
          </w:tcPr>
          <w:p w:rsidR="000040CE" w:rsidRDefault="000040CE">
            <w:pPr>
              <w:jc w:val="right"/>
              <w:rPr>
                <w:sz w:val="18"/>
                <w:szCs w:val="18"/>
              </w:rPr>
            </w:pPr>
            <w:r>
              <w:rPr>
                <w:sz w:val="18"/>
                <w:szCs w:val="18"/>
              </w:rPr>
              <w:t xml:space="preserve">      (103,664)</w:t>
            </w:r>
          </w:p>
        </w:tc>
        <w:tc>
          <w:tcPr>
            <w:tcW w:w="222" w:type="dxa"/>
            <w:tcBorders>
              <w:top w:val="nil"/>
              <w:left w:val="nil"/>
              <w:bottom w:val="nil"/>
              <w:right w:val="nil"/>
            </w:tcBorders>
            <w:shd w:val="clear" w:color="auto" w:fill="auto"/>
            <w:noWrap/>
            <w:hideMark/>
          </w:tcPr>
          <w:p w:rsidR="000040CE" w:rsidRDefault="000040CE">
            <w:pPr>
              <w:jc w:val="right"/>
              <w:rPr>
                <w:sz w:val="18"/>
                <w:szCs w:val="18"/>
              </w:rPr>
            </w:pPr>
          </w:p>
        </w:tc>
        <w:tc>
          <w:tcPr>
            <w:tcW w:w="1345" w:type="dxa"/>
            <w:tcBorders>
              <w:top w:val="nil"/>
              <w:left w:val="nil"/>
              <w:bottom w:val="nil"/>
              <w:right w:val="nil"/>
            </w:tcBorders>
            <w:shd w:val="clear" w:color="auto" w:fill="auto"/>
            <w:noWrap/>
            <w:hideMark/>
          </w:tcPr>
          <w:p w:rsidR="000040CE" w:rsidRDefault="000040CE">
            <w:pPr>
              <w:jc w:val="center"/>
              <w:rPr>
                <w:sz w:val="18"/>
                <w:szCs w:val="18"/>
              </w:rPr>
            </w:pPr>
            <w:r>
              <w:rPr>
                <w:sz w:val="18"/>
                <w:szCs w:val="18"/>
              </w:rPr>
              <w:t xml:space="preserve">$6.00 </w:t>
            </w:r>
          </w:p>
        </w:tc>
        <w:tc>
          <w:tcPr>
            <w:tcW w:w="222" w:type="dxa"/>
            <w:tcBorders>
              <w:top w:val="nil"/>
              <w:left w:val="nil"/>
              <w:bottom w:val="nil"/>
              <w:right w:val="nil"/>
            </w:tcBorders>
            <w:shd w:val="clear" w:color="auto" w:fill="auto"/>
            <w:noWrap/>
            <w:hideMark/>
          </w:tcPr>
          <w:p w:rsidR="000040CE" w:rsidRDefault="000040CE">
            <w:pPr>
              <w:jc w:val="center"/>
              <w:rPr>
                <w:sz w:val="18"/>
                <w:szCs w:val="18"/>
              </w:rPr>
            </w:pPr>
          </w:p>
        </w:tc>
        <w:tc>
          <w:tcPr>
            <w:tcW w:w="1459" w:type="dxa"/>
            <w:tcBorders>
              <w:top w:val="nil"/>
              <w:left w:val="nil"/>
              <w:bottom w:val="nil"/>
              <w:right w:val="nil"/>
            </w:tcBorders>
            <w:shd w:val="clear" w:color="auto" w:fill="auto"/>
            <w:noWrap/>
            <w:vAlign w:val="bottom"/>
            <w:hideMark/>
          </w:tcPr>
          <w:p w:rsidR="000040CE" w:rsidRDefault="000040CE">
            <w:pPr>
              <w:rPr>
                <w:sz w:val="18"/>
                <w:szCs w:val="18"/>
              </w:rPr>
            </w:pPr>
          </w:p>
        </w:tc>
      </w:tr>
      <w:tr w:rsidR="000040CE" w:rsidTr="00CC05D5">
        <w:trPr>
          <w:trHeight w:val="255"/>
        </w:trPr>
        <w:tc>
          <w:tcPr>
            <w:tcW w:w="2186" w:type="dxa"/>
            <w:tcBorders>
              <w:top w:val="nil"/>
              <w:left w:val="nil"/>
              <w:bottom w:val="nil"/>
              <w:right w:val="nil"/>
            </w:tcBorders>
            <w:shd w:val="clear" w:color="auto" w:fill="auto"/>
            <w:noWrap/>
            <w:hideMark/>
          </w:tcPr>
          <w:p w:rsidR="000040CE" w:rsidRDefault="000040CE">
            <w:pPr>
              <w:rPr>
                <w:sz w:val="18"/>
                <w:szCs w:val="18"/>
              </w:rPr>
            </w:pPr>
            <w:r>
              <w:rPr>
                <w:sz w:val="18"/>
                <w:szCs w:val="18"/>
              </w:rPr>
              <w:t>Cancelled</w:t>
            </w:r>
          </w:p>
        </w:tc>
        <w:tc>
          <w:tcPr>
            <w:tcW w:w="1147" w:type="dxa"/>
            <w:tcBorders>
              <w:top w:val="nil"/>
              <w:left w:val="nil"/>
              <w:bottom w:val="nil"/>
              <w:right w:val="nil"/>
            </w:tcBorders>
            <w:shd w:val="clear" w:color="auto" w:fill="auto"/>
            <w:hideMark/>
          </w:tcPr>
          <w:p w:rsidR="000040CE" w:rsidRDefault="000040CE">
            <w:pPr>
              <w:jc w:val="right"/>
              <w:rPr>
                <w:sz w:val="18"/>
                <w:szCs w:val="18"/>
              </w:rPr>
            </w:pPr>
            <w:r>
              <w:rPr>
                <w:sz w:val="18"/>
                <w:szCs w:val="18"/>
              </w:rPr>
              <w:t xml:space="preserve">     80,404 </w:t>
            </w:r>
          </w:p>
        </w:tc>
        <w:tc>
          <w:tcPr>
            <w:tcW w:w="222" w:type="dxa"/>
            <w:tcBorders>
              <w:top w:val="nil"/>
              <w:left w:val="nil"/>
              <w:bottom w:val="nil"/>
              <w:right w:val="nil"/>
            </w:tcBorders>
            <w:shd w:val="clear" w:color="auto" w:fill="auto"/>
            <w:noWrap/>
            <w:hideMark/>
          </w:tcPr>
          <w:p w:rsidR="000040CE" w:rsidRDefault="000040CE">
            <w:pPr>
              <w:jc w:val="right"/>
              <w:rPr>
                <w:sz w:val="18"/>
                <w:szCs w:val="18"/>
              </w:rPr>
            </w:pPr>
          </w:p>
        </w:tc>
        <w:tc>
          <w:tcPr>
            <w:tcW w:w="1364" w:type="dxa"/>
            <w:tcBorders>
              <w:top w:val="nil"/>
              <w:left w:val="nil"/>
              <w:bottom w:val="nil"/>
              <w:right w:val="nil"/>
            </w:tcBorders>
            <w:shd w:val="clear" w:color="auto" w:fill="auto"/>
            <w:noWrap/>
            <w:hideMark/>
          </w:tcPr>
          <w:p w:rsidR="000040CE" w:rsidRDefault="004A7EDE">
            <w:pPr>
              <w:jc w:val="right"/>
              <w:rPr>
                <w:sz w:val="18"/>
                <w:szCs w:val="18"/>
              </w:rPr>
            </w:pPr>
            <w:r>
              <w:rPr>
                <w:sz w:val="18"/>
                <w:szCs w:val="18"/>
              </w:rPr>
              <w:t>-</w:t>
            </w:r>
          </w:p>
        </w:tc>
        <w:tc>
          <w:tcPr>
            <w:tcW w:w="222" w:type="dxa"/>
            <w:tcBorders>
              <w:top w:val="nil"/>
              <w:left w:val="nil"/>
              <w:bottom w:val="nil"/>
              <w:right w:val="nil"/>
            </w:tcBorders>
            <w:shd w:val="clear" w:color="auto" w:fill="auto"/>
            <w:noWrap/>
            <w:hideMark/>
          </w:tcPr>
          <w:p w:rsidR="000040CE" w:rsidRDefault="000040CE">
            <w:pPr>
              <w:jc w:val="right"/>
              <w:rPr>
                <w:sz w:val="18"/>
                <w:szCs w:val="18"/>
              </w:rPr>
            </w:pPr>
          </w:p>
        </w:tc>
        <w:tc>
          <w:tcPr>
            <w:tcW w:w="1245" w:type="dxa"/>
            <w:tcBorders>
              <w:top w:val="nil"/>
              <w:left w:val="nil"/>
              <w:bottom w:val="nil"/>
              <w:right w:val="nil"/>
            </w:tcBorders>
            <w:shd w:val="clear" w:color="auto" w:fill="auto"/>
            <w:hideMark/>
          </w:tcPr>
          <w:p w:rsidR="000040CE" w:rsidRDefault="000040CE">
            <w:pPr>
              <w:jc w:val="right"/>
              <w:rPr>
                <w:sz w:val="18"/>
                <w:szCs w:val="18"/>
              </w:rPr>
            </w:pPr>
            <w:r>
              <w:rPr>
                <w:sz w:val="18"/>
                <w:szCs w:val="18"/>
              </w:rPr>
              <w:t xml:space="preserve">        (80,404)</w:t>
            </w:r>
          </w:p>
        </w:tc>
        <w:tc>
          <w:tcPr>
            <w:tcW w:w="222" w:type="dxa"/>
            <w:tcBorders>
              <w:top w:val="nil"/>
              <w:left w:val="nil"/>
              <w:bottom w:val="nil"/>
              <w:right w:val="nil"/>
            </w:tcBorders>
            <w:shd w:val="clear" w:color="auto" w:fill="auto"/>
            <w:noWrap/>
            <w:hideMark/>
          </w:tcPr>
          <w:p w:rsidR="000040CE" w:rsidRDefault="000040CE">
            <w:pPr>
              <w:jc w:val="right"/>
              <w:rPr>
                <w:sz w:val="18"/>
                <w:szCs w:val="18"/>
              </w:rPr>
            </w:pPr>
          </w:p>
        </w:tc>
        <w:tc>
          <w:tcPr>
            <w:tcW w:w="1345" w:type="dxa"/>
            <w:tcBorders>
              <w:top w:val="nil"/>
              <w:left w:val="nil"/>
              <w:bottom w:val="nil"/>
              <w:right w:val="nil"/>
            </w:tcBorders>
            <w:shd w:val="clear" w:color="auto" w:fill="auto"/>
            <w:noWrap/>
            <w:hideMark/>
          </w:tcPr>
          <w:p w:rsidR="000040CE" w:rsidRDefault="000040CE">
            <w:pPr>
              <w:jc w:val="center"/>
              <w:rPr>
                <w:sz w:val="18"/>
                <w:szCs w:val="18"/>
              </w:rPr>
            </w:pPr>
            <w:r>
              <w:rPr>
                <w:sz w:val="18"/>
                <w:szCs w:val="18"/>
              </w:rPr>
              <w:t xml:space="preserve">$5.00 </w:t>
            </w:r>
          </w:p>
        </w:tc>
        <w:tc>
          <w:tcPr>
            <w:tcW w:w="222" w:type="dxa"/>
            <w:tcBorders>
              <w:top w:val="nil"/>
              <w:left w:val="nil"/>
              <w:bottom w:val="nil"/>
              <w:right w:val="nil"/>
            </w:tcBorders>
            <w:shd w:val="clear" w:color="auto" w:fill="auto"/>
            <w:noWrap/>
            <w:hideMark/>
          </w:tcPr>
          <w:p w:rsidR="000040CE" w:rsidRDefault="000040CE">
            <w:pPr>
              <w:jc w:val="center"/>
              <w:rPr>
                <w:sz w:val="18"/>
                <w:szCs w:val="18"/>
              </w:rPr>
            </w:pPr>
          </w:p>
        </w:tc>
        <w:tc>
          <w:tcPr>
            <w:tcW w:w="1459" w:type="dxa"/>
            <w:tcBorders>
              <w:top w:val="nil"/>
              <w:left w:val="nil"/>
              <w:bottom w:val="nil"/>
              <w:right w:val="nil"/>
            </w:tcBorders>
            <w:shd w:val="clear" w:color="auto" w:fill="auto"/>
            <w:noWrap/>
            <w:vAlign w:val="bottom"/>
            <w:hideMark/>
          </w:tcPr>
          <w:p w:rsidR="000040CE" w:rsidRDefault="000040CE">
            <w:pPr>
              <w:rPr>
                <w:sz w:val="18"/>
                <w:szCs w:val="18"/>
              </w:rPr>
            </w:pPr>
          </w:p>
        </w:tc>
      </w:tr>
      <w:tr w:rsidR="000040CE" w:rsidTr="00CC05D5">
        <w:trPr>
          <w:trHeight w:val="255"/>
        </w:trPr>
        <w:tc>
          <w:tcPr>
            <w:tcW w:w="2186" w:type="dxa"/>
            <w:tcBorders>
              <w:top w:val="nil"/>
              <w:left w:val="nil"/>
              <w:bottom w:val="nil"/>
              <w:right w:val="nil"/>
            </w:tcBorders>
            <w:shd w:val="clear" w:color="auto" w:fill="auto"/>
            <w:noWrap/>
            <w:hideMark/>
          </w:tcPr>
          <w:p w:rsidR="000040CE" w:rsidRDefault="000040CE">
            <w:pPr>
              <w:rPr>
                <w:sz w:val="18"/>
                <w:szCs w:val="18"/>
              </w:rPr>
            </w:pPr>
            <w:r>
              <w:rPr>
                <w:sz w:val="18"/>
                <w:szCs w:val="18"/>
              </w:rPr>
              <w:t>Exercised</w:t>
            </w:r>
          </w:p>
        </w:tc>
        <w:tc>
          <w:tcPr>
            <w:tcW w:w="1147" w:type="dxa"/>
            <w:tcBorders>
              <w:top w:val="nil"/>
              <w:left w:val="nil"/>
              <w:bottom w:val="single" w:sz="4" w:space="0" w:color="auto"/>
              <w:right w:val="nil"/>
            </w:tcBorders>
            <w:shd w:val="clear" w:color="auto" w:fill="auto"/>
            <w:hideMark/>
          </w:tcPr>
          <w:p w:rsidR="000040CE" w:rsidRDefault="004A7EDE">
            <w:pPr>
              <w:jc w:val="right"/>
              <w:rPr>
                <w:sz w:val="18"/>
                <w:szCs w:val="18"/>
              </w:rPr>
            </w:pPr>
            <w:r>
              <w:rPr>
                <w:sz w:val="18"/>
                <w:szCs w:val="18"/>
              </w:rPr>
              <w:t>-</w:t>
            </w:r>
            <w:r w:rsidR="000040CE">
              <w:rPr>
                <w:sz w:val="18"/>
                <w:szCs w:val="18"/>
              </w:rPr>
              <w:t> </w:t>
            </w:r>
          </w:p>
        </w:tc>
        <w:tc>
          <w:tcPr>
            <w:tcW w:w="222" w:type="dxa"/>
            <w:tcBorders>
              <w:top w:val="nil"/>
              <w:left w:val="nil"/>
              <w:bottom w:val="nil"/>
              <w:right w:val="nil"/>
            </w:tcBorders>
            <w:shd w:val="clear" w:color="auto" w:fill="auto"/>
            <w:noWrap/>
            <w:hideMark/>
          </w:tcPr>
          <w:p w:rsidR="000040CE" w:rsidRDefault="000040CE">
            <w:pPr>
              <w:jc w:val="right"/>
              <w:rPr>
                <w:sz w:val="18"/>
                <w:szCs w:val="18"/>
              </w:rPr>
            </w:pPr>
          </w:p>
        </w:tc>
        <w:tc>
          <w:tcPr>
            <w:tcW w:w="1364" w:type="dxa"/>
            <w:tcBorders>
              <w:top w:val="nil"/>
              <w:left w:val="nil"/>
              <w:bottom w:val="single" w:sz="4" w:space="0" w:color="auto"/>
              <w:right w:val="nil"/>
            </w:tcBorders>
            <w:shd w:val="clear" w:color="auto" w:fill="auto"/>
            <w:noWrap/>
            <w:hideMark/>
          </w:tcPr>
          <w:p w:rsidR="000040CE" w:rsidRDefault="000040CE">
            <w:pPr>
              <w:jc w:val="right"/>
              <w:rPr>
                <w:sz w:val="18"/>
                <w:szCs w:val="18"/>
              </w:rPr>
            </w:pPr>
            <w:r>
              <w:rPr>
                <w:sz w:val="18"/>
                <w:szCs w:val="18"/>
              </w:rPr>
              <w:t> </w:t>
            </w:r>
            <w:r w:rsidR="004A7EDE">
              <w:rPr>
                <w:sz w:val="18"/>
                <w:szCs w:val="18"/>
              </w:rPr>
              <w:t>-</w:t>
            </w:r>
          </w:p>
        </w:tc>
        <w:tc>
          <w:tcPr>
            <w:tcW w:w="222" w:type="dxa"/>
            <w:tcBorders>
              <w:top w:val="nil"/>
              <w:left w:val="nil"/>
              <w:bottom w:val="nil"/>
              <w:right w:val="nil"/>
            </w:tcBorders>
            <w:shd w:val="clear" w:color="auto" w:fill="auto"/>
            <w:noWrap/>
            <w:hideMark/>
          </w:tcPr>
          <w:p w:rsidR="000040CE" w:rsidRDefault="000040CE">
            <w:pPr>
              <w:jc w:val="right"/>
              <w:rPr>
                <w:sz w:val="18"/>
                <w:szCs w:val="18"/>
              </w:rPr>
            </w:pPr>
          </w:p>
        </w:tc>
        <w:tc>
          <w:tcPr>
            <w:tcW w:w="1245" w:type="dxa"/>
            <w:tcBorders>
              <w:top w:val="nil"/>
              <w:left w:val="nil"/>
              <w:bottom w:val="single" w:sz="4" w:space="0" w:color="auto"/>
              <w:right w:val="nil"/>
            </w:tcBorders>
            <w:shd w:val="clear" w:color="auto" w:fill="auto"/>
            <w:hideMark/>
          </w:tcPr>
          <w:p w:rsidR="000040CE" w:rsidRDefault="000040CE">
            <w:pPr>
              <w:jc w:val="right"/>
              <w:rPr>
                <w:sz w:val="18"/>
                <w:szCs w:val="18"/>
              </w:rPr>
            </w:pPr>
            <w:r>
              <w:rPr>
                <w:sz w:val="18"/>
                <w:szCs w:val="18"/>
              </w:rPr>
              <w:t xml:space="preserve">        (46,330)</w:t>
            </w:r>
          </w:p>
        </w:tc>
        <w:tc>
          <w:tcPr>
            <w:tcW w:w="222" w:type="dxa"/>
            <w:tcBorders>
              <w:top w:val="nil"/>
              <w:left w:val="nil"/>
              <w:bottom w:val="nil"/>
              <w:right w:val="nil"/>
            </w:tcBorders>
            <w:shd w:val="clear" w:color="auto" w:fill="auto"/>
            <w:noWrap/>
            <w:hideMark/>
          </w:tcPr>
          <w:p w:rsidR="000040CE" w:rsidRDefault="000040CE">
            <w:pPr>
              <w:jc w:val="right"/>
              <w:rPr>
                <w:sz w:val="18"/>
                <w:szCs w:val="18"/>
              </w:rPr>
            </w:pPr>
          </w:p>
        </w:tc>
        <w:tc>
          <w:tcPr>
            <w:tcW w:w="1345" w:type="dxa"/>
            <w:tcBorders>
              <w:top w:val="nil"/>
              <w:left w:val="nil"/>
              <w:bottom w:val="nil"/>
              <w:right w:val="nil"/>
            </w:tcBorders>
            <w:shd w:val="clear" w:color="auto" w:fill="auto"/>
            <w:noWrap/>
            <w:hideMark/>
          </w:tcPr>
          <w:p w:rsidR="000040CE" w:rsidRDefault="000040CE">
            <w:pPr>
              <w:jc w:val="center"/>
              <w:rPr>
                <w:sz w:val="18"/>
                <w:szCs w:val="18"/>
              </w:rPr>
            </w:pPr>
            <w:r>
              <w:rPr>
                <w:sz w:val="18"/>
                <w:szCs w:val="18"/>
              </w:rPr>
              <w:t xml:space="preserve">$3.80 </w:t>
            </w:r>
          </w:p>
        </w:tc>
        <w:tc>
          <w:tcPr>
            <w:tcW w:w="222" w:type="dxa"/>
            <w:tcBorders>
              <w:top w:val="nil"/>
              <w:left w:val="nil"/>
              <w:bottom w:val="nil"/>
              <w:right w:val="nil"/>
            </w:tcBorders>
            <w:shd w:val="clear" w:color="auto" w:fill="auto"/>
            <w:noWrap/>
            <w:hideMark/>
          </w:tcPr>
          <w:p w:rsidR="000040CE" w:rsidRDefault="000040CE">
            <w:pPr>
              <w:jc w:val="center"/>
              <w:rPr>
                <w:sz w:val="18"/>
                <w:szCs w:val="18"/>
              </w:rPr>
            </w:pPr>
          </w:p>
        </w:tc>
        <w:tc>
          <w:tcPr>
            <w:tcW w:w="1459" w:type="dxa"/>
            <w:tcBorders>
              <w:top w:val="nil"/>
              <w:left w:val="nil"/>
              <w:bottom w:val="nil"/>
              <w:right w:val="nil"/>
            </w:tcBorders>
            <w:shd w:val="clear" w:color="auto" w:fill="auto"/>
            <w:noWrap/>
            <w:vAlign w:val="bottom"/>
            <w:hideMark/>
          </w:tcPr>
          <w:p w:rsidR="000040CE" w:rsidRDefault="000040CE">
            <w:pPr>
              <w:rPr>
                <w:sz w:val="18"/>
                <w:szCs w:val="18"/>
              </w:rPr>
            </w:pPr>
          </w:p>
        </w:tc>
      </w:tr>
      <w:tr w:rsidR="000E556C" w:rsidTr="000040CE">
        <w:trPr>
          <w:trHeight w:val="270"/>
        </w:trPr>
        <w:tc>
          <w:tcPr>
            <w:tcW w:w="2186" w:type="dxa"/>
            <w:tcBorders>
              <w:top w:val="nil"/>
              <w:left w:val="nil"/>
              <w:bottom w:val="nil"/>
              <w:right w:val="nil"/>
            </w:tcBorders>
            <w:shd w:val="clear" w:color="auto" w:fill="auto"/>
            <w:noWrap/>
            <w:hideMark/>
          </w:tcPr>
          <w:p w:rsidR="000040CE" w:rsidRDefault="000040CE">
            <w:pPr>
              <w:rPr>
                <w:sz w:val="18"/>
                <w:szCs w:val="18"/>
              </w:rPr>
            </w:pPr>
            <w:r>
              <w:rPr>
                <w:sz w:val="18"/>
                <w:szCs w:val="18"/>
              </w:rPr>
              <w:t>At December 31, 2011</w:t>
            </w:r>
          </w:p>
        </w:tc>
        <w:tc>
          <w:tcPr>
            <w:tcW w:w="1147" w:type="dxa"/>
            <w:tcBorders>
              <w:top w:val="nil"/>
              <w:left w:val="nil"/>
              <w:bottom w:val="double" w:sz="6" w:space="0" w:color="auto"/>
              <w:right w:val="nil"/>
            </w:tcBorders>
            <w:shd w:val="clear" w:color="auto" w:fill="auto"/>
            <w:vAlign w:val="bottom"/>
            <w:hideMark/>
          </w:tcPr>
          <w:p w:rsidR="000040CE" w:rsidRDefault="000040CE">
            <w:pPr>
              <w:jc w:val="right"/>
              <w:rPr>
                <w:sz w:val="18"/>
                <w:szCs w:val="18"/>
              </w:rPr>
            </w:pPr>
            <w:r>
              <w:rPr>
                <w:sz w:val="18"/>
                <w:szCs w:val="18"/>
              </w:rPr>
              <w:t xml:space="preserve">230,957 </w:t>
            </w:r>
          </w:p>
        </w:tc>
        <w:tc>
          <w:tcPr>
            <w:tcW w:w="222" w:type="dxa"/>
            <w:tcBorders>
              <w:top w:val="nil"/>
              <w:left w:val="nil"/>
              <w:bottom w:val="nil"/>
              <w:right w:val="nil"/>
            </w:tcBorders>
            <w:shd w:val="clear" w:color="auto" w:fill="auto"/>
            <w:noWrap/>
            <w:vAlign w:val="bottom"/>
            <w:hideMark/>
          </w:tcPr>
          <w:p w:rsidR="000040CE" w:rsidRDefault="000040CE">
            <w:pPr>
              <w:jc w:val="right"/>
              <w:rPr>
                <w:sz w:val="18"/>
                <w:szCs w:val="18"/>
              </w:rPr>
            </w:pPr>
          </w:p>
        </w:tc>
        <w:tc>
          <w:tcPr>
            <w:tcW w:w="1364" w:type="dxa"/>
            <w:tcBorders>
              <w:top w:val="nil"/>
              <w:left w:val="nil"/>
              <w:bottom w:val="double" w:sz="6" w:space="0" w:color="auto"/>
              <w:right w:val="nil"/>
            </w:tcBorders>
            <w:shd w:val="clear" w:color="auto" w:fill="auto"/>
            <w:vAlign w:val="bottom"/>
            <w:hideMark/>
          </w:tcPr>
          <w:p w:rsidR="000040CE" w:rsidRDefault="000040CE">
            <w:pPr>
              <w:jc w:val="right"/>
              <w:rPr>
                <w:sz w:val="18"/>
                <w:szCs w:val="18"/>
              </w:rPr>
            </w:pPr>
            <w:r>
              <w:rPr>
                <w:sz w:val="18"/>
                <w:szCs w:val="18"/>
              </w:rPr>
              <w:t xml:space="preserve">145,430 </w:t>
            </w:r>
          </w:p>
        </w:tc>
        <w:tc>
          <w:tcPr>
            <w:tcW w:w="222" w:type="dxa"/>
            <w:tcBorders>
              <w:top w:val="nil"/>
              <w:left w:val="nil"/>
              <w:bottom w:val="nil"/>
              <w:right w:val="nil"/>
            </w:tcBorders>
            <w:shd w:val="clear" w:color="auto" w:fill="auto"/>
            <w:noWrap/>
            <w:vAlign w:val="bottom"/>
            <w:hideMark/>
          </w:tcPr>
          <w:p w:rsidR="000040CE" w:rsidRDefault="000040CE">
            <w:pPr>
              <w:jc w:val="right"/>
              <w:rPr>
                <w:sz w:val="18"/>
                <w:szCs w:val="18"/>
              </w:rPr>
            </w:pPr>
          </w:p>
        </w:tc>
        <w:tc>
          <w:tcPr>
            <w:tcW w:w="1245" w:type="dxa"/>
            <w:tcBorders>
              <w:top w:val="nil"/>
              <w:left w:val="nil"/>
              <w:bottom w:val="double" w:sz="6" w:space="0" w:color="auto"/>
              <w:right w:val="nil"/>
            </w:tcBorders>
            <w:shd w:val="clear" w:color="auto" w:fill="auto"/>
            <w:vAlign w:val="bottom"/>
            <w:hideMark/>
          </w:tcPr>
          <w:p w:rsidR="000040CE" w:rsidRDefault="000040CE">
            <w:pPr>
              <w:jc w:val="right"/>
              <w:rPr>
                <w:sz w:val="18"/>
                <w:szCs w:val="18"/>
              </w:rPr>
            </w:pPr>
            <w:r>
              <w:rPr>
                <w:sz w:val="18"/>
                <w:szCs w:val="18"/>
              </w:rPr>
              <w:t xml:space="preserve">522,971 </w:t>
            </w:r>
          </w:p>
        </w:tc>
        <w:tc>
          <w:tcPr>
            <w:tcW w:w="222" w:type="dxa"/>
            <w:tcBorders>
              <w:top w:val="nil"/>
              <w:left w:val="nil"/>
              <w:bottom w:val="nil"/>
              <w:right w:val="nil"/>
            </w:tcBorders>
            <w:shd w:val="clear" w:color="auto" w:fill="auto"/>
            <w:noWrap/>
            <w:vAlign w:val="bottom"/>
            <w:hideMark/>
          </w:tcPr>
          <w:p w:rsidR="000040CE" w:rsidRDefault="000040CE">
            <w:pPr>
              <w:jc w:val="right"/>
              <w:rPr>
                <w:sz w:val="18"/>
                <w:szCs w:val="18"/>
              </w:rPr>
            </w:pPr>
          </w:p>
        </w:tc>
        <w:tc>
          <w:tcPr>
            <w:tcW w:w="1345" w:type="dxa"/>
            <w:tcBorders>
              <w:top w:val="nil"/>
              <w:left w:val="nil"/>
              <w:bottom w:val="double" w:sz="6" w:space="0" w:color="auto"/>
              <w:right w:val="nil"/>
            </w:tcBorders>
            <w:shd w:val="clear" w:color="auto" w:fill="auto"/>
            <w:noWrap/>
            <w:vAlign w:val="bottom"/>
            <w:hideMark/>
          </w:tcPr>
          <w:p w:rsidR="000040CE" w:rsidRDefault="000040CE">
            <w:pPr>
              <w:jc w:val="center"/>
              <w:rPr>
                <w:sz w:val="18"/>
                <w:szCs w:val="18"/>
              </w:rPr>
            </w:pPr>
            <w:r>
              <w:rPr>
                <w:sz w:val="18"/>
                <w:szCs w:val="18"/>
              </w:rPr>
              <w:t xml:space="preserve">$5.36 </w:t>
            </w:r>
          </w:p>
        </w:tc>
        <w:tc>
          <w:tcPr>
            <w:tcW w:w="222" w:type="dxa"/>
            <w:tcBorders>
              <w:top w:val="nil"/>
              <w:left w:val="nil"/>
              <w:bottom w:val="nil"/>
              <w:right w:val="nil"/>
            </w:tcBorders>
            <w:shd w:val="clear" w:color="auto" w:fill="auto"/>
            <w:noWrap/>
            <w:vAlign w:val="bottom"/>
            <w:hideMark/>
          </w:tcPr>
          <w:p w:rsidR="000040CE" w:rsidRDefault="000040CE">
            <w:pPr>
              <w:jc w:val="center"/>
              <w:rPr>
                <w:sz w:val="18"/>
                <w:szCs w:val="18"/>
              </w:rPr>
            </w:pPr>
          </w:p>
        </w:tc>
        <w:tc>
          <w:tcPr>
            <w:tcW w:w="1459" w:type="dxa"/>
            <w:tcBorders>
              <w:top w:val="nil"/>
              <w:left w:val="nil"/>
              <w:bottom w:val="double" w:sz="6" w:space="0" w:color="auto"/>
              <w:right w:val="nil"/>
            </w:tcBorders>
            <w:shd w:val="clear" w:color="auto" w:fill="auto"/>
            <w:noWrap/>
            <w:vAlign w:val="bottom"/>
            <w:hideMark/>
          </w:tcPr>
          <w:p w:rsidR="000040CE" w:rsidRDefault="000040CE">
            <w:pPr>
              <w:jc w:val="center"/>
              <w:rPr>
                <w:sz w:val="18"/>
                <w:szCs w:val="18"/>
              </w:rPr>
            </w:pPr>
            <w:r>
              <w:rPr>
                <w:sz w:val="18"/>
                <w:szCs w:val="18"/>
              </w:rPr>
              <w:t>4.7 Years</w:t>
            </w:r>
          </w:p>
        </w:tc>
      </w:tr>
      <w:tr w:rsidR="000040CE" w:rsidTr="00CC05D5">
        <w:trPr>
          <w:trHeight w:val="270"/>
        </w:trPr>
        <w:tc>
          <w:tcPr>
            <w:tcW w:w="2186" w:type="dxa"/>
            <w:tcBorders>
              <w:top w:val="nil"/>
              <w:left w:val="nil"/>
              <w:bottom w:val="nil"/>
              <w:right w:val="nil"/>
            </w:tcBorders>
            <w:shd w:val="clear" w:color="auto" w:fill="auto"/>
            <w:noWrap/>
            <w:vAlign w:val="bottom"/>
            <w:hideMark/>
          </w:tcPr>
          <w:p w:rsidR="000040CE" w:rsidRDefault="000040CE">
            <w:pPr>
              <w:rPr>
                <w:sz w:val="18"/>
                <w:szCs w:val="18"/>
              </w:rPr>
            </w:pPr>
          </w:p>
        </w:tc>
        <w:tc>
          <w:tcPr>
            <w:tcW w:w="1147" w:type="dxa"/>
            <w:tcBorders>
              <w:top w:val="nil"/>
              <w:left w:val="nil"/>
              <w:bottom w:val="nil"/>
              <w:right w:val="nil"/>
            </w:tcBorders>
            <w:shd w:val="clear" w:color="auto" w:fill="auto"/>
            <w:noWrap/>
            <w:vAlign w:val="bottom"/>
            <w:hideMark/>
          </w:tcPr>
          <w:p w:rsidR="000040CE" w:rsidRDefault="000040CE">
            <w:pPr>
              <w:rPr>
                <w:sz w:val="18"/>
                <w:szCs w:val="18"/>
              </w:rPr>
            </w:pPr>
          </w:p>
        </w:tc>
        <w:tc>
          <w:tcPr>
            <w:tcW w:w="222" w:type="dxa"/>
            <w:tcBorders>
              <w:top w:val="nil"/>
              <w:left w:val="nil"/>
              <w:bottom w:val="nil"/>
              <w:right w:val="nil"/>
            </w:tcBorders>
            <w:shd w:val="clear" w:color="auto" w:fill="auto"/>
            <w:noWrap/>
            <w:vAlign w:val="bottom"/>
            <w:hideMark/>
          </w:tcPr>
          <w:p w:rsidR="000040CE" w:rsidRDefault="000040CE">
            <w:pPr>
              <w:rPr>
                <w:sz w:val="18"/>
                <w:szCs w:val="18"/>
              </w:rPr>
            </w:pPr>
          </w:p>
        </w:tc>
        <w:tc>
          <w:tcPr>
            <w:tcW w:w="1364" w:type="dxa"/>
            <w:tcBorders>
              <w:top w:val="nil"/>
              <w:left w:val="nil"/>
              <w:bottom w:val="nil"/>
              <w:right w:val="nil"/>
            </w:tcBorders>
            <w:shd w:val="clear" w:color="auto" w:fill="auto"/>
            <w:noWrap/>
            <w:vAlign w:val="bottom"/>
            <w:hideMark/>
          </w:tcPr>
          <w:p w:rsidR="000040CE" w:rsidRDefault="000040CE">
            <w:pPr>
              <w:rPr>
                <w:sz w:val="18"/>
                <w:szCs w:val="18"/>
              </w:rPr>
            </w:pPr>
          </w:p>
        </w:tc>
        <w:tc>
          <w:tcPr>
            <w:tcW w:w="222" w:type="dxa"/>
            <w:tcBorders>
              <w:top w:val="nil"/>
              <w:left w:val="nil"/>
              <w:bottom w:val="nil"/>
              <w:right w:val="nil"/>
            </w:tcBorders>
            <w:shd w:val="clear" w:color="auto" w:fill="auto"/>
            <w:noWrap/>
            <w:vAlign w:val="bottom"/>
            <w:hideMark/>
          </w:tcPr>
          <w:p w:rsidR="000040CE" w:rsidRDefault="000040CE">
            <w:pPr>
              <w:rPr>
                <w:sz w:val="18"/>
                <w:szCs w:val="18"/>
              </w:rPr>
            </w:pPr>
          </w:p>
        </w:tc>
        <w:tc>
          <w:tcPr>
            <w:tcW w:w="1245" w:type="dxa"/>
            <w:tcBorders>
              <w:top w:val="nil"/>
              <w:left w:val="nil"/>
              <w:bottom w:val="nil"/>
              <w:right w:val="nil"/>
            </w:tcBorders>
            <w:shd w:val="clear" w:color="auto" w:fill="auto"/>
            <w:noWrap/>
            <w:vAlign w:val="bottom"/>
            <w:hideMark/>
          </w:tcPr>
          <w:p w:rsidR="000040CE" w:rsidRDefault="000040CE">
            <w:pPr>
              <w:rPr>
                <w:sz w:val="18"/>
                <w:szCs w:val="18"/>
              </w:rPr>
            </w:pPr>
          </w:p>
        </w:tc>
        <w:tc>
          <w:tcPr>
            <w:tcW w:w="222" w:type="dxa"/>
            <w:tcBorders>
              <w:top w:val="nil"/>
              <w:left w:val="nil"/>
              <w:bottom w:val="nil"/>
              <w:right w:val="nil"/>
            </w:tcBorders>
            <w:shd w:val="clear" w:color="auto" w:fill="auto"/>
            <w:noWrap/>
            <w:vAlign w:val="bottom"/>
            <w:hideMark/>
          </w:tcPr>
          <w:p w:rsidR="000040CE" w:rsidRDefault="000040CE">
            <w:pPr>
              <w:rPr>
                <w:sz w:val="18"/>
                <w:szCs w:val="18"/>
              </w:rPr>
            </w:pPr>
          </w:p>
        </w:tc>
        <w:tc>
          <w:tcPr>
            <w:tcW w:w="1345" w:type="dxa"/>
            <w:tcBorders>
              <w:top w:val="nil"/>
              <w:left w:val="nil"/>
              <w:bottom w:val="nil"/>
              <w:right w:val="nil"/>
            </w:tcBorders>
            <w:shd w:val="clear" w:color="auto" w:fill="auto"/>
            <w:noWrap/>
            <w:hideMark/>
          </w:tcPr>
          <w:p w:rsidR="000040CE" w:rsidRDefault="000040CE">
            <w:pPr>
              <w:jc w:val="center"/>
              <w:rPr>
                <w:sz w:val="18"/>
                <w:szCs w:val="18"/>
              </w:rPr>
            </w:pPr>
          </w:p>
        </w:tc>
        <w:tc>
          <w:tcPr>
            <w:tcW w:w="222" w:type="dxa"/>
            <w:tcBorders>
              <w:top w:val="nil"/>
              <w:left w:val="nil"/>
              <w:bottom w:val="nil"/>
              <w:right w:val="nil"/>
            </w:tcBorders>
            <w:shd w:val="clear" w:color="auto" w:fill="auto"/>
            <w:noWrap/>
            <w:hideMark/>
          </w:tcPr>
          <w:p w:rsidR="000040CE" w:rsidRDefault="000040CE">
            <w:pPr>
              <w:jc w:val="center"/>
              <w:rPr>
                <w:sz w:val="18"/>
                <w:szCs w:val="18"/>
              </w:rPr>
            </w:pPr>
          </w:p>
        </w:tc>
        <w:tc>
          <w:tcPr>
            <w:tcW w:w="1459" w:type="dxa"/>
            <w:tcBorders>
              <w:top w:val="nil"/>
              <w:left w:val="nil"/>
              <w:bottom w:val="nil"/>
              <w:right w:val="nil"/>
            </w:tcBorders>
            <w:shd w:val="clear" w:color="auto" w:fill="auto"/>
            <w:noWrap/>
            <w:vAlign w:val="bottom"/>
            <w:hideMark/>
          </w:tcPr>
          <w:p w:rsidR="000040CE" w:rsidRDefault="000040CE">
            <w:pPr>
              <w:rPr>
                <w:sz w:val="18"/>
                <w:szCs w:val="18"/>
              </w:rPr>
            </w:pPr>
          </w:p>
        </w:tc>
      </w:tr>
      <w:tr w:rsidR="000040CE" w:rsidTr="00CC05D5">
        <w:trPr>
          <w:trHeight w:val="495"/>
        </w:trPr>
        <w:tc>
          <w:tcPr>
            <w:tcW w:w="2186" w:type="dxa"/>
            <w:tcBorders>
              <w:top w:val="nil"/>
              <w:left w:val="nil"/>
              <w:bottom w:val="nil"/>
              <w:right w:val="nil"/>
            </w:tcBorders>
            <w:shd w:val="clear" w:color="auto" w:fill="auto"/>
            <w:hideMark/>
          </w:tcPr>
          <w:p w:rsidR="000040CE" w:rsidRDefault="000040CE">
            <w:pPr>
              <w:rPr>
                <w:sz w:val="18"/>
                <w:szCs w:val="18"/>
              </w:rPr>
            </w:pPr>
            <w:r>
              <w:rPr>
                <w:sz w:val="18"/>
                <w:szCs w:val="18"/>
              </w:rPr>
              <w:t>Outstanding Exercisable at December 31, 2011</w:t>
            </w:r>
          </w:p>
        </w:tc>
        <w:tc>
          <w:tcPr>
            <w:tcW w:w="1147" w:type="dxa"/>
            <w:tcBorders>
              <w:top w:val="nil"/>
              <w:left w:val="nil"/>
              <w:bottom w:val="nil"/>
              <w:right w:val="nil"/>
            </w:tcBorders>
            <w:shd w:val="clear" w:color="auto" w:fill="auto"/>
            <w:noWrap/>
            <w:vAlign w:val="bottom"/>
            <w:hideMark/>
          </w:tcPr>
          <w:p w:rsidR="000040CE" w:rsidRDefault="000040CE">
            <w:pPr>
              <w:rPr>
                <w:rFonts w:ascii="Arial" w:hAnsi="Arial" w:cs="Arial"/>
                <w:sz w:val="20"/>
                <w:szCs w:val="20"/>
              </w:rPr>
            </w:pPr>
          </w:p>
        </w:tc>
        <w:tc>
          <w:tcPr>
            <w:tcW w:w="222" w:type="dxa"/>
            <w:tcBorders>
              <w:top w:val="nil"/>
              <w:left w:val="nil"/>
              <w:bottom w:val="nil"/>
              <w:right w:val="nil"/>
            </w:tcBorders>
            <w:shd w:val="clear" w:color="auto" w:fill="auto"/>
            <w:noWrap/>
            <w:vAlign w:val="bottom"/>
            <w:hideMark/>
          </w:tcPr>
          <w:p w:rsidR="000040CE" w:rsidRDefault="000040CE">
            <w:pPr>
              <w:rPr>
                <w:rFonts w:ascii="Arial" w:hAnsi="Arial" w:cs="Arial"/>
                <w:sz w:val="20"/>
                <w:szCs w:val="20"/>
              </w:rPr>
            </w:pPr>
          </w:p>
        </w:tc>
        <w:tc>
          <w:tcPr>
            <w:tcW w:w="1364" w:type="dxa"/>
            <w:tcBorders>
              <w:top w:val="nil"/>
              <w:left w:val="nil"/>
              <w:bottom w:val="nil"/>
              <w:right w:val="nil"/>
            </w:tcBorders>
            <w:shd w:val="clear" w:color="auto" w:fill="auto"/>
            <w:noWrap/>
            <w:vAlign w:val="bottom"/>
            <w:hideMark/>
          </w:tcPr>
          <w:p w:rsidR="000040CE" w:rsidRDefault="000040CE">
            <w:pPr>
              <w:rPr>
                <w:rFonts w:ascii="Arial" w:hAnsi="Arial" w:cs="Arial"/>
                <w:sz w:val="20"/>
                <w:szCs w:val="20"/>
              </w:rPr>
            </w:pPr>
          </w:p>
        </w:tc>
        <w:tc>
          <w:tcPr>
            <w:tcW w:w="222" w:type="dxa"/>
            <w:tcBorders>
              <w:top w:val="nil"/>
              <w:left w:val="nil"/>
              <w:bottom w:val="nil"/>
              <w:right w:val="nil"/>
            </w:tcBorders>
            <w:shd w:val="clear" w:color="auto" w:fill="auto"/>
            <w:noWrap/>
            <w:vAlign w:val="bottom"/>
            <w:hideMark/>
          </w:tcPr>
          <w:p w:rsidR="000040CE" w:rsidRDefault="000040CE">
            <w:pPr>
              <w:rPr>
                <w:sz w:val="18"/>
                <w:szCs w:val="18"/>
              </w:rPr>
            </w:pPr>
          </w:p>
        </w:tc>
        <w:tc>
          <w:tcPr>
            <w:tcW w:w="1245" w:type="dxa"/>
            <w:tcBorders>
              <w:top w:val="nil"/>
              <w:left w:val="nil"/>
              <w:bottom w:val="double" w:sz="6" w:space="0" w:color="auto"/>
              <w:right w:val="nil"/>
            </w:tcBorders>
            <w:shd w:val="clear" w:color="auto" w:fill="auto"/>
            <w:noWrap/>
            <w:vAlign w:val="bottom"/>
            <w:hideMark/>
          </w:tcPr>
          <w:p w:rsidR="000040CE" w:rsidRDefault="000040CE">
            <w:pPr>
              <w:jc w:val="right"/>
              <w:rPr>
                <w:sz w:val="18"/>
                <w:szCs w:val="18"/>
              </w:rPr>
            </w:pPr>
            <w:r>
              <w:rPr>
                <w:sz w:val="18"/>
                <w:szCs w:val="18"/>
              </w:rPr>
              <w:t xml:space="preserve">        267,355 </w:t>
            </w:r>
          </w:p>
        </w:tc>
        <w:tc>
          <w:tcPr>
            <w:tcW w:w="222" w:type="dxa"/>
            <w:tcBorders>
              <w:top w:val="nil"/>
              <w:left w:val="nil"/>
              <w:bottom w:val="nil"/>
              <w:right w:val="nil"/>
            </w:tcBorders>
            <w:shd w:val="clear" w:color="auto" w:fill="auto"/>
            <w:noWrap/>
            <w:vAlign w:val="bottom"/>
            <w:hideMark/>
          </w:tcPr>
          <w:p w:rsidR="000040CE" w:rsidRDefault="000040CE">
            <w:pPr>
              <w:rPr>
                <w:sz w:val="18"/>
                <w:szCs w:val="18"/>
              </w:rPr>
            </w:pPr>
          </w:p>
        </w:tc>
        <w:tc>
          <w:tcPr>
            <w:tcW w:w="1345" w:type="dxa"/>
            <w:tcBorders>
              <w:top w:val="nil"/>
              <w:left w:val="nil"/>
              <w:bottom w:val="double" w:sz="6" w:space="0" w:color="auto"/>
              <w:right w:val="nil"/>
            </w:tcBorders>
            <w:shd w:val="clear" w:color="auto" w:fill="auto"/>
            <w:noWrap/>
            <w:vAlign w:val="bottom"/>
            <w:hideMark/>
          </w:tcPr>
          <w:p w:rsidR="000040CE" w:rsidRDefault="000040CE">
            <w:pPr>
              <w:jc w:val="center"/>
              <w:rPr>
                <w:sz w:val="18"/>
                <w:szCs w:val="18"/>
              </w:rPr>
            </w:pPr>
            <w:r>
              <w:rPr>
                <w:sz w:val="18"/>
                <w:szCs w:val="18"/>
              </w:rPr>
              <w:t xml:space="preserve">$5.88 </w:t>
            </w:r>
          </w:p>
        </w:tc>
        <w:tc>
          <w:tcPr>
            <w:tcW w:w="222" w:type="dxa"/>
            <w:tcBorders>
              <w:top w:val="nil"/>
              <w:left w:val="nil"/>
              <w:bottom w:val="nil"/>
              <w:right w:val="nil"/>
            </w:tcBorders>
            <w:shd w:val="clear" w:color="auto" w:fill="auto"/>
            <w:noWrap/>
            <w:vAlign w:val="bottom"/>
            <w:hideMark/>
          </w:tcPr>
          <w:p w:rsidR="000040CE" w:rsidRDefault="000040CE">
            <w:pPr>
              <w:jc w:val="center"/>
              <w:rPr>
                <w:sz w:val="18"/>
                <w:szCs w:val="18"/>
              </w:rPr>
            </w:pPr>
          </w:p>
        </w:tc>
        <w:tc>
          <w:tcPr>
            <w:tcW w:w="1459" w:type="dxa"/>
            <w:tcBorders>
              <w:top w:val="nil"/>
              <w:left w:val="nil"/>
              <w:bottom w:val="double" w:sz="6" w:space="0" w:color="auto"/>
              <w:right w:val="nil"/>
            </w:tcBorders>
            <w:shd w:val="clear" w:color="auto" w:fill="auto"/>
            <w:noWrap/>
            <w:vAlign w:val="bottom"/>
            <w:hideMark/>
          </w:tcPr>
          <w:p w:rsidR="000040CE" w:rsidRDefault="000040CE">
            <w:pPr>
              <w:jc w:val="center"/>
              <w:rPr>
                <w:sz w:val="18"/>
                <w:szCs w:val="18"/>
              </w:rPr>
            </w:pPr>
            <w:r>
              <w:rPr>
                <w:sz w:val="18"/>
                <w:szCs w:val="18"/>
              </w:rPr>
              <w:t>2.6 Years</w:t>
            </w:r>
          </w:p>
        </w:tc>
      </w:tr>
    </w:tbl>
    <w:p w:rsidR="000040CE" w:rsidRDefault="000040CE" w:rsidP="00CC05D5">
      <w:pPr>
        <w:rPr>
          <w:color w:val="000000"/>
          <w:sz w:val="20"/>
        </w:rPr>
      </w:pPr>
    </w:p>
    <w:p w:rsidR="004851D7" w:rsidRDefault="004851D7">
      <w:pPr>
        <w:ind w:firstLine="720"/>
        <w:rPr>
          <w:color w:val="000000"/>
          <w:sz w:val="20"/>
        </w:rPr>
      </w:pPr>
      <w:r>
        <w:rPr>
          <w:color w:val="000000"/>
          <w:sz w:val="20"/>
        </w:rPr>
        <w:t>The weighted-average fair value of options granted during 201</w:t>
      </w:r>
      <w:r w:rsidR="00366B07">
        <w:rPr>
          <w:color w:val="000000"/>
          <w:sz w:val="20"/>
        </w:rPr>
        <w:t>1</w:t>
      </w:r>
      <w:r>
        <w:rPr>
          <w:color w:val="000000"/>
          <w:sz w:val="20"/>
        </w:rPr>
        <w:t xml:space="preserve"> and </w:t>
      </w:r>
      <w:r w:rsidR="00366B07">
        <w:rPr>
          <w:color w:val="000000"/>
          <w:sz w:val="20"/>
        </w:rPr>
        <w:t xml:space="preserve">2010 </w:t>
      </w:r>
      <w:r>
        <w:rPr>
          <w:color w:val="000000"/>
          <w:sz w:val="20"/>
        </w:rPr>
        <w:t>(computed using the Black-Scholes method) was $</w:t>
      </w:r>
      <w:r w:rsidR="000040CE">
        <w:rPr>
          <w:color w:val="000000"/>
          <w:sz w:val="20"/>
        </w:rPr>
        <w:t>2.64</w:t>
      </w:r>
      <w:r>
        <w:rPr>
          <w:color w:val="000000"/>
          <w:sz w:val="20"/>
        </w:rPr>
        <w:t xml:space="preserve"> and $</w:t>
      </w:r>
      <w:r w:rsidR="00366B07">
        <w:rPr>
          <w:color w:val="000000"/>
          <w:sz w:val="20"/>
        </w:rPr>
        <w:t>2.67</w:t>
      </w:r>
      <w:r>
        <w:rPr>
          <w:color w:val="000000"/>
          <w:sz w:val="20"/>
        </w:rPr>
        <w:t>, respectively.</w:t>
      </w:r>
    </w:p>
    <w:p w:rsidR="004851D7" w:rsidRDefault="004851D7">
      <w:pPr>
        <w:ind w:firstLine="720"/>
        <w:rPr>
          <w:color w:val="000000"/>
          <w:sz w:val="20"/>
        </w:rPr>
      </w:pPr>
    </w:p>
    <w:p w:rsidR="00095858" w:rsidRDefault="00095858">
      <w:pPr>
        <w:ind w:firstLine="720"/>
        <w:rPr>
          <w:color w:val="000000"/>
          <w:sz w:val="20"/>
        </w:rPr>
      </w:pPr>
    </w:p>
    <w:p w:rsidR="00095858" w:rsidRDefault="00095858">
      <w:pPr>
        <w:ind w:firstLine="720"/>
        <w:rPr>
          <w:color w:val="000000"/>
          <w:sz w:val="20"/>
        </w:rPr>
      </w:pPr>
    </w:p>
    <w:p w:rsidR="00095858" w:rsidRDefault="00095858">
      <w:pPr>
        <w:ind w:firstLine="720"/>
        <w:rPr>
          <w:color w:val="000000"/>
          <w:sz w:val="20"/>
        </w:rPr>
      </w:pPr>
    </w:p>
    <w:p w:rsidR="00095858" w:rsidRDefault="00095858">
      <w:pPr>
        <w:ind w:firstLine="720"/>
        <w:rPr>
          <w:color w:val="000000"/>
          <w:sz w:val="20"/>
        </w:rPr>
      </w:pPr>
    </w:p>
    <w:p w:rsidR="00095858" w:rsidRDefault="00095858">
      <w:pPr>
        <w:ind w:firstLine="720"/>
        <w:rPr>
          <w:color w:val="000000"/>
          <w:sz w:val="20"/>
        </w:rPr>
      </w:pPr>
    </w:p>
    <w:p w:rsidR="00095858" w:rsidRDefault="00095858">
      <w:pPr>
        <w:ind w:firstLine="720"/>
        <w:rPr>
          <w:color w:val="000000"/>
          <w:sz w:val="20"/>
        </w:rPr>
      </w:pPr>
    </w:p>
    <w:p w:rsidR="00095858" w:rsidRDefault="00095858">
      <w:pPr>
        <w:ind w:firstLine="720"/>
        <w:rPr>
          <w:color w:val="000000"/>
          <w:sz w:val="20"/>
        </w:rPr>
      </w:pPr>
    </w:p>
    <w:p w:rsidR="00095858" w:rsidRDefault="00095858">
      <w:pPr>
        <w:ind w:firstLine="720"/>
        <w:rPr>
          <w:color w:val="000000"/>
          <w:sz w:val="20"/>
        </w:rPr>
      </w:pPr>
    </w:p>
    <w:p w:rsidR="00095858" w:rsidRPr="0039741E" w:rsidRDefault="00095858" w:rsidP="0039741E">
      <w:pPr>
        <w:pStyle w:val="ListParagraph"/>
        <w:numPr>
          <w:ilvl w:val="0"/>
          <w:numId w:val="23"/>
        </w:numPr>
        <w:rPr>
          <w:b/>
          <w:bCs/>
          <w:color w:val="000000"/>
          <w:sz w:val="20"/>
        </w:rPr>
      </w:pPr>
      <w:r w:rsidRPr="0039741E">
        <w:rPr>
          <w:b/>
          <w:bCs/>
          <w:color w:val="000000"/>
          <w:sz w:val="20"/>
        </w:rPr>
        <w:t>Shareholders’ Equity (Continued)</w:t>
      </w:r>
    </w:p>
    <w:p w:rsidR="00095858" w:rsidRPr="0039741E" w:rsidRDefault="00095858" w:rsidP="0039741E">
      <w:pPr>
        <w:pStyle w:val="ListParagraph"/>
        <w:ind w:left="360"/>
        <w:rPr>
          <w:color w:val="000000"/>
          <w:sz w:val="20"/>
        </w:rPr>
      </w:pPr>
    </w:p>
    <w:p w:rsidR="004851D7" w:rsidRDefault="004851D7">
      <w:pPr>
        <w:ind w:firstLine="720"/>
        <w:rPr>
          <w:color w:val="000000"/>
          <w:sz w:val="20"/>
        </w:rPr>
      </w:pPr>
      <w:r>
        <w:rPr>
          <w:color w:val="000000"/>
          <w:sz w:val="20"/>
        </w:rPr>
        <w:t>The following summarizes information about stock options outstanding at December 31, 201</w:t>
      </w:r>
      <w:r w:rsidR="00A85912">
        <w:rPr>
          <w:color w:val="000000"/>
          <w:sz w:val="20"/>
        </w:rPr>
        <w:t>1</w:t>
      </w:r>
      <w:r>
        <w:rPr>
          <w:color w:val="000000"/>
          <w:sz w:val="20"/>
        </w:rPr>
        <w:t>:</w:t>
      </w:r>
    </w:p>
    <w:p w:rsidR="00F756E5" w:rsidRDefault="00F756E5">
      <w:pPr>
        <w:ind w:firstLine="720"/>
        <w:rPr>
          <w:color w:val="000000"/>
          <w:sz w:val="20"/>
        </w:rPr>
      </w:pPr>
    </w:p>
    <w:tbl>
      <w:tblPr>
        <w:tblW w:w="5000" w:type="pct"/>
        <w:tblLook w:val="04A0" w:firstRow="1" w:lastRow="0" w:firstColumn="1" w:lastColumn="0" w:noHBand="0" w:noVBand="1"/>
      </w:tblPr>
      <w:tblGrid>
        <w:gridCol w:w="1174"/>
        <w:gridCol w:w="457"/>
        <w:gridCol w:w="1039"/>
        <w:gridCol w:w="1426"/>
        <w:gridCol w:w="1738"/>
        <w:gridCol w:w="1187"/>
        <w:gridCol w:w="1426"/>
        <w:gridCol w:w="1187"/>
      </w:tblGrid>
      <w:tr w:rsidR="008648DD" w:rsidTr="008E7547">
        <w:trPr>
          <w:trHeight w:val="255"/>
        </w:trPr>
        <w:tc>
          <w:tcPr>
            <w:tcW w:w="1386" w:type="pct"/>
            <w:gridSpan w:val="3"/>
            <w:tcBorders>
              <w:top w:val="nil"/>
              <w:left w:val="nil"/>
              <w:bottom w:val="nil"/>
              <w:right w:val="nil"/>
            </w:tcBorders>
            <w:shd w:val="clear" w:color="auto" w:fill="auto"/>
            <w:noWrap/>
            <w:vAlign w:val="bottom"/>
            <w:hideMark/>
          </w:tcPr>
          <w:p w:rsidR="008648DD" w:rsidRDefault="008648DD">
            <w:pPr>
              <w:jc w:val="center"/>
              <w:rPr>
                <w:b/>
                <w:bCs/>
                <w:sz w:val="20"/>
                <w:szCs w:val="20"/>
              </w:rPr>
            </w:pPr>
            <w:r>
              <w:rPr>
                <w:b/>
                <w:bCs/>
                <w:sz w:val="20"/>
                <w:szCs w:val="20"/>
              </w:rPr>
              <w:t xml:space="preserve">Range of Exercise Prices </w:t>
            </w:r>
          </w:p>
        </w:tc>
        <w:tc>
          <w:tcPr>
            <w:tcW w:w="2258" w:type="pct"/>
            <w:gridSpan w:val="3"/>
            <w:tcBorders>
              <w:top w:val="nil"/>
              <w:left w:val="nil"/>
              <w:bottom w:val="nil"/>
              <w:right w:val="nil"/>
            </w:tcBorders>
            <w:shd w:val="clear" w:color="auto" w:fill="auto"/>
            <w:noWrap/>
            <w:vAlign w:val="bottom"/>
            <w:hideMark/>
          </w:tcPr>
          <w:p w:rsidR="008648DD" w:rsidRDefault="008648DD">
            <w:pPr>
              <w:jc w:val="center"/>
              <w:rPr>
                <w:b/>
                <w:bCs/>
                <w:sz w:val="20"/>
                <w:szCs w:val="20"/>
              </w:rPr>
            </w:pPr>
            <w:r>
              <w:rPr>
                <w:b/>
                <w:bCs/>
                <w:sz w:val="20"/>
                <w:szCs w:val="20"/>
              </w:rPr>
              <w:t xml:space="preserve"> Options Outstanding </w:t>
            </w:r>
          </w:p>
        </w:tc>
        <w:tc>
          <w:tcPr>
            <w:tcW w:w="1356" w:type="pct"/>
            <w:gridSpan w:val="2"/>
            <w:tcBorders>
              <w:top w:val="nil"/>
              <w:left w:val="nil"/>
              <w:bottom w:val="nil"/>
              <w:right w:val="nil"/>
            </w:tcBorders>
            <w:shd w:val="clear" w:color="auto" w:fill="auto"/>
            <w:noWrap/>
            <w:vAlign w:val="bottom"/>
            <w:hideMark/>
          </w:tcPr>
          <w:p w:rsidR="008648DD" w:rsidRDefault="008648DD">
            <w:pPr>
              <w:jc w:val="center"/>
              <w:rPr>
                <w:b/>
                <w:bCs/>
                <w:sz w:val="20"/>
                <w:szCs w:val="20"/>
              </w:rPr>
            </w:pPr>
            <w:r>
              <w:rPr>
                <w:b/>
                <w:bCs/>
                <w:sz w:val="20"/>
                <w:szCs w:val="20"/>
              </w:rPr>
              <w:t xml:space="preserve"> Options Exercisable </w:t>
            </w:r>
          </w:p>
        </w:tc>
      </w:tr>
      <w:tr w:rsidR="008648DD" w:rsidTr="004C371E">
        <w:trPr>
          <w:trHeight w:val="1020"/>
        </w:trPr>
        <w:tc>
          <w:tcPr>
            <w:tcW w:w="610" w:type="pct"/>
            <w:tcBorders>
              <w:top w:val="nil"/>
              <w:left w:val="nil"/>
              <w:bottom w:val="nil"/>
              <w:right w:val="nil"/>
            </w:tcBorders>
            <w:shd w:val="clear" w:color="auto" w:fill="auto"/>
            <w:vAlign w:val="center"/>
            <w:hideMark/>
          </w:tcPr>
          <w:p w:rsidR="008648DD" w:rsidRDefault="008648DD">
            <w:pPr>
              <w:jc w:val="right"/>
              <w:rPr>
                <w:b/>
                <w:bCs/>
                <w:sz w:val="20"/>
                <w:szCs w:val="20"/>
              </w:rPr>
            </w:pPr>
            <w:r>
              <w:rPr>
                <w:b/>
                <w:bCs/>
                <w:sz w:val="20"/>
                <w:szCs w:val="20"/>
              </w:rPr>
              <w:t>From</w:t>
            </w:r>
          </w:p>
        </w:tc>
        <w:tc>
          <w:tcPr>
            <w:tcW w:w="237" w:type="pct"/>
            <w:tcBorders>
              <w:top w:val="nil"/>
              <w:left w:val="nil"/>
              <w:bottom w:val="nil"/>
              <w:right w:val="nil"/>
            </w:tcBorders>
            <w:shd w:val="clear" w:color="auto" w:fill="auto"/>
            <w:vAlign w:val="center"/>
            <w:hideMark/>
          </w:tcPr>
          <w:p w:rsidR="008648DD" w:rsidRDefault="008648DD">
            <w:pPr>
              <w:jc w:val="center"/>
              <w:rPr>
                <w:b/>
                <w:bCs/>
                <w:color w:val="FF0000"/>
                <w:sz w:val="20"/>
                <w:szCs w:val="20"/>
              </w:rPr>
            </w:pPr>
          </w:p>
        </w:tc>
        <w:tc>
          <w:tcPr>
            <w:tcW w:w="538" w:type="pct"/>
            <w:tcBorders>
              <w:top w:val="nil"/>
              <w:left w:val="nil"/>
              <w:bottom w:val="nil"/>
              <w:right w:val="nil"/>
            </w:tcBorders>
            <w:shd w:val="clear" w:color="auto" w:fill="auto"/>
            <w:vAlign w:val="center"/>
            <w:hideMark/>
          </w:tcPr>
          <w:p w:rsidR="008648DD" w:rsidRDefault="008648DD">
            <w:pPr>
              <w:rPr>
                <w:b/>
                <w:bCs/>
                <w:sz w:val="20"/>
                <w:szCs w:val="20"/>
              </w:rPr>
            </w:pPr>
            <w:r>
              <w:rPr>
                <w:b/>
                <w:bCs/>
                <w:sz w:val="20"/>
                <w:szCs w:val="20"/>
              </w:rPr>
              <w:t>to</w:t>
            </w:r>
          </w:p>
        </w:tc>
        <w:tc>
          <w:tcPr>
            <w:tcW w:w="740" w:type="pct"/>
            <w:tcBorders>
              <w:top w:val="nil"/>
              <w:left w:val="nil"/>
              <w:bottom w:val="nil"/>
              <w:right w:val="nil"/>
            </w:tcBorders>
            <w:shd w:val="clear" w:color="auto" w:fill="auto"/>
            <w:vAlign w:val="center"/>
            <w:hideMark/>
          </w:tcPr>
          <w:p w:rsidR="008648DD" w:rsidRDefault="008648DD">
            <w:pPr>
              <w:jc w:val="center"/>
              <w:rPr>
                <w:sz w:val="20"/>
                <w:szCs w:val="20"/>
              </w:rPr>
            </w:pPr>
            <w:r>
              <w:rPr>
                <w:sz w:val="20"/>
                <w:szCs w:val="20"/>
              </w:rPr>
              <w:t>Number Outstanding</w:t>
            </w:r>
          </w:p>
        </w:tc>
        <w:tc>
          <w:tcPr>
            <w:tcW w:w="902" w:type="pct"/>
            <w:tcBorders>
              <w:top w:val="nil"/>
              <w:left w:val="nil"/>
              <w:bottom w:val="nil"/>
              <w:right w:val="nil"/>
            </w:tcBorders>
            <w:shd w:val="clear" w:color="auto" w:fill="auto"/>
            <w:vAlign w:val="center"/>
            <w:hideMark/>
          </w:tcPr>
          <w:p w:rsidR="008648DD" w:rsidRDefault="008648DD">
            <w:pPr>
              <w:jc w:val="center"/>
              <w:rPr>
                <w:sz w:val="20"/>
                <w:szCs w:val="20"/>
              </w:rPr>
            </w:pPr>
            <w:r>
              <w:rPr>
                <w:sz w:val="20"/>
                <w:szCs w:val="20"/>
              </w:rPr>
              <w:t>Weighted Remaining Contractual Life             (in Years)</w:t>
            </w:r>
          </w:p>
        </w:tc>
        <w:tc>
          <w:tcPr>
            <w:tcW w:w="616" w:type="pct"/>
            <w:tcBorders>
              <w:top w:val="nil"/>
              <w:left w:val="nil"/>
              <w:bottom w:val="nil"/>
              <w:right w:val="nil"/>
            </w:tcBorders>
            <w:shd w:val="clear" w:color="auto" w:fill="auto"/>
            <w:vAlign w:val="center"/>
            <w:hideMark/>
          </w:tcPr>
          <w:p w:rsidR="008648DD" w:rsidRDefault="008648DD">
            <w:pPr>
              <w:jc w:val="center"/>
              <w:rPr>
                <w:sz w:val="20"/>
                <w:szCs w:val="20"/>
              </w:rPr>
            </w:pPr>
            <w:r>
              <w:rPr>
                <w:sz w:val="20"/>
                <w:szCs w:val="20"/>
              </w:rPr>
              <w:t>Weighted Exercise Price</w:t>
            </w:r>
          </w:p>
        </w:tc>
        <w:tc>
          <w:tcPr>
            <w:tcW w:w="740" w:type="pct"/>
            <w:tcBorders>
              <w:top w:val="nil"/>
              <w:left w:val="nil"/>
              <w:bottom w:val="nil"/>
              <w:right w:val="nil"/>
            </w:tcBorders>
            <w:shd w:val="clear" w:color="auto" w:fill="auto"/>
            <w:vAlign w:val="center"/>
            <w:hideMark/>
          </w:tcPr>
          <w:p w:rsidR="008648DD" w:rsidRDefault="008648DD">
            <w:pPr>
              <w:jc w:val="center"/>
              <w:rPr>
                <w:sz w:val="20"/>
                <w:szCs w:val="20"/>
              </w:rPr>
            </w:pPr>
            <w:r>
              <w:rPr>
                <w:sz w:val="20"/>
                <w:szCs w:val="20"/>
              </w:rPr>
              <w:t>Number Outstanding</w:t>
            </w:r>
          </w:p>
        </w:tc>
        <w:tc>
          <w:tcPr>
            <w:tcW w:w="616" w:type="pct"/>
            <w:tcBorders>
              <w:top w:val="nil"/>
              <w:left w:val="nil"/>
              <w:bottom w:val="nil"/>
              <w:right w:val="nil"/>
            </w:tcBorders>
            <w:shd w:val="clear" w:color="auto" w:fill="auto"/>
            <w:vAlign w:val="center"/>
            <w:hideMark/>
          </w:tcPr>
          <w:p w:rsidR="008648DD" w:rsidRDefault="008648DD">
            <w:pPr>
              <w:jc w:val="center"/>
              <w:rPr>
                <w:sz w:val="20"/>
                <w:szCs w:val="20"/>
              </w:rPr>
            </w:pPr>
            <w:r>
              <w:rPr>
                <w:sz w:val="20"/>
                <w:szCs w:val="20"/>
              </w:rPr>
              <w:t>Weighted Exercise Price</w:t>
            </w:r>
          </w:p>
        </w:tc>
      </w:tr>
      <w:tr w:rsidR="008648DD" w:rsidTr="004C371E">
        <w:trPr>
          <w:trHeight w:val="255"/>
        </w:trPr>
        <w:tc>
          <w:tcPr>
            <w:tcW w:w="610" w:type="pct"/>
            <w:tcBorders>
              <w:top w:val="single" w:sz="4" w:space="0" w:color="auto"/>
              <w:left w:val="nil"/>
              <w:bottom w:val="nil"/>
              <w:right w:val="nil"/>
            </w:tcBorders>
            <w:shd w:val="clear" w:color="auto" w:fill="auto"/>
            <w:noWrap/>
            <w:vAlign w:val="bottom"/>
            <w:hideMark/>
          </w:tcPr>
          <w:p w:rsidR="008648DD" w:rsidRDefault="008648DD">
            <w:pPr>
              <w:jc w:val="right"/>
              <w:rPr>
                <w:sz w:val="20"/>
                <w:szCs w:val="20"/>
              </w:rPr>
            </w:pPr>
            <w:r>
              <w:rPr>
                <w:sz w:val="20"/>
                <w:szCs w:val="20"/>
              </w:rPr>
              <w:t xml:space="preserve">$0.00 </w:t>
            </w:r>
          </w:p>
        </w:tc>
        <w:tc>
          <w:tcPr>
            <w:tcW w:w="237" w:type="pct"/>
            <w:tcBorders>
              <w:top w:val="single" w:sz="4" w:space="0" w:color="auto"/>
              <w:left w:val="nil"/>
              <w:bottom w:val="nil"/>
              <w:right w:val="nil"/>
            </w:tcBorders>
            <w:shd w:val="clear" w:color="auto" w:fill="auto"/>
            <w:noWrap/>
            <w:vAlign w:val="bottom"/>
            <w:hideMark/>
          </w:tcPr>
          <w:p w:rsidR="008648DD" w:rsidRDefault="008648DD">
            <w:pPr>
              <w:jc w:val="center"/>
              <w:rPr>
                <w:sz w:val="20"/>
                <w:szCs w:val="20"/>
              </w:rPr>
            </w:pPr>
            <w:r>
              <w:rPr>
                <w:sz w:val="20"/>
                <w:szCs w:val="20"/>
              </w:rPr>
              <w:t>to</w:t>
            </w:r>
          </w:p>
        </w:tc>
        <w:tc>
          <w:tcPr>
            <w:tcW w:w="538" w:type="pct"/>
            <w:tcBorders>
              <w:top w:val="single" w:sz="4" w:space="0" w:color="auto"/>
              <w:left w:val="nil"/>
              <w:bottom w:val="nil"/>
              <w:right w:val="nil"/>
            </w:tcBorders>
            <w:shd w:val="clear" w:color="auto" w:fill="auto"/>
            <w:noWrap/>
            <w:vAlign w:val="bottom"/>
            <w:hideMark/>
          </w:tcPr>
          <w:p w:rsidR="008648DD" w:rsidRDefault="008648DD">
            <w:pPr>
              <w:jc w:val="center"/>
              <w:rPr>
                <w:sz w:val="20"/>
                <w:szCs w:val="20"/>
              </w:rPr>
            </w:pPr>
            <w:r>
              <w:rPr>
                <w:sz w:val="20"/>
                <w:szCs w:val="20"/>
              </w:rPr>
              <w:t xml:space="preserve">$3.50 </w:t>
            </w:r>
          </w:p>
        </w:tc>
        <w:tc>
          <w:tcPr>
            <w:tcW w:w="740" w:type="pct"/>
            <w:tcBorders>
              <w:top w:val="single" w:sz="4" w:space="0" w:color="auto"/>
              <w:left w:val="nil"/>
              <w:bottom w:val="nil"/>
              <w:right w:val="nil"/>
            </w:tcBorders>
            <w:shd w:val="clear" w:color="auto" w:fill="auto"/>
            <w:noWrap/>
            <w:vAlign w:val="bottom"/>
            <w:hideMark/>
          </w:tcPr>
          <w:p w:rsidR="008648DD" w:rsidRDefault="008648DD">
            <w:pPr>
              <w:rPr>
                <w:sz w:val="20"/>
                <w:szCs w:val="20"/>
              </w:rPr>
            </w:pPr>
            <w:r>
              <w:rPr>
                <w:sz w:val="20"/>
                <w:szCs w:val="20"/>
              </w:rPr>
              <w:t xml:space="preserve">           36,776 </w:t>
            </w:r>
          </w:p>
        </w:tc>
        <w:tc>
          <w:tcPr>
            <w:tcW w:w="902" w:type="pct"/>
            <w:tcBorders>
              <w:top w:val="single" w:sz="4" w:space="0" w:color="auto"/>
              <w:left w:val="nil"/>
              <w:bottom w:val="nil"/>
              <w:right w:val="nil"/>
            </w:tcBorders>
            <w:shd w:val="clear" w:color="auto" w:fill="auto"/>
            <w:noWrap/>
            <w:vAlign w:val="bottom"/>
            <w:hideMark/>
          </w:tcPr>
          <w:p w:rsidR="008648DD" w:rsidRDefault="008648DD">
            <w:pPr>
              <w:rPr>
                <w:sz w:val="20"/>
                <w:szCs w:val="20"/>
              </w:rPr>
            </w:pPr>
            <w:r>
              <w:rPr>
                <w:sz w:val="20"/>
                <w:szCs w:val="20"/>
              </w:rPr>
              <w:t xml:space="preserve">                     3.37 </w:t>
            </w:r>
          </w:p>
        </w:tc>
        <w:tc>
          <w:tcPr>
            <w:tcW w:w="616" w:type="pct"/>
            <w:tcBorders>
              <w:top w:val="single" w:sz="4" w:space="0" w:color="auto"/>
              <w:left w:val="nil"/>
              <w:bottom w:val="nil"/>
              <w:right w:val="nil"/>
            </w:tcBorders>
            <w:shd w:val="clear" w:color="auto" w:fill="auto"/>
            <w:noWrap/>
            <w:vAlign w:val="bottom"/>
            <w:hideMark/>
          </w:tcPr>
          <w:p w:rsidR="008648DD" w:rsidRDefault="008648DD">
            <w:pPr>
              <w:jc w:val="right"/>
              <w:rPr>
                <w:sz w:val="20"/>
                <w:szCs w:val="20"/>
              </w:rPr>
            </w:pPr>
            <w:r>
              <w:rPr>
                <w:sz w:val="20"/>
                <w:szCs w:val="20"/>
              </w:rPr>
              <w:t xml:space="preserve">$3.28 </w:t>
            </w:r>
          </w:p>
        </w:tc>
        <w:tc>
          <w:tcPr>
            <w:tcW w:w="740" w:type="pct"/>
            <w:tcBorders>
              <w:top w:val="single" w:sz="4" w:space="0" w:color="auto"/>
              <w:left w:val="nil"/>
              <w:bottom w:val="nil"/>
              <w:right w:val="nil"/>
            </w:tcBorders>
            <w:shd w:val="clear" w:color="auto" w:fill="auto"/>
            <w:noWrap/>
            <w:vAlign w:val="bottom"/>
            <w:hideMark/>
          </w:tcPr>
          <w:p w:rsidR="008648DD" w:rsidRDefault="008648DD">
            <w:pPr>
              <w:rPr>
                <w:sz w:val="20"/>
                <w:szCs w:val="20"/>
              </w:rPr>
            </w:pPr>
            <w:r>
              <w:rPr>
                <w:sz w:val="20"/>
                <w:szCs w:val="20"/>
              </w:rPr>
              <w:t xml:space="preserve">          28,776 </w:t>
            </w:r>
          </w:p>
        </w:tc>
        <w:tc>
          <w:tcPr>
            <w:tcW w:w="616" w:type="pct"/>
            <w:tcBorders>
              <w:top w:val="single" w:sz="4" w:space="0" w:color="auto"/>
              <w:left w:val="nil"/>
              <w:bottom w:val="nil"/>
              <w:right w:val="nil"/>
            </w:tcBorders>
            <w:shd w:val="clear" w:color="auto" w:fill="auto"/>
            <w:noWrap/>
            <w:vAlign w:val="bottom"/>
            <w:hideMark/>
          </w:tcPr>
          <w:p w:rsidR="008648DD" w:rsidRDefault="008648DD">
            <w:pPr>
              <w:jc w:val="right"/>
              <w:rPr>
                <w:sz w:val="20"/>
                <w:szCs w:val="20"/>
              </w:rPr>
            </w:pPr>
            <w:r>
              <w:rPr>
                <w:sz w:val="20"/>
                <w:szCs w:val="20"/>
              </w:rPr>
              <w:t xml:space="preserve">$3.22 </w:t>
            </w:r>
          </w:p>
        </w:tc>
      </w:tr>
      <w:tr w:rsidR="008648DD" w:rsidTr="004C371E">
        <w:trPr>
          <w:trHeight w:val="255"/>
        </w:trPr>
        <w:tc>
          <w:tcPr>
            <w:tcW w:w="610" w:type="pct"/>
            <w:tcBorders>
              <w:top w:val="nil"/>
              <w:left w:val="nil"/>
              <w:bottom w:val="nil"/>
              <w:right w:val="nil"/>
            </w:tcBorders>
            <w:shd w:val="clear" w:color="auto" w:fill="auto"/>
            <w:noWrap/>
            <w:vAlign w:val="bottom"/>
            <w:hideMark/>
          </w:tcPr>
          <w:p w:rsidR="008648DD" w:rsidRDefault="008648DD">
            <w:pPr>
              <w:jc w:val="right"/>
              <w:rPr>
                <w:sz w:val="20"/>
                <w:szCs w:val="20"/>
              </w:rPr>
            </w:pPr>
            <w:r>
              <w:rPr>
                <w:sz w:val="20"/>
                <w:szCs w:val="20"/>
              </w:rPr>
              <w:t xml:space="preserve">$3.51 </w:t>
            </w:r>
          </w:p>
        </w:tc>
        <w:tc>
          <w:tcPr>
            <w:tcW w:w="237" w:type="pct"/>
            <w:tcBorders>
              <w:top w:val="nil"/>
              <w:left w:val="nil"/>
              <w:bottom w:val="nil"/>
              <w:right w:val="nil"/>
            </w:tcBorders>
            <w:shd w:val="clear" w:color="auto" w:fill="auto"/>
            <w:noWrap/>
            <w:vAlign w:val="bottom"/>
            <w:hideMark/>
          </w:tcPr>
          <w:p w:rsidR="008648DD" w:rsidRDefault="008648DD">
            <w:pPr>
              <w:jc w:val="center"/>
              <w:rPr>
                <w:sz w:val="20"/>
                <w:szCs w:val="20"/>
              </w:rPr>
            </w:pPr>
            <w:r>
              <w:rPr>
                <w:sz w:val="20"/>
                <w:szCs w:val="20"/>
              </w:rPr>
              <w:t>to</w:t>
            </w:r>
          </w:p>
        </w:tc>
        <w:tc>
          <w:tcPr>
            <w:tcW w:w="538" w:type="pct"/>
            <w:tcBorders>
              <w:top w:val="nil"/>
              <w:left w:val="nil"/>
              <w:bottom w:val="nil"/>
              <w:right w:val="nil"/>
            </w:tcBorders>
            <w:shd w:val="clear" w:color="auto" w:fill="auto"/>
            <w:noWrap/>
            <w:vAlign w:val="bottom"/>
            <w:hideMark/>
          </w:tcPr>
          <w:p w:rsidR="008648DD" w:rsidRDefault="008648DD">
            <w:pPr>
              <w:jc w:val="center"/>
              <w:rPr>
                <w:sz w:val="20"/>
                <w:szCs w:val="20"/>
              </w:rPr>
            </w:pPr>
            <w:r>
              <w:rPr>
                <w:sz w:val="20"/>
                <w:szCs w:val="20"/>
              </w:rPr>
              <w:t xml:space="preserve">$6.00 </w:t>
            </w:r>
          </w:p>
        </w:tc>
        <w:tc>
          <w:tcPr>
            <w:tcW w:w="740" w:type="pct"/>
            <w:tcBorders>
              <w:top w:val="nil"/>
              <w:left w:val="nil"/>
              <w:bottom w:val="nil"/>
              <w:right w:val="nil"/>
            </w:tcBorders>
            <w:shd w:val="clear" w:color="auto" w:fill="auto"/>
            <w:noWrap/>
            <w:vAlign w:val="bottom"/>
            <w:hideMark/>
          </w:tcPr>
          <w:p w:rsidR="008648DD" w:rsidRDefault="008648DD">
            <w:pPr>
              <w:rPr>
                <w:sz w:val="20"/>
                <w:szCs w:val="20"/>
              </w:rPr>
            </w:pPr>
            <w:r>
              <w:rPr>
                <w:sz w:val="20"/>
                <w:szCs w:val="20"/>
              </w:rPr>
              <w:t xml:space="preserve">         382,697 </w:t>
            </w:r>
          </w:p>
        </w:tc>
        <w:tc>
          <w:tcPr>
            <w:tcW w:w="902" w:type="pct"/>
            <w:tcBorders>
              <w:top w:val="nil"/>
              <w:left w:val="nil"/>
              <w:bottom w:val="nil"/>
              <w:right w:val="nil"/>
            </w:tcBorders>
            <w:shd w:val="clear" w:color="auto" w:fill="auto"/>
            <w:noWrap/>
            <w:vAlign w:val="bottom"/>
            <w:hideMark/>
          </w:tcPr>
          <w:p w:rsidR="008648DD" w:rsidRDefault="008648DD">
            <w:pPr>
              <w:rPr>
                <w:sz w:val="20"/>
                <w:szCs w:val="20"/>
              </w:rPr>
            </w:pPr>
            <w:r>
              <w:rPr>
                <w:sz w:val="20"/>
                <w:szCs w:val="20"/>
              </w:rPr>
              <w:t xml:space="preserve">                     5.53 </w:t>
            </w:r>
          </w:p>
        </w:tc>
        <w:tc>
          <w:tcPr>
            <w:tcW w:w="616" w:type="pct"/>
            <w:tcBorders>
              <w:top w:val="nil"/>
              <w:left w:val="nil"/>
              <w:bottom w:val="nil"/>
              <w:right w:val="nil"/>
            </w:tcBorders>
            <w:shd w:val="clear" w:color="auto" w:fill="auto"/>
            <w:noWrap/>
            <w:vAlign w:val="bottom"/>
            <w:hideMark/>
          </w:tcPr>
          <w:p w:rsidR="008648DD" w:rsidRDefault="008648DD">
            <w:pPr>
              <w:jc w:val="right"/>
              <w:rPr>
                <w:sz w:val="20"/>
                <w:szCs w:val="20"/>
              </w:rPr>
            </w:pPr>
            <w:r>
              <w:rPr>
                <w:sz w:val="20"/>
                <w:szCs w:val="20"/>
              </w:rPr>
              <w:t xml:space="preserve">$4.85 </w:t>
            </w:r>
          </w:p>
        </w:tc>
        <w:tc>
          <w:tcPr>
            <w:tcW w:w="740" w:type="pct"/>
            <w:tcBorders>
              <w:top w:val="nil"/>
              <w:left w:val="nil"/>
              <w:bottom w:val="nil"/>
              <w:right w:val="nil"/>
            </w:tcBorders>
            <w:shd w:val="clear" w:color="auto" w:fill="auto"/>
            <w:noWrap/>
            <w:vAlign w:val="bottom"/>
            <w:hideMark/>
          </w:tcPr>
          <w:p w:rsidR="008648DD" w:rsidRDefault="008648DD">
            <w:pPr>
              <w:rPr>
                <w:sz w:val="20"/>
                <w:szCs w:val="20"/>
              </w:rPr>
            </w:pPr>
            <w:r>
              <w:rPr>
                <w:sz w:val="20"/>
                <w:szCs w:val="20"/>
              </w:rPr>
              <w:t xml:space="preserve">        135,081 </w:t>
            </w:r>
          </w:p>
        </w:tc>
        <w:tc>
          <w:tcPr>
            <w:tcW w:w="616" w:type="pct"/>
            <w:tcBorders>
              <w:top w:val="nil"/>
              <w:left w:val="nil"/>
              <w:bottom w:val="nil"/>
              <w:right w:val="nil"/>
            </w:tcBorders>
            <w:shd w:val="clear" w:color="auto" w:fill="auto"/>
            <w:noWrap/>
            <w:vAlign w:val="bottom"/>
            <w:hideMark/>
          </w:tcPr>
          <w:p w:rsidR="008648DD" w:rsidRDefault="008648DD">
            <w:pPr>
              <w:jc w:val="right"/>
              <w:rPr>
                <w:sz w:val="20"/>
                <w:szCs w:val="20"/>
              </w:rPr>
            </w:pPr>
            <w:r>
              <w:rPr>
                <w:sz w:val="20"/>
                <w:szCs w:val="20"/>
              </w:rPr>
              <w:t xml:space="preserve">$4.84 </w:t>
            </w:r>
          </w:p>
        </w:tc>
      </w:tr>
      <w:tr w:rsidR="008648DD" w:rsidTr="004C371E">
        <w:trPr>
          <w:trHeight w:val="255"/>
        </w:trPr>
        <w:tc>
          <w:tcPr>
            <w:tcW w:w="610" w:type="pct"/>
            <w:tcBorders>
              <w:top w:val="nil"/>
              <w:left w:val="nil"/>
              <w:bottom w:val="nil"/>
              <w:right w:val="nil"/>
            </w:tcBorders>
            <w:shd w:val="clear" w:color="auto" w:fill="auto"/>
            <w:noWrap/>
            <w:vAlign w:val="bottom"/>
            <w:hideMark/>
          </w:tcPr>
          <w:p w:rsidR="008648DD" w:rsidRDefault="008648DD">
            <w:pPr>
              <w:jc w:val="right"/>
              <w:rPr>
                <w:sz w:val="20"/>
                <w:szCs w:val="20"/>
              </w:rPr>
            </w:pPr>
            <w:r>
              <w:rPr>
                <w:sz w:val="20"/>
                <w:szCs w:val="20"/>
              </w:rPr>
              <w:t xml:space="preserve">$6.01 </w:t>
            </w:r>
          </w:p>
        </w:tc>
        <w:tc>
          <w:tcPr>
            <w:tcW w:w="237" w:type="pct"/>
            <w:tcBorders>
              <w:top w:val="nil"/>
              <w:left w:val="nil"/>
              <w:bottom w:val="nil"/>
              <w:right w:val="nil"/>
            </w:tcBorders>
            <w:shd w:val="clear" w:color="auto" w:fill="auto"/>
            <w:noWrap/>
            <w:vAlign w:val="bottom"/>
            <w:hideMark/>
          </w:tcPr>
          <w:p w:rsidR="008648DD" w:rsidRDefault="008648DD">
            <w:pPr>
              <w:jc w:val="center"/>
              <w:rPr>
                <w:sz w:val="20"/>
                <w:szCs w:val="20"/>
              </w:rPr>
            </w:pPr>
            <w:r>
              <w:rPr>
                <w:sz w:val="20"/>
                <w:szCs w:val="20"/>
              </w:rPr>
              <w:t>to</w:t>
            </w:r>
          </w:p>
        </w:tc>
        <w:tc>
          <w:tcPr>
            <w:tcW w:w="538" w:type="pct"/>
            <w:tcBorders>
              <w:top w:val="nil"/>
              <w:left w:val="nil"/>
              <w:bottom w:val="nil"/>
              <w:right w:val="nil"/>
            </w:tcBorders>
            <w:shd w:val="clear" w:color="auto" w:fill="auto"/>
            <w:noWrap/>
            <w:vAlign w:val="bottom"/>
            <w:hideMark/>
          </w:tcPr>
          <w:p w:rsidR="008648DD" w:rsidRDefault="008648DD">
            <w:pPr>
              <w:jc w:val="center"/>
              <w:rPr>
                <w:sz w:val="20"/>
                <w:szCs w:val="20"/>
              </w:rPr>
            </w:pPr>
            <w:r>
              <w:rPr>
                <w:sz w:val="20"/>
                <w:szCs w:val="20"/>
              </w:rPr>
              <w:t xml:space="preserve">$10.00 </w:t>
            </w:r>
          </w:p>
        </w:tc>
        <w:tc>
          <w:tcPr>
            <w:tcW w:w="740" w:type="pct"/>
            <w:tcBorders>
              <w:top w:val="nil"/>
              <w:left w:val="nil"/>
              <w:bottom w:val="nil"/>
              <w:right w:val="nil"/>
            </w:tcBorders>
            <w:shd w:val="clear" w:color="auto" w:fill="auto"/>
            <w:noWrap/>
            <w:vAlign w:val="bottom"/>
            <w:hideMark/>
          </w:tcPr>
          <w:p w:rsidR="008648DD" w:rsidRDefault="008648DD">
            <w:pPr>
              <w:rPr>
                <w:sz w:val="20"/>
                <w:szCs w:val="20"/>
              </w:rPr>
            </w:pPr>
            <w:r>
              <w:rPr>
                <w:sz w:val="20"/>
                <w:szCs w:val="20"/>
              </w:rPr>
              <w:t xml:space="preserve">           73,500 </w:t>
            </w:r>
          </w:p>
        </w:tc>
        <w:tc>
          <w:tcPr>
            <w:tcW w:w="902" w:type="pct"/>
            <w:tcBorders>
              <w:top w:val="nil"/>
              <w:left w:val="nil"/>
              <w:bottom w:val="nil"/>
              <w:right w:val="nil"/>
            </w:tcBorders>
            <w:shd w:val="clear" w:color="auto" w:fill="auto"/>
            <w:noWrap/>
            <w:vAlign w:val="bottom"/>
            <w:hideMark/>
          </w:tcPr>
          <w:p w:rsidR="008648DD" w:rsidRDefault="008648DD">
            <w:pPr>
              <w:rPr>
                <w:sz w:val="20"/>
                <w:szCs w:val="20"/>
              </w:rPr>
            </w:pPr>
            <w:r>
              <w:rPr>
                <w:sz w:val="20"/>
                <w:szCs w:val="20"/>
              </w:rPr>
              <w:t xml:space="preserve">                     1.78 </w:t>
            </w:r>
          </w:p>
        </w:tc>
        <w:tc>
          <w:tcPr>
            <w:tcW w:w="616" w:type="pct"/>
            <w:tcBorders>
              <w:top w:val="nil"/>
              <w:left w:val="nil"/>
              <w:bottom w:val="nil"/>
              <w:right w:val="nil"/>
            </w:tcBorders>
            <w:shd w:val="clear" w:color="auto" w:fill="auto"/>
            <w:noWrap/>
            <w:vAlign w:val="bottom"/>
            <w:hideMark/>
          </w:tcPr>
          <w:p w:rsidR="008648DD" w:rsidRDefault="008648DD">
            <w:pPr>
              <w:jc w:val="right"/>
              <w:rPr>
                <w:sz w:val="20"/>
                <w:szCs w:val="20"/>
              </w:rPr>
            </w:pPr>
            <w:r>
              <w:rPr>
                <w:sz w:val="20"/>
                <w:szCs w:val="20"/>
              </w:rPr>
              <w:t xml:space="preserve">$7.08 </w:t>
            </w:r>
          </w:p>
        </w:tc>
        <w:tc>
          <w:tcPr>
            <w:tcW w:w="740" w:type="pct"/>
            <w:tcBorders>
              <w:top w:val="nil"/>
              <w:left w:val="nil"/>
              <w:bottom w:val="nil"/>
              <w:right w:val="nil"/>
            </w:tcBorders>
            <w:shd w:val="clear" w:color="auto" w:fill="auto"/>
            <w:noWrap/>
            <w:vAlign w:val="bottom"/>
            <w:hideMark/>
          </w:tcPr>
          <w:p w:rsidR="008648DD" w:rsidRDefault="008648DD">
            <w:pPr>
              <w:rPr>
                <w:sz w:val="20"/>
                <w:szCs w:val="20"/>
              </w:rPr>
            </w:pPr>
            <w:r>
              <w:rPr>
                <w:sz w:val="20"/>
                <w:szCs w:val="20"/>
              </w:rPr>
              <w:t xml:space="preserve">          73,500 </w:t>
            </w:r>
          </w:p>
        </w:tc>
        <w:tc>
          <w:tcPr>
            <w:tcW w:w="616" w:type="pct"/>
            <w:tcBorders>
              <w:top w:val="nil"/>
              <w:left w:val="nil"/>
              <w:bottom w:val="nil"/>
              <w:right w:val="nil"/>
            </w:tcBorders>
            <w:shd w:val="clear" w:color="auto" w:fill="auto"/>
            <w:noWrap/>
            <w:vAlign w:val="bottom"/>
            <w:hideMark/>
          </w:tcPr>
          <w:p w:rsidR="008648DD" w:rsidRDefault="008648DD">
            <w:pPr>
              <w:jc w:val="right"/>
              <w:rPr>
                <w:sz w:val="20"/>
                <w:szCs w:val="20"/>
              </w:rPr>
            </w:pPr>
            <w:r>
              <w:rPr>
                <w:sz w:val="20"/>
                <w:szCs w:val="20"/>
              </w:rPr>
              <w:t xml:space="preserve">$7.08 </w:t>
            </w:r>
          </w:p>
        </w:tc>
      </w:tr>
      <w:tr w:rsidR="008648DD" w:rsidTr="004C371E">
        <w:trPr>
          <w:trHeight w:val="255"/>
        </w:trPr>
        <w:tc>
          <w:tcPr>
            <w:tcW w:w="610" w:type="pct"/>
            <w:tcBorders>
              <w:top w:val="nil"/>
              <w:left w:val="nil"/>
              <w:bottom w:val="nil"/>
              <w:right w:val="nil"/>
            </w:tcBorders>
            <w:shd w:val="clear" w:color="auto" w:fill="auto"/>
            <w:noWrap/>
            <w:vAlign w:val="bottom"/>
            <w:hideMark/>
          </w:tcPr>
          <w:p w:rsidR="008648DD" w:rsidRDefault="008648DD">
            <w:pPr>
              <w:jc w:val="right"/>
              <w:rPr>
                <w:sz w:val="20"/>
                <w:szCs w:val="20"/>
              </w:rPr>
            </w:pPr>
            <w:r>
              <w:rPr>
                <w:sz w:val="20"/>
                <w:szCs w:val="20"/>
              </w:rPr>
              <w:t xml:space="preserve">$10.01 </w:t>
            </w:r>
          </w:p>
        </w:tc>
        <w:tc>
          <w:tcPr>
            <w:tcW w:w="237" w:type="pct"/>
            <w:tcBorders>
              <w:top w:val="nil"/>
              <w:left w:val="nil"/>
              <w:bottom w:val="nil"/>
              <w:right w:val="nil"/>
            </w:tcBorders>
            <w:shd w:val="clear" w:color="auto" w:fill="auto"/>
            <w:noWrap/>
            <w:vAlign w:val="bottom"/>
            <w:hideMark/>
          </w:tcPr>
          <w:p w:rsidR="008648DD" w:rsidRDefault="008648DD">
            <w:pPr>
              <w:jc w:val="center"/>
              <w:rPr>
                <w:sz w:val="20"/>
                <w:szCs w:val="20"/>
              </w:rPr>
            </w:pPr>
            <w:r>
              <w:rPr>
                <w:sz w:val="20"/>
                <w:szCs w:val="20"/>
              </w:rPr>
              <w:t>to</w:t>
            </w:r>
          </w:p>
        </w:tc>
        <w:tc>
          <w:tcPr>
            <w:tcW w:w="538" w:type="pct"/>
            <w:tcBorders>
              <w:top w:val="nil"/>
              <w:left w:val="nil"/>
              <w:bottom w:val="nil"/>
              <w:right w:val="nil"/>
            </w:tcBorders>
            <w:shd w:val="clear" w:color="auto" w:fill="auto"/>
            <w:noWrap/>
            <w:vAlign w:val="bottom"/>
            <w:hideMark/>
          </w:tcPr>
          <w:p w:rsidR="008648DD" w:rsidRDefault="008648DD">
            <w:pPr>
              <w:jc w:val="center"/>
              <w:rPr>
                <w:sz w:val="20"/>
                <w:szCs w:val="20"/>
              </w:rPr>
            </w:pPr>
            <w:r>
              <w:rPr>
                <w:sz w:val="20"/>
                <w:szCs w:val="20"/>
              </w:rPr>
              <w:t xml:space="preserve">$11.00 </w:t>
            </w:r>
          </w:p>
        </w:tc>
        <w:tc>
          <w:tcPr>
            <w:tcW w:w="740" w:type="pct"/>
            <w:tcBorders>
              <w:top w:val="nil"/>
              <w:left w:val="nil"/>
              <w:bottom w:val="nil"/>
              <w:right w:val="nil"/>
            </w:tcBorders>
            <w:shd w:val="clear" w:color="auto" w:fill="auto"/>
            <w:noWrap/>
            <w:vAlign w:val="bottom"/>
            <w:hideMark/>
          </w:tcPr>
          <w:p w:rsidR="008648DD" w:rsidRDefault="008648DD">
            <w:pPr>
              <w:rPr>
                <w:sz w:val="20"/>
                <w:szCs w:val="20"/>
              </w:rPr>
            </w:pPr>
            <w:r>
              <w:rPr>
                <w:sz w:val="20"/>
                <w:szCs w:val="20"/>
              </w:rPr>
              <w:t xml:space="preserve">           29,998 </w:t>
            </w:r>
          </w:p>
        </w:tc>
        <w:tc>
          <w:tcPr>
            <w:tcW w:w="902" w:type="pct"/>
            <w:tcBorders>
              <w:top w:val="nil"/>
              <w:left w:val="nil"/>
              <w:bottom w:val="nil"/>
              <w:right w:val="nil"/>
            </w:tcBorders>
            <w:shd w:val="clear" w:color="auto" w:fill="auto"/>
            <w:noWrap/>
            <w:vAlign w:val="bottom"/>
            <w:hideMark/>
          </w:tcPr>
          <w:p w:rsidR="008648DD" w:rsidRDefault="008648DD">
            <w:pPr>
              <w:rPr>
                <w:sz w:val="20"/>
                <w:szCs w:val="20"/>
              </w:rPr>
            </w:pPr>
            <w:r>
              <w:rPr>
                <w:sz w:val="20"/>
                <w:szCs w:val="20"/>
              </w:rPr>
              <w:t xml:space="preserve">                     2.37 </w:t>
            </w:r>
          </w:p>
        </w:tc>
        <w:tc>
          <w:tcPr>
            <w:tcW w:w="616" w:type="pct"/>
            <w:tcBorders>
              <w:top w:val="nil"/>
              <w:left w:val="nil"/>
              <w:bottom w:val="nil"/>
              <w:right w:val="nil"/>
            </w:tcBorders>
            <w:shd w:val="clear" w:color="auto" w:fill="auto"/>
            <w:noWrap/>
            <w:vAlign w:val="bottom"/>
            <w:hideMark/>
          </w:tcPr>
          <w:p w:rsidR="008648DD" w:rsidRDefault="008648DD">
            <w:pPr>
              <w:jc w:val="right"/>
              <w:rPr>
                <w:sz w:val="20"/>
                <w:szCs w:val="20"/>
              </w:rPr>
            </w:pPr>
            <w:r>
              <w:rPr>
                <w:sz w:val="20"/>
                <w:szCs w:val="20"/>
              </w:rPr>
              <w:t xml:space="preserve">$10.21 </w:t>
            </w:r>
          </w:p>
        </w:tc>
        <w:tc>
          <w:tcPr>
            <w:tcW w:w="740" w:type="pct"/>
            <w:tcBorders>
              <w:top w:val="nil"/>
              <w:left w:val="nil"/>
              <w:bottom w:val="nil"/>
              <w:right w:val="nil"/>
            </w:tcBorders>
            <w:shd w:val="clear" w:color="auto" w:fill="auto"/>
            <w:noWrap/>
            <w:vAlign w:val="bottom"/>
            <w:hideMark/>
          </w:tcPr>
          <w:p w:rsidR="008648DD" w:rsidRDefault="008648DD">
            <w:pPr>
              <w:rPr>
                <w:sz w:val="20"/>
                <w:szCs w:val="20"/>
              </w:rPr>
            </w:pPr>
            <w:r>
              <w:rPr>
                <w:sz w:val="20"/>
                <w:szCs w:val="20"/>
              </w:rPr>
              <w:t xml:space="preserve">          29,998 </w:t>
            </w:r>
          </w:p>
        </w:tc>
        <w:tc>
          <w:tcPr>
            <w:tcW w:w="616" w:type="pct"/>
            <w:tcBorders>
              <w:top w:val="nil"/>
              <w:left w:val="nil"/>
              <w:bottom w:val="nil"/>
              <w:right w:val="nil"/>
            </w:tcBorders>
            <w:shd w:val="clear" w:color="auto" w:fill="auto"/>
            <w:noWrap/>
            <w:vAlign w:val="bottom"/>
            <w:hideMark/>
          </w:tcPr>
          <w:p w:rsidR="008648DD" w:rsidRDefault="008648DD">
            <w:pPr>
              <w:jc w:val="right"/>
              <w:rPr>
                <w:sz w:val="20"/>
                <w:szCs w:val="20"/>
              </w:rPr>
            </w:pPr>
            <w:r>
              <w:rPr>
                <w:sz w:val="20"/>
                <w:szCs w:val="20"/>
              </w:rPr>
              <w:t xml:space="preserve">$10.21 </w:t>
            </w:r>
          </w:p>
        </w:tc>
      </w:tr>
      <w:tr w:rsidR="008648DD" w:rsidTr="008E7547">
        <w:trPr>
          <w:trHeight w:val="270"/>
        </w:trPr>
        <w:tc>
          <w:tcPr>
            <w:tcW w:w="1386" w:type="pct"/>
            <w:gridSpan w:val="3"/>
            <w:tcBorders>
              <w:top w:val="single" w:sz="4" w:space="0" w:color="auto"/>
              <w:left w:val="nil"/>
              <w:bottom w:val="nil"/>
              <w:right w:val="nil"/>
            </w:tcBorders>
            <w:shd w:val="clear" w:color="auto" w:fill="auto"/>
            <w:noWrap/>
            <w:vAlign w:val="bottom"/>
            <w:hideMark/>
          </w:tcPr>
          <w:p w:rsidR="008648DD" w:rsidRDefault="008648DD">
            <w:pPr>
              <w:jc w:val="center"/>
              <w:rPr>
                <w:b/>
                <w:bCs/>
                <w:sz w:val="20"/>
                <w:szCs w:val="20"/>
              </w:rPr>
            </w:pPr>
            <w:r>
              <w:rPr>
                <w:b/>
                <w:bCs/>
                <w:sz w:val="20"/>
                <w:szCs w:val="20"/>
              </w:rPr>
              <w:t>Total</w:t>
            </w:r>
          </w:p>
        </w:tc>
        <w:tc>
          <w:tcPr>
            <w:tcW w:w="740" w:type="pct"/>
            <w:tcBorders>
              <w:top w:val="single" w:sz="4" w:space="0" w:color="auto"/>
              <w:left w:val="nil"/>
              <w:bottom w:val="double" w:sz="6" w:space="0" w:color="auto"/>
              <w:right w:val="nil"/>
            </w:tcBorders>
            <w:shd w:val="clear" w:color="auto" w:fill="auto"/>
            <w:noWrap/>
            <w:vAlign w:val="bottom"/>
            <w:hideMark/>
          </w:tcPr>
          <w:p w:rsidR="008648DD" w:rsidRDefault="008648DD">
            <w:pPr>
              <w:rPr>
                <w:sz w:val="20"/>
                <w:szCs w:val="20"/>
              </w:rPr>
            </w:pPr>
            <w:r>
              <w:rPr>
                <w:sz w:val="20"/>
                <w:szCs w:val="20"/>
              </w:rPr>
              <w:t xml:space="preserve">         522,971 </w:t>
            </w:r>
          </w:p>
        </w:tc>
        <w:tc>
          <w:tcPr>
            <w:tcW w:w="902" w:type="pct"/>
            <w:tcBorders>
              <w:top w:val="single" w:sz="4" w:space="0" w:color="auto"/>
              <w:left w:val="nil"/>
              <w:bottom w:val="double" w:sz="6" w:space="0" w:color="auto"/>
              <w:right w:val="nil"/>
            </w:tcBorders>
            <w:shd w:val="clear" w:color="auto" w:fill="auto"/>
            <w:noWrap/>
            <w:vAlign w:val="bottom"/>
            <w:hideMark/>
          </w:tcPr>
          <w:p w:rsidR="008648DD" w:rsidRDefault="008648DD">
            <w:pPr>
              <w:rPr>
                <w:sz w:val="20"/>
                <w:szCs w:val="20"/>
              </w:rPr>
            </w:pPr>
            <w:r>
              <w:rPr>
                <w:sz w:val="20"/>
                <w:szCs w:val="20"/>
              </w:rPr>
              <w:t xml:space="preserve">                     4.67 </w:t>
            </w:r>
          </w:p>
        </w:tc>
        <w:tc>
          <w:tcPr>
            <w:tcW w:w="616" w:type="pct"/>
            <w:tcBorders>
              <w:top w:val="single" w:sz="4" w:space="0" w:color="auto"/>
              <w:left w:val="nil"/>
              <w:bottom w:val="double" w:sz="6" w:space="0" w:color="auto"/>
              <w:right w:val="nil"/>
            </w:tcBorders>
            <w:shd w:val="clear" w:color="auto" w:fill="auto"/>
            <w:noWrap/>
            <w:vAlign w:val="bottom"/>
            <w:hideMark/>
          </w:tcPr>
          <w:p w:rsidR="008648DD" w:rsidRDefault="008648DD">
            <w:pPr>
              <w:jc w:val="right"/>
              <w:rPr>
                <w:sz w:val="20"/>
                <w:szCs w:val="20"/>
              </w:rPr>
            </w:pPr>
            <w:r>
              <w:rPr>
                <w:sz w:val="20"/>
                <w:szCs w:val="20"/>
              </w:rPr>
              <w:t xml:space="preserve">$5.36 </w:t>
            </w:r>
          </w:p>
        </w:tc>
        <w:tc>
          <w:tcPr>
            <w:tcW w:w="740" w:type="pct"/>
            <w:tcBorders>
              <w:top w:val="single" w:sz="4" w:space="0" w:color="auto"/>
              <w:left w:val="nil"/>
              <w:bottom w:val="double" w:sz="6" w:space="0" w:color="auto"/>
              <w:right w:val="nil"/>
            </w:tcBorders>
            <w:shd w:val="clear" w:color="auto" w:fill="auto"/>
            <w:noWrap/>
            <w:vAlign w:val="bottom"/>
            <w:hideMark/>
          </w:tcPr>
          <w:p w:rsidR="008648DD" w:rsidRDefault="008648DD">
            <w:pPr>
              <w:rPr>
                <w:sz w:val="20"/>
                <w:szCs w:val="20"/>
              </w:rPr>
            </w:pPr>
            <w:r>
              <w:rPr>
                <w:sz w:val="20"/>
                <w:szCs w:val="20"/>
              </w:rPr>
              <w:t xml:space="preserve">        267,355 </w:t>
            </w:r>
          </w:p>
        </w:tc>
        <w:tc>
          <w:tcPr>
            <w:tcW w:w="616" w:type="pct"/>
            <w:tcBorders>
              <w:top w:val="single" w:sz="4" w:space="0" w:color="auto"/>
              <w:left w:val="nil"/>
              <w:bottom w:val="double" w:sz="6" w:space="0" w:color="auto"/>
              <w:right w:val="nil"/>
            </w:tcBorders>
            <w:shd w:val="clear" w:color="auto" w:fill="auto"/>
            <w:noWrap/>
            <w:vAlign w:val="bottom"/>
            <w:hideMark/>
          </w:tcPr>
          <w:p w:rsidR="008648DD" w:rsidRDefault="008648DD">
            <w:pPr>
              <w:jc w:val="right"/>
              <w:rPr>
                <w:sz w:val="20"/>
                <w:szCs w:val="20"/>
              </w:rPr>
            </w:pPr>
            <w:r>
              <w:rPr>
                <w:sz w:val="20"/>
                <w:szCs w:val="20"/>
              </w:rPr>
              <w:t xml:space="preserve">$5.88 </w:t>
            </w:r>
          </w:p>
        </w:tc>
      </w:tr>
    </w:tbl>
    <w:p w:rsidR="004851D7" w:rsidRDefault="004851D7">
      <w:pPr>
        <w:rPr>
          <w:color w:val="000000"/>
          <w:sz w:val="20"/>
        </w:rPr>
      </w:pPr>
    </w:p>
    <w:p w:rsidR="004851D7" w:rsidRDefault="004851D7">
      <w:pPr>
        <w:rPr>
          <w:color w:val="000000"/>
          <w:sz w:val="20"/>
          <w:szCs w:val="20"/>
        </w:rPr>
      </w:pPr>
    </w:p>
    <w:p w:rsidR="004851D7" w:rsidRDefault="004851D7">
      <w:pPr>
        <w:ind w:firstLine="720"/>
        <w:rPr>
          <w:color w:val="000000"/>
          <w:sz w:val="20"/>
          <w:szCs w:val="20"/>
        </w:rPr>
      </w:pPr>
      <w:r>
        <w:rPr>
          <w:color w:val="000000"/>
          <w:sz w:val="20"/>
          <w:szCs w:val="20"/>
        </w:rPr>
        <w:t xml:space="preserve">At December 31, </w:t>
      </w:r>
      <w:r w:rsidR="009437B9">
        <w:rPr>
          <w:color w:val="000000"/>
          <w:sz w:val="20"/>
          <w:szCs w:val="20"/>
        </w:rPr>
        <w:t>2011</w:t>
      </w:r>
      <w:r>
        <w:rPr>
          <w:color w:val="000000"/>
          <w:sz w:val="20"/>
          <w:szCs w:val="20"/>
        </w:rPr>
        <w:t>, the aggregate intrinsic value of options outstanding was $</w:t>
      </w:r>
      <w:r w:rsidR="008E7547">
        <w:rPr>
          <w:color w:val="000000"/>
          <w:sz w:val="20"/>
          <w:szCs w:val="20"/>
        </w:rPr>
        <w:t>42</w:t>
      </w:r>
      <w:r>
        <w:rPr>
          <w:color w:val="000000"/>
          <w:sz w:val="20"/>
          <w:szCs w:val="20"/>
        </w:rPr>
        <w:t>,000 and the aggregate intrinsic value of options exercisable was $</w:t>
      </w:r>
      <w:r w:rsidR="008E7547">
        <w:rPr>
          <w:color w:val="000000"/>
          <w:sz w:val="20"/>
          <w:szCs w:val="20"/>
        </w:rPr>
        <w:t>34</w:t>
      </w:r>
      <w:r>
        <w:rPr>
          <w:color w:val="000000"/>
          <w:sz w:val="20"/>
          <w:szCs w:val="20"/>
        </w:rPr>
        <w:t xml:space="preserve">,000. Total intrinsic value of options exercised during </w:t>
      </w:r>
      <w:r w:rsidR="009437B9">
        <w:rPr>
          <w:color w:val="000000"/>
          <w:sz w:val="20"/>
          <w:szCs w:val="20"/>
        </w:rPr>
        <w:t xml:space="preserve">2011 </w:t>
      </w:r>
      <w:r>
        <w:rPr>
          <w:color w:val="000000"/>
          <w:sz w:val="20"/>
          <w:szCs w:val="20"/>
        </w:rPr>
        <w:t>was $</w:t>
      </w:r>
      <w:r w:rsidR="00510AB7">
        <w:rPr>
          <w:color w:val="000000"/>
          <w:sz w:val="20"/>
          <w:szCs w:val="20"/>
        </w:rPr>
        <w:t>55</w:t>
      </w:r>
      <w:r>
        <w:rPr>
          <w:color w:val="000000"/>
          <w:sz w:val="20"/>
          <w:szCs w:val="20"/>
        </w:rPr>
        <w:t xml:space="preserve">,000. At December 31, </w:t>
      </w:r>
      <w:r w:rsidR="009437B9">
        <w:rPr>
          <w:color w:val="000000"/>
          <w:sz w:val="20"/>
          <w:szCs w:val="20"/>
        </w:rPr>
        <w:t>2011</w:t>
      </w:r>
      <w:r>
        <w:rPr>
          <w:color w:val="000000"/>
          <w:sz w:val="20"/>
          <w:szCs w:val="20"/>
        </w:rPr>
        <w:t>, there was $</w:t>
      </w:r>
      <w:r w:rsidR="008E7547">
        <w:rPr>
          <w:color w:val="000000"/>
          <w:sz w:val="20"/>
          <w:szCs w:val="20"/>
        </w:rPr>
        <w:t>438</w:t>
      </w:r>
      <w:r>
        <w:rPr>
          <w:color w:val="000000"/>
          <w:sz w:val="20"/>
          <w:szCs w:val="20"/>
        </w:rPr>
        <w:t xml:space="preserve">,000 of unrecognized compensation cost related to </w:t>
      </w:r>
      <w:proofErr w:type="spellStart"/>
      <w:r>
        <w:rPr>
          <w:color w:val="000000"/>
          <w:sz w:val="20"/>
          <w:szCs w:val="20"/>
        </w:rPr>
        <w:t>nonvested</w:t>
      </w:r>
      <w:proofErr w:type="spellEnd"/>
      <w:r>
        <w:rPr>
          <w:color w:val="000000"/>
          <w:sz w:val="20"/>
          <w:szCs w:val="20"/>
        </w:rPr>
        <w:t xml:space="preserve"> share-based payments which is expected to be recognized over a weighted-average period of </w:t>
      </w:r>
      <w:r w:rsidR="008E7547">
        <w:rPr>
          <w:color w:val="000000"/>
          <w:sz w:val="20"/>
          <w:szCs w:val="20"/>
        </w:rPr>
        <w:t>2.</w:t>
      </w:r>
      <w:r w:rsidR="00F756E5">
        <w:rPr>
          <w:color w:val="000000"/>
          <w:sz w:val="20"/>
          <w:szCs w:val="20"/>
        </w:rPr>
        <w:t xml:space="preserve">2 </w:t>
      </w:r>
      <w:r>
        <w:rPr>
          <w:color w:val="000000"/>
          <w:sz w:val="20"/>
          <w:szCs w:val="20"/>
        </w:rPr>
        <w:t xml:space="preserve">years. At December 31, </w:t>
      </w:r>
      <w:r w:rsidR="009437B9">
        <w:rPr>
          <w:color w:val="000000"/>
          <w:sz w:val="20"/>
          <w:szCs w:val="20"/>
        </w:rPr>
        <w:t>2011</w:t>
      </w:r>
      <w:r>
        <w:rPr>
          <w:color w:val="000000"/>
          <w:sz w:val="20"/>
          <w:szCs w:val="20"/>
        </w:rPr>
        <w:t>, there was $</w:t>
      </w:r>
      <w:r w:rsidR="008F38DC">
        <w:rPr>
          <w:color w:val="000000"/>
          <w:sz w:val="20"/>
          <w:szCs w:val="20"/>
        </w:rPr>
        <w:t>220</w:t>
      </w:r>
      <w:r>
        <w:rPr>
          <w:color w:val="000000"/>
          <w:sz w:val="20"/>
          <w:szCs w:val="20"/>
        </w:rPr>
        <w:t xml:space="preserve">,000 of unrecognized compensation cost related to the issuance of restricted stock which is expected to be recognized over a weighted-average period of </w:t>
      </w:r>
      <w:r w:rsidR="008F38DC">
        <w:rPr>
          <w:color w:val="000000"/>
          <w:sz w:val="20"/>
          <w:szCs w:val="20"/>
        </w:rPr>
        <w:t xml:space="preserve">2.4 </w:t>
      </w:r>
      <w:r>
        <w:rPr>
          <w:color w:val="000000"/>
          <w:sz w:val="20"/>
          <w:szCs w:val="20"/>
        </w:rPr>
        <w:t>years.</w:t>
      </w:r>
      <w:r w:rsidR="008F0597">
        <w:rPr>
          <w:color w:val="000000"/>
          <w:sz w:val="20"/>
          <w:szCs w:val="20"/>
        </w:rPr>
        <w:t xml:space="preserve">  </w:t>
      </w:r>
    </w:p>
    <w:p w:rsidR="004851D7" w:rsidRDefault="004851D7">
      <w:pPr>
        <w:ind w:firstLine="720"/>
        <w:rPr>
          <w:color w:val="000000"/>
          <w:sz w:val="20"/>
          <w:szCs w:val="20"/>
        </w:rPr>
      </w:pPr>
    </w:p>
    <w:p w:rsidR="004851D7" w:rsidRDefault="004851D7">
      <w:pPr>
        <w:ind w:firstLine="720"/>
        <w:rPr>
          <w:bCs/>
          <w:color w:val="000000"/>
          <w:sz w:val="20"/>
        </w:rPr>
      </w:pPr>
      <w:r w:rsidRPr="008E7547">
        <w:rPr>
          <w:color w:val="000000"/>
          <w:sz w:val="20"/>
        </w:rPr>
        <w:t xml:space="preserve">There were no new warrants issued during </w:t>
      </w:r>
      <w:r w:rsidR="009437B9" w:rsidRPr="008E7547">
        <w:rPr>
          <w:color w:val="000000"/>
          <w:sz w:val="20"/>
        </w:rPr>
        <w:t xml:space="preserve">2011 </w:t>
      </w:r>
      <w:r w:rsidRPr="008E7547">
        <w:rPr>
          <w:color w:val="000000"/>
          <w:sz w:val="20"/>
        </w:rPr>
        <w:t xml:space="preserve">or </w:t>
      </w:r>
      <w:r w:rsidR="009437B9" w:rsidRPr="008E7547">
        <w:rPr>
          <w:color w:val="000000"/>
          <w:sz w:val="20"/>
        </w:rPr>
        <w:t>2010</w:t>
      </w:r>
      <w:r w:rsidRPr="008E7547">
        <w:rPr>
          <w:color w:val="000000"/>
          <w:sz w:val="20"/>
        </w:rPr>
        <w:t xml:space="preserve">. </w:t>
      </w:r>
      <w:r w:rsidR="00823F41" w:rsidRPr="008E7547">
        <w:rPr>
          <w:color w:val="000000"/>
          <w:sz w:val="20"/>
        </w:rPr>
        <w:t xml:space="preserve">There were no warrants outstanding at December 31, 2011 and </w:t>
      </w:r>
      <w:r w:rsidRPr="008E7547">
        <w:rPr>
          <w:color w:val="000000"/>
          <w:sz w:val="20"/>
        </w:rPr>
        <w:t xml:space="preserve">15,000 </w:t>
      </w:r>
      <w:r w:rsidR="00823F41" w:rsidRPr="008E7547">
        <w:rPr>
          <w:color w:val="000000"/>
          <w:sz w:val="20"/>
        </w:rPr>
        <w:t>warrants outstanding at December 31, 2010</w:t>
      </w:r>
      <w:r w:rsidRPr="008E7547">
        <w:rPr>
          <w:color w:val="000000"/>
          <w:sz w:val="20"/>
        </w:rPr>
        <w:t xml:space="preserve">, all of which </w:t>
      </w:r>
      <w:r w:rsidR="00835911">
        <w:rPr>
          <w:color w:val="000000"/>
          <w:sz w:val="20"/>
        </w:rPr>
        <w:t>were</w:t>
      </w:r>
      <w:r w:rsidR="00835911" w:rsidRPr="008E7547">
        <w:rPr>
          <w:color w:val="000000"/>
          <w:sz w:val="20"/>
        </w:rPr>
        <w:t xml:space="preserve"> </w:t>
      </w:r>
      <w:r w:rsidRPr="008E7547">
        <w:rPr>
          <w:color w:val="000000"/>
          <w:sz w:val="20"/>
        </w:rPr>
        <w:t>exercisable.</w:t>
      </w:r>
      <w:r w:rsidR="008E7547" w:rsidRPr="008E7547">
        <w:rPr>
          <w:bCs/>
          <w:color w:val="000000"/>
          <w:sz w:val="20"/>
        </w:rPr>
        <w:t xml:space="preserve"> There</w:t>
      </w:r>
      <w:r w:rsidRPr="008E7547">
        <w:rPr>
          <w:bCs/>
          <w:color w:val="000000"/>
          <w:sz w:val="20"/>
        </w:rPr>
        <w:t xml:space="preserve"> were </w:t>
      </w:r>
      <w:r w:rsidR="008E7547" w:rsidRPr="008E7547">
        <w:rPr>
          <w:bCs/>
          <w:color w:val="000000"/>
          <w:sz w:val="20"/>
        </w:rPr>
        <w:t>15,000</w:t>
      </w:r>
      <w:r w:rsidRPr="008E7547">
        <w:rPr>
          <w:bCs/>
          <w:color w:val="000000"/>
          <w:sz w:val="20"/>
        </w:rPr>
        <w:t xml:space="preserve"> warrants that expired during the fiscal year ended December 31, </w:t>
      </w:r>
      <w:r w:rsidR="00823F41" w:rsidRPr="008E7547">
        <w:rPr>
          <w:bCs/>
          <w:color w:val="000000"/>
          <w:sz w:val="20"/>
        </w:rPr>
        <w:t xml:space="preserve">2011 </w:t>
      </w:r>
      <w:r w:rsidRPr="008E7547">
        <w:rPr>
          <w:bCs/>
          <w:color w:val="000000"/>
          <w:sz w:val="20"/>
        </w:rPr>
        <w:t xml:space="preserve">and </w:t>
      </w:r>
      <w:r w:rsidR="00823F41" w:rsidRPr="008E7547">
        <w:rPr>
          <w:bCs/>
          <w:color w:val="000000"/>
          <w:sz w:val="20"/>
        </w:rPr>
        <w:t>15,083</w:t>
      </w:r>
      <w:r w:rsidRPr="008E7547">
        <w:rPr>
          <w:bCs/>
          <w:color w:val="000000"/>
          <w:sz w:val="20"/>
        </w:rPr>
        <w:t xml:space="preserve"> warrants that expired during the fiscal year ended December 31, </w:t>
      </w:r>
      <w:r w:rsidR="00823F41" w:rsidRPr="008E7547">
        <w:rPr>
          <w:bCs/>
          <w:color w:val="000000"/>
          <w:sz w:val="20"/>
        </w:rPr>
        <w:t>2010</w:t>
      </w:r>
      <w:r w:rsidRPr="008E7547">
        <w:rPr>
          <w:bCs/>
          <w:color w:val="000000"/>
          <w:sz w:val="20"/>
        </w:rPr>
        <w:t xml:space="preserve">. </w:t>
      </w:r>
    </w:p>
    <w:p w:rsidR="00F756E5" w:rsidRDefault="00F756E5">
      <w:pPr>
        <w:ind w:firstLine="720"/>
        <w:rPr>
          <w:bCs/>
          <w:color w:val="000000"/>
          <w:sz w:val="20"/>
        </w:rPr>
      </w:pPr>
    </w:p>
    <w:p w:rsidR="00CC423E" w:rsidRDefault="00CC423E" w:rsidP="00CC423E">
      <w:pPr>
        <w:rPr>
          <w:b/>
          <w:bCs/>
          <w:color w:val="000000"/>
          <w:sz w:val="20"/>
        </w:rPr>
      </w:pPr>
      <w:r>
        <w:rPr>
          <w:b/>
          <w:bCs/>
          <w:color w:val="000000"/>
          <w:sz w:val="20"/>
        </w:rPr>
        <w:t>Tax Asset Protection Plan</w:t>
      </w:r>
    </w:p>
    <w:p w:rsidR="00CC423E" w:rsidRDefault="00CC423E" w:rsidP="00CC423E">
      <w:pPr>
        <w:rPr>
          <w:b/>
          <w:bCs/>
          <w:color w:val="000000"/>
          <w:sz w:val="20"/>
        </w:rPr>
      </w:pPr>
    </w:p>
    <w:p w:rsidR="00CC423E" w:rsidRDefault="00CC423E" w:rsidP="00CC423E">
      <w:pPr>
        <w:rPr>
          <w:bCs/>
          <w:color w:val="000000"/>
          <w:sz w:val="20"/>
        </w:rPr>
      </w:pPr>
      <w:r>
        <w:rPr>
          <w:bCs/>
          <w:color w:val="000000"/>
          <w:sz w:val="20"/>
        </w:rPr>
        <w:tab/>
        <w:t xml:space="preserve">On February 21, 2012, the Company’s Board of Directors adopted a Tax Asset Protection Plan (the “Plan”) in an effort </w:t>
      </w:r>
      <w:bookmarkStart w:id="20" w:name="OLE_LINK4"/>
      <w:bookmarkStart w:id="21" w:name="OLE_LINK5"/>
      <w:r>
        <w:rPr>
          <w:bCs/>
          <w:color w:val="000000"/>
          <w:sz w:val="20"/>
        </w:rPr>
        <w:t xml:space="preserve">to protect the long term value of the Company’s accumulated net operating losses and other tax assets (collectively, “NOLs”) for federal and state income tax purposes. The Company’s ability to use the NOLs in the future may be significantly limited if it experiences an “ownership change” for U.S. federal income tax purposes. In general, an ownership change will occur when the percentage of the Company’s ownership (by value) of one or more “5 percent shareholders” (as defined in the Internal Revenue Code of 1986, as amended) has increased by more than 50 percent over the lowest percentage owned by such shareholders at any time during the prior three years (calculated on a rolling basis). </w:t>
      </w:r>
    </w:p>
    <w:p w:rsidR="00CC423E" w:rsidRDefault="00CC423E" w:rsidP="00CC423E">
      <w:pPr>
        <w:rPr>
          <w:bCs/>
          <w:color w:val="000000"/>
          <w:sz w:val="20"/>
        </w:rPr>
      </w:pPr>
    </w:p>
    <w:p w:rsidR="00CC423E" w:rsidRDefault="00CC423E" w:rsidP="00CC423E">
      <w:pPr>
        <w:rPr>
          <w:bCs/>
          <w:color w:val="000000"/>
          <w:sz w:val="20"/>
        </w:rPr>
      </w:pPr>
      <w:r>
        <w:rPr>
          <w:bCs/>
          <w:color w:val="000000"/>
          <w:sz w:val="20"/>
        </w:rPr>
        <w:tab/>
        <w:t xml:space="preserve">In connection with the Plan, the Company’s Board of Directors declared a dividend distribution consisting of one preferred stock purchase right (a “Right”) for each outstanding share of the Company’s common stock, payable to record holders of the Company’s common stock as of the close of business on March 2, 2012, as well as to holders of common stock issued after that date. The Rights are not currently exercisable. The exercise of the Rights is triggered when a person or group acquires shares, or announces a tender offer to acquire shares, resulting in ownership of 4.95% or more of Company common stock, or by the future acquisition of any shares of Company common stock by any person or group who held 4.95% or more of the Company’s outstanding common stock as of the date the Plan was adopted. The Plan operates by voiding the Rights of any acquiring person and making all other Rights exercisable for a number of shares of Company common stock, Company Series </w:t>
      </w:r>
      <w:proofErr w:type="gramStart"/>
      <w:r>
        <w:rPr>
          <w:bCs/>
          <w:color w:val="000000"/>
          <w:sz w:val="20"/>
        </w:rPr>
        <w:t>A</w:t>
      </w:r>
      <w:proofErr w:type="gramEnd"/>
      <w:r>
        <w:rPr>
          <w:bCs/>
          <w:color w:val="000000"/>
          <w:sz w:val="20"/>
        </w:rPr>
        <w:t xml:space="preserve"> Junior Participating Preferred Stock or other Company capital stock, as calculated pursuant to the Plan.  </w:t>
      </w:r>
    </w:p>
    <w:p w:rsidR="00CC423E" w:rsidRDefault="00CC423E" w:rsidP="00CC423E">
      <w:pPr>
        <w:rPr>
          <w:bCs/>
          <w:color w:val="000000"/>
          <w:sz w:val="20"/>
        </w:rPr>
      </w:pPr>
    </w:p>
    <w:p w:rsidR="00CC423E" w:rsidRPr="00894072" w:rsidRDefault="00CC423E" w:rsidP="00CC423E">
      <w:pPr>
        <w:rPr>
          <w:bCs/>
          <w:color w:val="000000"/>
          <w:sz w:val="20"/>
        </w:rPr>
      </w:pPr>
      <w:r>
        <w:rPr>
          <w:bCs/>
          <w:color w:val="000000"/>
          <w:sz w:val="20"/>
        </w:rPr>
        <w:tab/>
      </w:r>
      <w:r w:rsidRPr="00894072">
        <w:rPr>
          <w:bCs/>
          <w:color w:val="000000"/>
          <w:sz w:val="20"/>
        </w:rPr>
        <w:t>The Plan will expire upon the earliest of (</w:t>
      </w:r>
      <w:proofErr w:type="spellStart"/>
      <w:r w:rsidRPr="00894072">
        <w:rPr>
          <w:bCs/>
          <w:color w:val="000000"/>
          <w:sz w:val="20"/>
        </w:rPr>
        <w:t>i</w:t>
      </w:r>
      <w:proofErr w:type="spellEnd"/>
      <w:r w:rsidRPr="00894072">
        <w:rPr>
          <w:bCs/>
          <w:color w:val="000000"/>
          <w:sz w:val="20"/>
        </w:rPr>
        <w:t>) February 20, 2015; (ii) the time at which the Rights are redeemed or exchanged under the Plan; (iii) the time at which the Board determines that the Plan is no longer necessary for the preservation of the tax benefits.</w:t>
      </w:r>
      <w:bookmarkEnd w:id="20"/>
      <w:bookmarkEnd w:id="21"/>
    </w:p>
    <w:p w:rsidR="00CC423E" w:rsidRDefault="00CC423E" w:rsidP="00CC423E">
      <w:pPr>
        <w:rPr>
          <w:b/>
          <w:bCs/>
          <w:color w:val="000000"/>
          <w:sz w:val="20"/>
        </w:rPr>
      </w:pPr>
    </w:p>
    <w:p w:rsidR="00095858" w:rsidRPr="0039741E" w:rsidRDefault="00095858" w:rsidP="0039741E">
      <w:pPr>
        <w:rPr>
          <w:b/>
          <w:bCs/>
          <w:color w:val="000000"/>
          <w:sz w:val="20"/>
        </w:rPr>
      </w:pPr>
      <w:r>
        <w:rPr>
          <w:b/>
          <w:bCs/>
          <w:color w:val="000000"/>
          <w:sz w:val="20"/>
        </w:rPr>
        <w:t>5.  Shareholders’ Equity</w:t>
      </w:r>
      <w:r w:rsidRPr="0039741E">
        <w:rPr>
          <w:b/>
          <w:bCs/>
          <w:color w:val="000000"/>
          <w:sz w:val="20"/>
        </w:rPr>
        <w:t xml:space="preserve"> (Continued)</w:t>
      </w:r>
    </w:p>
    <w:p w:rsidR="00095858" w:rsidRDefault="00095858" w:rsidP="00CC423E">
      <w:pPr>
        <w:rPr>
          <w:b/>
          <w:bCs/>
          <w:color w:val="000000"/>
          <w:sz w:val="20"/>
        </w:rPr>
      </w:pPr>
    </w:p>
    <w:p w:rsidR="00CC423E" w:rsidRDefault="00CC423E" w:rsidP="00CC423E">
      <w:pPr>
        <w:rPr>
          <w:b/>
          <w:bCs/>
          <w:color w:val="000000"/>
          <w:sz w:val="20"/>
        </w:rPr>
      </w:pPr>
      <w:r>
        <w:rPr>
          <w:b/>
          <w:bCs/>
          <w:color w:val="000000"/>
          <w:sz w:val="20"/>
        </w:rPr>
        <w:t>Preferred Stock</w:t>
      </w:r>
    </w:p>
    <w:p w:rsidR="00CC423E" w:rsidRDefault="00CC423E" w:rsidP="00CC423E">
      <w:pPr>
        <w:rPr>
          <w:b/>
          <w:bCs/>
          <w:color w:val="000000"/>
          <w:sz w:val="20"/>
        </w:rPr>
      </w:pPr>
    </w:p>
    <w:p w:rsidR="00F756E5" w:rsidRDefault="00CC423E" w:rsidP="00CC423E">
      <w:pPr>
        <w:ind w:firstLine="720"/>
        <w:rPr>
          <w:color w:val="000000"/>
          <w:sz w:val="20"/>
          <w:szCs w:val="20"/>
        </w:rPr>
      </w:pPr>
      <w:r>
        <w:rPr>
          <w:bCs/>
          <w:color w:val="000000"/>
          <w:sz w:val="20"/>
        </w:rPr>
        <w:t xml:space="preserve">The Company’s Articles of Incorporation provides for 1,500,000 undesignated shares of capital stock. The Board of Directors of the Company is authorized to establish one or more classes or series from the undesignated shares, to designate each such class or series, and to fix the relative rights and preferences of each such class or series, which rights and preferences may be superior to those of any of the common shares. On February 21, 2012, in connection with adopting the Tax Asset Protection Plan, the Company’s Board of Directors authorized the issuance of up to 3,000 shares of Series </w:t>
      </w:r>
      <w:proofErr w:type="gramStart"/>
      <w:r>
        <w:rPr>
          <w:bCs/>
          <w:color w:val="000000"/>
          <w:sz w:val="20"/>
        </w:rPr>
        <w:t>A</w:t>
      </w:r>
      <w:proofErr w:type="gramEnd"/>
      <w:r>
        <w:rPr>
          <w:bCs/>
          <w:color w:val="000000"/>
          <w:sz w:val="20"/>
        </w:rPr>
        <w:t xml:space="preserve"> Junior Participating Preferred Stock (“Preferred Stock”), which number may be increased or decreased by resolution of the Board of Directors. The Company’s Board of Directors simultaneously declared a dividend of one preferred share purchase right, equal to one ten-thousandth of a share of the Preferred Stock, distributable to record holders of the Company’s common stock as of the close of business on March 2, 2012 and holders of common stock issued after that date. </w:t>
      </w:r>
    </w:p>
    <w:p w:rsidR="00EA2385" w:rsidRDefault="00EA2385">
      <w:pPr>
        <w:rPr>
          <w:b/>
          <w:bCs/>
          <w:color w:val="000000"/>
          <w:sz w:val="20"/>
        </w:rPr>
      </w:pPr>
    </w:p>
    <w:p w:rsidR="00A8615F" w:rsidRDefault="00A8615F">
      <w:pPr>
        <w:rPr>
          <w:b/>
          <w:bCs/>
          <w:color w:val="000000"/>
          <w:sz w:val="20"/>
        </w:rPr>
      </w:pPr>
    </w:p>
    <w:p w:rsidR="004851D7" w:rsidRDefault="004851D7">
      <w:pPr>
        <w:rPr>
          <w:b/>
          <w:bCs/>
          <w:color w:val="000000"/>
          <w:sz w:val="20"/>
        </w:rPr>
      </w:pPr>
      <w:r>
        <w:rPr>
          <w:b/>
          <w:bCs/>
          <w:color w:val="000000"/>
          <w:sz w:val="20"/>
        </w:rPr>
        <w:t>6.  Commitments</w:t>
      </w:r>
    </w:p>
    <w:p w:rsidR="004851D7" w:rsidRDefault="004851D7">
      <w:pPr>
        <w:rPr>
          <w:color w:val="000000"/>
          <w:sz w:val="20"/>
        </w:rPr>
      </w:pPr>
    </w:p>
    <w:p w:rsidR="004851D7" w:rsidRDefault="004851D7">
      <w:pPr>
        <w:rPr>
          <w:b/>
          <w:bCs/>
          <w:color w:val="000000"/>
          <w:sz w:val="20"/>
        </w:rPr>
      </w:pPr>
      <w:r>
        <w:rPr>
          <w:b/>
          <w:bCs/>
          <w:color w:val="000000"/>
          <w:sz w:val="20"/>
        </w:rPr>
        <w:t>Capital Lease Obligations</w:t>
      </w:r>
    </w:p>
    <w:p w:rsidR="004851D7" w:rsidRDefault="004851D7">
      <w:pPr>
        <w:rPr>
          <w:color w:val="000000"/>
          <w:sz w:val="20"/>
        </w:rPr>
      </w:pPr>
    </w:p>
    <w:p w:rsidR="004851D7" w:rsidRDefault="004851D7">
      <w:pPr>
        <w:rPr>
          <w:color w:val="000000"/>
          <w:sz w:val="20"/>
        </w:rPr>
      </w:pPr>
      <w:r>
        <w:rPr>
          <w:color w:val="000000"/>
          <w:sz w:val="20"/>
        </w:rPr>
        <w:tab/>
        <w:t>Future minimum lease payments under capital lease obligations due for the years ending December 31 are as follows (in thousands):</w:t>
      </w:r>
    </w:p>
    <w:p w:rsidR="004851D7" w:rsidRDefault="004851D7">
      <w:pPr>
        <w:rPr>
          <w:color w:val="000000"/>
          <w:sz w:val="20"/>
        </w:rPr>
      </w:pPr>
      <w:r>
        <w:rPr>
          <w:color w:val="000000"/>
          <w:sz w:val="20"/>
        </w:rPr>
        <w:t xml:space="preserve"> </w:t>
      </w:r>
    </w:p>
    <w:tbl>
      <w:tblPr>
        <w:tblW w:w="0" w:type="auto"/>
        <w:jc w:val="center"/>
        <w:tblLayout w:type="fixed"/>
        <w:tblCellMar>
          <w:left w:w="0" w:type="dxa"/>
          <w:right w:w="0" w:type="dxa"/>
        </w:tblCellMar>
        <w:tblLook w:val="0000" w:firstRow="0" w:lastRow="0" w:firstColumn="0" w:lastColumn="0" w:noHBand="0" w:noVBand="0"/>
      </w:tblPr>
      <w:tblGrid>
        <w:gridCol w:w="4320"/>
        <w:gridCol w:w="1260"/>
      </w:tblGrid>
      <w:tr w:rsidR="004851D7">
        <w:trPr>
          <w:jc w:val="center"/>
        </w:trPr>
        <w:tc>
          <w:tcPr>
            <w:tcW w:w="4320" w:type="dxa"/>
            <w:tcBorders>
              <w:top w:val="nil"/>
              <w:left w:val="nil"/>
              <w:bottom w:val="nil"/>
              <w:right w:val="nil"/>
            </w:tcBorders>
          </w:tcPr>
          <w:p w:rsidR="004851D7" w:rsidRDefault="008B38D4" w:rsidP="00223B45">
            <w:pPr>
              <w:pStyle w:val="in1"/>
              <w:ind w:left="0" w:firstLine="0"/>
              <w:jc w:val="both"/>
              <w:rPr>
                <w:color w:val="000000"/>
                <w:sz w:val="20"/>
                <w:szCs w:val="20"/>
              </w:rPr>
            </w:pPr>
            <w:r>
              <w:rPr>
                <w:color w:val="000000"/>
                <w:sz w:val="20"/>
                <w:szCs w:val="20"/>
              </w:rPr>
              <w:t>2012</w:t>
            </w:r>
          </w:p>
        </w:tc>
        <w:tc>
          <w:tcPr>
            <w:tcW w:w="1260" w:type="dxa"/>
            <w:tcBorders>
              <w:top w:val="nil"/>
              <w:left w:val="nil"/>
              <w:bottom w:val="nil"/>
              <w:right w:val="nil"/>
            </w:tcBorders>
          </w:tcPr>
          <w:p w:rsidR="004851D7" w:rsidRDefault="004851D7" w:rsidP="00163082">
            <w:pPr>
              <w:tabs>
                <w:tab w:val="decimal" w:pos="1016"/>
              </w:tabs>
              <w:jc w:val="both"/>
              <w:rPr>
                <w:color w:val="000000"/>
                <w:sz w:val="20"/>
                <w:szCs w:val="20"/>
              </w:rPr>
            </w:pPr>
            <w:r>
              <w:rPr>
                <w:color w:val="000000"/>
                <w:sz w:val="20"/>
                <w:szCs w:val="20"/>
              </w:rPr>
              <w:t xml:space="preserve">$    </w:t>
            </w:r>
            <w:r w:rsidR="000C7BEA">
              <w:rPr>
                <w:color w:val="000000"/>
                <w:sz w:val="20"/>
                <w:szCs w:val="20"/>
              </w:rPr>
              <w:t>4</w:t>
            </w:r>
          </w:p>
        </w:tc>
      </w:tr>
      <w:tr w:rsidR="004851D7">
        <w:trPr>
          <w:jc w:val="center"/>
        </w:trPr>
        <w:tc>
          <w:tcPr>
            <w:tcW w:w="4320" w:type="dxa"/>
            <w:tcBorders>
              <w:top w:val="nil"/>
              <w:left w:val="nil"/>
              <w:bottom w:val="nil"/>
              <w:right w:val="nil"/>
            </w:tcBorders>
          </w:tcPr>
          <w:p w:rsidR="004851D7" w:rsidRDefault="004851D7">
            <w:pPr>
              <w:pStyle w:val="in1"/>
              <w:ind w:left="0" w:firstLine="0"/>
              <w:jc w:val="both"/>
              <w:rPr>
                <w:color w:val="000000"/>
                <w:sz w:val="20"/>
                <w:szCs w:val="20"/>
              </w:rPr>
            </w:pPr>
            <w:r>
              <w:rPr>
                <w:color w:val="000000"/>
                <w:sz w:val="20"/>
                <w:szCs w:val="20"/>
              </w:rPr>
              <w:t>Total minimum lease payments</w:t>
            </w:r>
          </w:p>
        </w:tc>
        <w:tc>
          <w:tcPr>
            <w:tcW w:w="1260" w:type="dxa"/>
            <w:tcBorders>
              <w:top w:val="single" w:sz="6" w:space="0" w:color="auto"/>
              <w:left w:val="nil"/>
              <w:bottom w:val="nil"/>
              <w:right w:val="nil"/>
            </w:tcBorders>
          </w:tcPr>
          <w:p w:rsidR="004851D7" w:rsidRDefault="000C7BEA">
            <w:pPr>
              <w:tabs>
                <w:tab w:val="decimal" w:pos="1016"/>
              </w:tabs>
              <w:jc w:val="both"/>
              <w:rPr>
                <w:color w:val="000000"/>
                <w:sz w:val="20"/>
                <w:szCs w:val="20"/>
              </w:rPr>
            </w:pPr>
            <w:r>
              <w:rPr>
                <w:color w:val="000000"/>
                <w:sz w:val="20"/>
                <w:szCs w:val="20"/>
              </w:rPr>
              <w:t>4</w:t>
            </w:r>
          </w:p>
        </w:tc>
      </w:tr>
      <w:tr w:rsidR="004851D7">
        <w:trPr>
          <w:jc w:val="center"/>
        </w:trPr>
        <w:tc>
          <w:tcPr>
            <w:tcW w:w="4320" w:type="dxa"/>
            <w:tcBorders>
              <w:top w:val="nil"/>
              <w:left w:val="nil"/>
              <w:bottom w:val="nil"/>
              <w:right w:val="nil"/>
            </w:tcBorders>
          </w:tcPr>
          <w:p w:rsidR="004851D7" w:rsidRDefault="004851D7">
            <w:pPr>
              <w:pStyle w:val="in1"/>
              <w:ind w:left="0" w:firstLine="0"/>
              <w:jc w:val="both"/>
              <w:rPr>
                <w:color w:val="000000"/>
                <w:sz w:val="20"/>
                <w:szCs w:val="20"/>
              </w:rPr>
            </w:pPr>
            <w:r>
              <w:rPr>
                <w:color w:val="000000"/>
                <w:sz w:val="20"/>
                <w:szCs w:val="20"/>
              </w:rPr>
              <w:t>Less amount representing interest</w:t>
            </w:r>
          </w:p>
        </w:tc>
        <w:tc>
          <w:tcPr>
            <w:tcW w:w="1260" w:type="dxa"/>
            <w:tcBorders>
              <w:top w:val="nil"/>
              <w:left w:val="nil"/>
              <w:bottom w:val="single" w:sz="6" w:space="0" w:color="auto"/>
              <w:right w:val="nil"/>
            </w:tcBorders>
          </w:tcPr>
          <w:p w:rsidR="004851D7" w:rsidRDefault="00835911" w:rsidP="00223B45">
            <w:pPr>
              <w:pStyle w:val="contents"/>
              <w:widowControl w:val="0"/>
              <w:tabs>
                <w:tab w:val="clear" w:pos="8540"/>
                <w:tab w:val="decimal" w:pos="1016"/>
              </w:tabs>
              <w:spacing w:line="240" w:lineRule="auto"/>
              <w:rPr>
                <w:color w:val="000000"/>
                <w:sz w:val="20"/>
                <w:szCs w:val="20"/>
              </w:rPr>
            </w:pPr>
            <w:r>
              <w:rPr>
                <w:color w:val="000000"/>
                <w:sz w:val="20"/>
                <w:szCs w:val="20"/>
              </w:rPr>
              <w:t>-</w:t>
            </w:r>
          </w:p>
        </w:tc>
      </w:tr>
      <w:tr w:rsidR="004851D7">
        <w:trPr>
          <w:jc w:val="center"/>
        </w:trPr>
        <w:tc>
          <w:tcPr>
            <w:tcW w:w="4320" w:type="dxa"/>
            <w:tcBorders>
              <w:top w:val="nil"/>
              <w:left w:val="nil"/>
              <w:bottom w:val="nil"/>
              <w:right w:val="nil"/>
            </w:tcBorders>
          </w:tcPr>
          <w:p w:rsidR="004851D7" w:rsidRDefault="004851D7">
            <w:pPr>
              <w:pStyle w:val="in1"/>
              <w:ind w:left="0" w:firstLine="0"/>
              <w:jc w:val="both"/>
              <w:rPr>
                <w:color w:val="000000"/>
                <w:sz w:val="20"/>
                <w:szCs w:val="20"/>
              </w:rPr>
            </w:pPr>
            <w:r>
              <w:rPr>
                <w:color w:val="000000"/>
                <w:sz w:val="20"/>
                <w:szCs w:val="20"/>
              </w:rPr>
              <w:t>Present value of net minimum lease payments</w:t>
            </w:r>
          </w:p>
        </w:tc>
        <w:tc>
          <w:tcPr>
            <w:tcW w:w="1260" w:type="dxa"/>
            <w:tcBorders>
              <w:top w:val="single" w:sz="6" w:space="0" w:color="auto"/>
              <w:left w:val="nil"/>
              <w:bottom w:val="nil"/>
              <w:right w:val="nil"/>
            </w:tcBorders>
          </w:tcPr>
          <w:p w:rsidR="004851D7" w:rsidRDefault="000C7BEA" w:rsidP="004851D7">
            <w:pPr>
              <w:tabs>
                <w:tab w:val="decimal" w:pos="1016"/>
              </w:tabs>
              <w:jc w:val="both"/>
              <w:rPr>
                <w:color w:val="000000"/>
                <w:sz w:val="20"/>
                <w:szCs w:val="20"/>
              </w:rPr>
            </w:pPr>
            <w:r>
              <w:rPr>
                <w:color w:val="000000"/>
                <w:sz w:val="20"/>
                <w:szCs w:val="20"/>
              </w:rPr>
              <w:t>4</w:t>
            </w:r>
          </w:p>
        </w:tc>
      </w:tr>
      <w:tr w:rsidR="004851D7">
        <w:trPr>
          <w:jc w:val="center"/>
        </w:trPr>
        <w:tc>
          <w:tcPr>
            <w:tcW w:w="4320" w:type="dxa"/>
            <w:tcBorders>
              <w:top w:val="nil"/>
              <w:left w:val="nil"/>
              <w:bottom w:val="nil"/>
              <w:right w:val="nil"/>
            </w:tcBorders>
          </w:tcPr>
          <w:p w:rsidR="004851D7" w:rsidRDefault="004851D7">
            <w:pPr>
              <w:pStyle w:val="in1"/>
              <w:ind w:left="0" w:firstLine="0"/>
              <w:jc w:val="both"/>
              <w:rPr>
                <w:color w:val="000000"/>
                <w:sz w:val="20"/>
                <w:szCs w:val="20"/>
              </w:rPr>
            </w:pPr>
            <w:r>
              <w:rPr>
                <w:color w:val="000000"/>
                <w:sz w:val="20"/>
                <w:szCs w:val="20"/>
              </w:rPr>
              <w:t>Less current portion</w:t>
            </w:r>
          </w:p>
        </w:tc>
        <w:tc>
          <w:tcPr>
            <w:tcW w:w="1260" w:type="dxa"/>
            <w:tcBorders>
              <w:top w:val="nil"/>
              <w:left w:val="nil"/>
              <w:bottom w:val="single" w:sz="6" w:space="0" w:color="auto"/>
              <w:right w:val="nil"/>
            </w:tcBorders>
          </w:tcPr>
          <w:p w:rsidR="004851D7" w:rsidRDefault="004851D7" w:rsidP="00163082">
            <w:pPr>
              <w:tabs>
                <w:tab w:val="decimal" w:pos="1016"/>
              </w:tabs>
              <w:jc w:val="both"/>
              <w:rPr>
                <w:color w:val="000000"/>
                <w:sz w:val="20"/>
                <w:szCs w:val="20"/>
              </w:rPr>
            </w:pPr>
            <w:r>
              <w:rPr>
                <w:color w:val="000000"/>
                <w:sz w:val="20"/>
                <w:szCs w:val="20"/>
              </w:rPr>
              <w:t>(</w:t>
            </w:r>
            <w:r w:rsidR="000C7BEA">
              <w:rPr>
                <w:color w:val="000000"/>
                <w:sz w:val="20"/>
                <w:szCs w:val="20"/>
              </w:rPr>
              <w:t>4</w:t>
            </w:r>
            <w:r>
              <w:rPr>
                <w:color w:val="000000"/>
                <w:sz w:val="20"/>
                <w:szCs w:val="20"/>
              </w:rPr>
              <w:t>)</w:t>
            </w:r>
          </w:p>
        </w:tc>
      </w:tr>
      <w:tr w:rsidR="004851D7">
        <w:trPr>
          <w:jc w:val="center"/>
        </w:trPr>
        <w:tc>
          <w:tcPr>
            <w:tcW w:w="4320" w:type="dxa"/>
            <w:tcBorders>
              <w:top w:val="nil"/>
              <w:left w:val="nil"/>
              <w:bottom w:val="nil"/>
              <w:right w:val="nil"/>
            </w:tcBorders>
          </w:tcPr>
          <w:p w:rsidR="004851D7" w:rsidRDefault="004851D7">
            <w:pPr>
              <w:pStyle w:val="in1"/>
              <w:ind w:left="0" w:firstLine="0"/>
              <w:jc w:val="both"/>
              <w:rPr>
                <w:color w:val="000000"/>
                <w:sz w:val="20"/>
                <w:szCs w:val="20"/>
              </w:rPr>
            </w:pPr>
            <w:r>
              <w:rPr>
                <w:color w:val="000000"/>
                <w:sz w:val="20"/>
                <w:szCs w:val="20"/>
              </w:rPr>
              <w:t>Long-term portion</w:t>
            </w:r>
          </w:p>
        </w:tc>
        <w:tc>
          <w:tcPr>
            <w:tcW w:w="1260" w:type="dxa"/>
            <w:tcBorders>
              <w:top w:val="single" w:sz="6" w:space="0" w:color="auto"/>
              <w:left w:val="nil"/>
              <w:bottom w:val="double" w:sz="4" w:space="0" w:color="auto"/>
              <w:right w:val="nil"/>
            </w:tcBorders>
          </w:tcPr>
          <w:p w:rsidR="004851D7" w:rsidRDefault="004851D7" w:rsidP="004A7EDE">
            <w:pPr>
              <w:tabs>
                <w:tab w:val="decimal" w:pos="1016"/>
              </w:tabs>
              <w:jc w:val="both"/>
              <w:rPr>
                <w:color w:val="000000"/>
                <w:sz w:val="20"/>
                <w:szCs w:val="20"/>
              </w:rPr>
            </w:pPr>
            <w:r>
              <w:rPr>
                <w:color w:val="000000"/>
                <w:sz w:val="20"/>
                <w:szCs w:val="20"/>
              </w:rPr>
              <w:t xml:space="preserve">$   </w:t>
            </w:r>
            <w:r w:rsidR="004A7EDE">
              <w:rPr>
                <w:color w:val="000000"/>
                <w:sz w:val="20"/>
                <w:szCs w:val="20"/>
              </w:rPr>
              <w:t xml:space="preserve">-       </w:t>
            </w:r>
          </w:p>
        </w:tc>
      </w:tr>
    </w:tbl>
    <w:p w:rsidR="004851D7" w:rsidRDefault="004851D7">
      <w:pPr>
        <w:rPr>
          <w:b/>
          <w:bCs/>
          <w:color w:val="000000"/>
          <w:sz w:val="20"/>
        </w:rPr>
      </w:pPr>
    </w:p>
    <w:p w:rsidR="004851D7" w:rsidRDefault="004851D7">
      <w:pPr>
        <w:rPr>
          <w:b/>
          <w:bCs/>
          <w:sz w:val="20"/>
        </w:rPr>
      </w:pPr>
      <w:r>
        <w:rPr>
          <w:b/>
          <w:bCs/>
          <w:color w:val="000000"/>
          <w:sz w:val="20"/>
        </w:rPr>
        <w:t>Operating Leases</w:t>
      </w:r>
    </w:p>
    <w:p w:rsidR="004851D7" w:rsidRDefault="004851D7">
      <w:pPr>
        <w:rPr>
          <w:sz w:val="20"/>
        </w:rPr>
      </w:pPr>
    </w:p>
    <w:p w:rsidR="004851D7" w:rsidRDefault="004851D7">
      <w:pPr>
        <w:rPr>
          <w:color w:val="000000"/>
          <w:sz w:val="20"/>
        </w:rPr>
      </w:pPr>
      <w:r>
        <w:rPr>
          <w:sz w:val="20"/>
        </w:rPr>
        <w:tab/>
        <w:t>T</w:t>
      </w:r>
      <w:r>
        <w:rPr>
          <w:color w:val="000000"/>
          <w:sz w:val="20"/>
        </w:rPr>
        <w:t xml:space="preserve">he Company leases office and warehouse space and certain equipment under operating leases. Total future minimum lease payments, excluding common area charges, under these leases as of December 31, </w:t>
      </w:r>
      <w:r w:rsidR="008B38D4">
        <w:rPr>
          <w:color w:val="000000"/>
          <w:sz w:val="20"/>
        </w:rPr>
        <w:t>2011</w:t>
      </w:r>
      <w:r>
        <w:rPr>
          <w:color w:val="000000"/>
          <w:sz w:val="20"/>
        </w:rPr>
        <w:t>, are as follows (in thousands):</w:t>
      </w:r>
    </w:p>
    <w:tbl>
      <w:tblPr>
        <w:tblW w:w="0" w:type="auto"/>
        <w:jc w:val="center"/>
        <w:tblLayout w:type="fixed"/>
        <w:tblCellMar>
          <w:left w:w="0" w:type="dxa"/>
          <w:right w:w="0" w:type="dxa"/>
        </w:tblCellMar>
        <w:tblLook w:val="0000" w:firstRow="0" w:lastRow="0" w:firstColumn="0" w:lastColumn="0" w:noHBand="0" w:noVBand="0"/>
      </w:tblPr>
      <w:tblGrid>
        <w:gridCol w:w="1584"/>
        <w:gridCol w:w="1584"/>
      </w:tblGrid>
      <w:tr w:rsidR="00606FE1">
        <w:trPr>
          <w:jc w:val="center"/>
        </w:trPr>
        <w:tc>
          <w:tcPr>
            <w:tcW w:w="1584" w:type="dxa"/>
            <w:tcBorders>
              <w:top w:val="nil"/>
              <w:left w:val="nil"/>
              <w:bottom w:val="nil"/>
              <w:right w:val="nil"/>
            </w:tcBorders>
          </w:tcPr>
          <w:p w:rsidR="00606FE1" w:rsidRPr="00CC05D5" w:rsidRDefault="00606FE1">
            <w:pPr>
              <w:pStyle w:val="in1"/>
              <w:ind w:left="0" w:firstLine="0"/>
              <w:jc w:val="both"/>
              <w:rPr>
                <w:color w:val="000000"/>
                <w:sz w:val="20"/>
                <w:szCs w:val="20"/>
              </w:rPr>
            </w:pPr>
            <w:r w:rsidRPr="00CC05D5">
              <w:rPr>
                <w:color w:val="000000"/>
                <w:sz w:val="20"/>
                <w:szCs w:val="20"/>
              </w:rPr>
              <w:t>2012</w:t>
            </w:r>
          </w:p>
        </w:tc>
        <w:tc>
          <w:tcPr>
            <w:tcW w:w="1584" w:type="dxa"/>
            <w:tcBorders>
              <w:left w:val="nil"/>
              <w:right w:val="nil"/>
            </w:tcBorders>
          </w:tcPr>
          <w:p w:rsidR="00606FE1" w:rsidRPr="00CC05D5" w:rsidRDefault="00606FE1">
            <w:pPr>
              <w:tabs>
                <w:tab w:val="decimal" w:pos="971"/>
              </w:tabs>
              <w:jc w:val="both"/>
              <w:rPr>
                <w:color w:val="000000"/>
                <w:sz w:val="20"/>
                <w:szCs w:val="20"/>
              </w:rPr>
            </w:pPr>
            <w:r w:rsidRPr="00CC05D5">
              <w:rPr>
                <w:color w:val="000000"/>
                <w:sz w:val="20"/>
                <w:szCs w:val="20"/>
              </w:rPr>
              <w:t>$    203</w:t>
            </w:r>
          </w:p>
        </w:tc>
      </w:tr>
      <w:tr w:rsidR="00606FE1">
        <w:trPr>
          <w:jc w:val="center"/>
        </w:trPr>
        <w:tc>
          <w:tcPr>
            <w:tcW w:w="1584" w:type="dxa"/>
            <w:tcBorders>
              <w:top w:val="nil"/>
              <w:left w:val="nil"/>
              <w:bottom w:val="nil"/>
              <w:right w:val="nil"/>
            </w:tcBorders>
          </w:tcPr>
          <w:p w:rsidR="00606FE1" w:rsidRPr="00CC05D5" w:rsidRDefault="00606FE1">
            <w:pPr>
              <w:pStyle w:val="in1"/>
              <w:ind w:left="0" w:firstLine="0"/>
              <w:jc w:val="both"/>
              <w:rPr>
                <w:color w:val="000000"/>
                <w:sz w:val="20"/>
                <w:szCs w:val="20"/>
              </w:rPr>
            </w:pPr>
            <w:r w:rsidRPr="00CC05D5">
              <w:rPr>
                <w:color w:val="000000"/>
                <w:sz w:val="20"/>
                <w:szCs w:val="20"/>
              </w:rPr>
              <w:t>2013</w:t>
            </w:r>
          </w:p>
        </w:tc>
        <w:tc>
          <w:tcPr>
            <w:tcW w:w="1584" w:type="dxa"/>
            <w:tcBorders>
              <w:left w:val="nil"/>
              <w:right w:val="nil"/>
            </w:tcBorders>
          </w:tcPr>
          <w:p w:rsidR="00606FE1" w:rsidRPr="00CC05D5" w:rsidRDefault="00606FE1">
            <w:pPr>
              <w:tabs>
                <w:tab w:val="decimal" w:pos="971"/>
              </w:tabs>
              <w:jc w:val="both"/>
              <w:rPr>
                <w:color w:val="000000"/>
                <w:sz w:val="20"/>
                <w:szCs w:val="20"/>
              </w:rPr>
            </w:pPr>
            <w:r w:rsidRPr="00CC05D5">
              <w:rPr>
                <w:color w:val="000000"/>
                <w:sz w:val="20"/>
                <w:szCs w:val="20"/>
              </w:rPr>
              <w:t>207</w:t>
            </w:r>
          </w:p>
        </w:tc>
      </w:tr>
      <w:tr w:rsidR="00C322A1">
        <w:trPr>
          <w:jc w:val="center"/>
        </w:trPr>
        <w:tc>
          <w:tcPr>
            <w:tcW w:w="1584" w:type="dxa"/>
            <w:tcBorders>
              <w:top w:val="nil"/>
              <w:left w:val="nil"/>
              <w:bottom w:val="nil"/>
              <w:right w:val="nil"/>
            </w:tcBorders>
          </w:tcPr>
          <w:p w:rsidR="00C322A1" w:rsidRPr="00CC05D5" w:rsidDel="00606FE1" w:rsidRDefault="00C322A1">
            <w:pPr>
              <w:pStyle w:val="in1"/>
              <w:ind w:left="0" w:firstLine="0"/>
              <w:jc w:val="both"/>
              <w:rPr>
                <w:color w:val="000000"/>
                <w:sz w:val="20"/>
                <w:szCs w:val="20"/>
              </w:rPr>
            </w:pPr>
            <w:r w:rsidRPr="00CC05D5">
              <w:rPr>
                <w:color w:val="000000"/>
                <w:sz w:val="20"/>
                <w:szCs w:val="20"/>
              </w:rPr>
              <w:t>2014</w:t>
            </w:r>
          </w:p>
        </w:tc>
        <w:tc>
          <w:tcPr>
            <w:tcW w:w="1584" w:type="dxa"/>
            <w:tcBorders>
              <w:left w:val="nil"/>
              <w:right w:val="nil"/>
            </w:tcBorders>
          </w:tcPr>
          <w:p w:rsidR="00C322A1" w:rsidRPr="00CC05D5" w:rsidRDefault="00C322A1">
            <w:pPr>
              <w:tabs>
                <w:tab w:val="decimal" w:pos="971"/>
              </w:tabs>
              <w:jc w:val="both"/>
              <w:rPr>
                <w:color w:val="000000"/>
                <w:sz w:val="20"/>
                <w:szCs w:val="20"/>
              </w:rPr>
            </w:pPr>
            <w:r w:rsidRPr="00CC05D5">
              <w:rPr>
                <w:color w:val="000000"/>
                <w:sz w:val="20"/>
                <w:szCs w:val="20"/>
              </w:rPr>
              <w:t>211</w:t>
            </w:r>
          </w:p>
        </w:tc>
      </w:tr>
      <w:tr w:rsidR="00C322A1">
        <w:trPr>
          <w:jc w:val="center"/>
        </w:trPr>
        <w:tc>
          <w:tcPr>
            <w:tcW w:w="1584" w:type="dxa"/>
            <w:tcBorders>
              <w:top w:val="nil"/>
              <w:left w:val="nil"/>
              <w:bottom w:val="nil"/>
              <w:right w:val="nil"/>
            </w:tcBorders>
          </w:tcPr>
          <w:p w:rsidR="00C322A1" w:rsidRPr="00CC05D5" w:rsidDel="00606FE1" w:rsidRDefault="00C322A1">
            <w:pPr>
              <w:pStyle w:val="in1"/>
              <w:ind w:left="0" w:firstLine="0"/>
              <w:jc w:val="both"/>
              <w:rPr>
                <w:color w:val="000000"/>
                <w:sz w:val="20"/>
                <w:szCs w:val="20"/>
              </w:rPr>
            </w:pPr>
            <w:r w:rsidRPr="00CC05D5">
              <w:rPr>
                <w:color w:val="000000"/>
                <w:sz w:val="20"/>
                <w:szCs w:val="20"/>
              </w:rPr>
              <w:t>2015</w:t>
            </w:r>
          </w:p>
        </w:tc>
        <w:tc>
          <w:tcPr>
            <w:tcW w:w="1584" w:type="dxa"/>
            <w:tcBorders>
              <w:left w:val="nil"/>
              <w:right w:val="nil"/>
            </w:tcBorders>
          </w:tcPr>
          <w:p w:rsidR="00C322A1" w:rsidRPr="00CC05D5" w:rsidRDefault="00C322A1">
            <w:pPr>
              <w:tabs>
                <w:tab w:val="decimal" w:pos="971"/>
              </w:tabs>
              <w:jc w:val="both"/>
              <w:rPr>
                <w:color w:val="000000"/>
                <w:sz w:val="20"/>
                <w:szCs w:val="20"/>
              </w:rPr>
            </w:pPr>
            <w:r w:rsidRPr="00CC05D5">
              <w:rPr>
                <w:color w:val="000000"/>
                <w:sz w:val="20"/>
                <w:szCs w:val="20"/>
              </w:rPr>
              <w:t>215</w:t>
            </w:r>
          </w:p>
        </w:tc>
      </w:tr>
      <w:tr w:rsidR="004851D7">
        <w:trPr>
          <w:jc w:val="center"/>
        </w:trPr>
        <w:tc>
          <w:tcPr>
            <w:tcW w:w="1584" w:type="dxa"/>
            <w:tcBorders>
              <w:top w:val="nil"/>
              <w:left w:val="nil"/>
              <w:bottom w:val="nil"/>
              <w:right w:val="nil"/>
            </w:tcBorders>
          </w:tcPr>
          <w:p w:rsidR="004851D7" w:rsidRPr="00CC05D5" w:rsidRDefault="00606FE1">
            <w:pPr>
              <w:pStyle w:val="in1"/>
              <w:ind w:left="0" w:firstLine="0"/>
              <w:jc w:val="both"/>
              <w:rPr>
                <w:color w:val="000000"/>
                <w:sz w:val="20"/>
                <w:szCs w:val="20"/>
              </w:rPr>
            </w:pPr>
            <w:r w:rsidRPr="00CC05D5">
              <w:rPr>
                <w:color w:val="000000"/>
                <w:sz w:val="20"/>
                <w:szCs w:val="20"/>
              </w:rPr>
              <w:t>201</w:t>
            </w:r>
            <w:r w:rsidR="00C322A1" w:rsidRPr="00CC05D5">
              <w:rPr>
                <w:color w:val="000000"/>
                <w:sz w:val="20"/>
                <w:szCs w:val="20"/>
              </w:rPr>
              <w:t>6</w:t>
            </w:r>
          </w:p>
        </w:tc>
        <w:tc>
          <w:tcPr>
            <w:tcW w:w="1584" w:type="dxa"/>
            <w:tcBorders>
              <w:left w:val="nil"/>
              <w:right w:val="nil"/>
            </w:tcBorders>
          </w:tcPr>
          <w:p w:rsidR="004851D7" w:rsidRPr="00CC05D5" w:rsidRDefault="00C322A1">
            <w:pPr>
              <w:tabs>
                <w:tab w:val="decimal" w:pos="971"/>
              </w:tabs>
              <w:jc w:val="both"/>
              <w:rPr>
                <w:color w:val="000000"/>
                <w:sz w:val="20"/>
                <w:szCs w:val="20"/>
              </w:rPr>
            </w:pPr>
            <w:r w:rsidRPr="00CC05D5">
              <w:rPr>
                <w:color w:val="000000"/>
                <w:sz w:val="20"/>
                <w:szCs w:val="20"/>
              </w:rPr>
              <w:t>108</w:t>
            </w:r>
          </w:p>
        </w:tc>
      </w:tr>
      <w:tr w:rsidR="004851D7">
        <w:trPr>
          <w:jc w:val="center"/>
        </w:trPr>
        <w:tc>
          <w:tcPr>
            <w:tcW w:w="1584" w:type="dxa"/>
            <w:tcBorders>
              <w:top w:val="nil"/>
              <w:left w:val="nil"/>
              <w:bottom w:val="nil"/>
              <w:right w:val="nil"/>
            </w:tcBorders>
          </w:tcPr>
          <w:p w:rsidR="004851D7" w:rsidRPr="00CC05D5" w:rsidRDefault="004851D7">
            <w:pPr>
              <w:pStyle w:val="in1"/>
              <w:ind w:left="0" w:firstLine="0"/>
              <w:jc w:val="both"/>
              <w:rPr>
                <w:color w:val="000000"/>
                <w:sz w:val="20"/>
                <w:szCs w:val="20"/>
              </w:rPr>
            </w:pPr>
            <w:r w:rsidRPr="00CC05D5">
              <w:rPr>
                <w:color w:val="000000"/>
                <w:sz w:val="20"/>
                <w:szCs w:val="20"/>
              </w:rPr>
              <w:t>Total</w:t>
            </w:r>
          </w:p>
        </w:tc>
        <w:tc>
          <w:tcPr>
            <w:tcW w:w="1584" w:type="dxa"/>
            <w:tcBorders>
              <w:top w:val="single" w:sz="4" w:space="0" w:color="auto"/>
              <w:left w:val="nil"/>
              <w:bottom w:val="double" w:sz="6" w:space="0" w:color="auto"/>
              <w:right w:val="nil"/>
            </w:tcBorders>
          </w:tcPr>
          <w:p w:rsidR="004851D7" w:rsidRPr="00CC05D5" w:rsidRDefault="004851D7">
            <w:pPr>
              <w:tabs>
                <w:tab w:val="decimal" w:pos="971"/>
              </w:tabs>
              <w:jc w:val="both"/>
              <w:rPr>
                <w:color w:val="000000"/>
                <w:sz w:val="20"/>
                <w:szCs w:val="20"/>
              </w:rPr>
            </w:pPr>
            <w:r w:rsidRPr="00CC05D5">
              <w:rPr>
                <w:color w:val="000000"/>
                <w:sz w:val="20"/>
                <w:szCs w:val="20"/>
              </w:rPr>
              <w:t xml:space="preserve">$    </w:t>
            </w:r>
            <w:r w:rsidR="00C322A1" w:rsidRPr="00CC05D5">
              <w:rPr>
                <w:color w:val="000000"/>
                <w:sz w:val="20"/>
                <w:szCs w:val="20"/>
              </w:rPr>
              <w:t>944</w:t>
            </w:r>
          </w:p>
        </w:tc>
      </w:tr>
    </w:tbl>
    <w:p w:rsidR="004851D7" w:rsidRDefault="004851D7">
      <w:pPr>
        <w:rPr>
          <w:color w:val="000000"/>
          <w:sz w:val="20"/>
        </w:rPr>
      </w:pPr>
    </w:p>
    <w:p w:rsidR="004851D7" w:rsidRDefault="004851D7">
      <w:pPr>
        <w:rPr>
          <w:color w:val="000000"/>
          <w:sz w:val="20"/>
        </w:rPr>
      </w:pPr>
      <w:r>
        <w:rPr>
          <w:color w:val="000000"/>
          <w:sz w:val="20"/>
        </w:rPr>
        <w:tab/>
        <w:t xml:space="preserve">Rent expense, including common area maintenance expense for the years ended December 31, </w:t>
      </w:r>
      <w:r w:rsidR="008B38D4">
        <w:rPr>
          <w:color w:val="000000"/>
          <w:sz w:val="20"/>
        </w:rPr>
        <w:t>2011</w:t>
      </w:r>
      <w:r>
        <w:rPr>
          <w:color w:val="000000"/>
          <w:sz w:val="20"/>
        </w:rPr>
        <w:t xml:space="preserve">, and </w:t>
      </w:r>
      <w:r w:rsidR="008B38D4">
        <w:rPr>
          <w:color w:val="000000"/>
          <w:sz w:val="20"/>
        </w:rPr>
        <w:t xml:space="preserve">2010 </w:t>
      </w:r>
      <w:r>
        <w:rPr>
          <w:color w:val="000000"/>
          <w:sz w:val="20"/>
        </w:rPr>
        <w:t>was $</w:t>
      </w:r>
      <w:r w:rsidR="00606FE1">
        <w:rPr>
          <w:color w:val="000000"/>
          <w:sz w:val="20"/>
        </w:rPr>
        <w:t>259</w:t>
      </w:r>
      <w:r>
        <w:rPr>
          <w:color w:val="000000"/>
          <w:sz w:val="20"/>
        </w:rPr>
        <w:t>,000 and $</w:t>
      </w:r>
      <w:r w:rsidR="008B38D4">
        <w:rPr>
          <w:color w:val="000000"/>
          <w:sz w:val="20"/>
        </w:rPr>
        <w:t>247</w:t>
      </w:r>
      <w:r>
        <w:rPr>
          <w:color w:val="000000"/>
          <w:sz w:val="20"/>
        </w:rPr>
        <w:t>,000, respectively.</w:t>
      </w:r>
    </w:p>
    <w:p w:rsidR="004851D7" w:rsidRDefault="004851D7">
      <w:pPr>
        <w:rPr>
          <w:b/>
          <w:bCs/>
          <w:color w:val="000000"/>
          <w:sz w:val="20"/>
        </w:rPr>
      </w:pPr>
    </w:p>
    <w:p w:rsidR="004851D7" w:rsidRDefault="004851D7">
      <w:pPr>
        <w:rPr>
          <w:b/>
          <w:bCs/>
          <w:color w:val="000000"/>
          <w:sz w:val="20"/>
        </w:rPr>
      </w:pPr>
      <w:r>
        <w:rPr>
          <w:b/>
          <w:bCs/>
          <w:color w:val="000000"/>
          <w:sz w:val="20"/>
        </w:rPr>
        <w:t>7.  401(k) Savings Plan</w:t>
      </w:r>
    </w:p>
    <w:p w:rsidR="004851D7" w:rsidRDefault="004851D7">
      <w:pPr>
        <w:rPr>
          <w:color w:val="000000"/>
          <w:sz w:val="20"/>
        </w:rPr>
      </w:pPr>
    </w:p>
    <w:p w:rsidR="004851D7" w:rsidRDefault="004851D7">
      <w:pPr>
        <w:rPr>
          <w:b/>
          <w:bCs/>
          <w:sz w:val="20"/>
        </w:rPr>
      </w:pPr>
      <w:r>
        <w:rPr>
          <w:color w:val="000000"/>
          <w:sz w:val="20"/>
        </w:rPr>
        <w:tab/>
        <w:t xml:space="preserve">The Company has a 401(k) savings plan for the benefit of qualified employees. Under the plan, qualified employees may elect to defer up to 80% of their compensation, subject to a limit determined by the Internal Revenue Service. </w:t>
      </w:r>
      <w:r w:rsidR="00C8770A">
        <w:rPr>
          <w:color w:val="000000"/>
          <w:sz w:val="20"/>
        </w:rPr>
        <w:t>The Company may also make discretionary contributions</w:t>
      </w:r>
      <w:r w:rsidR="002D3CF0">
        <w:rPr>
          <w:color w:val="000000"/>
          <w:sz w:val="20"/>
        </w:rPr>
        <w:t xml:space="preserve">. </w:t>
      </w:r>
      <w:r w:rsidRPr="00C8770A">
        <w:rPr>
          <w:color w:val="000000"/>
          <w:sz w:val="20"/>
        </w:rPr>
        <w:t xml:space="preserve">Company </w:t>
      </w:r>
      <w:r w:rsidR="00C8770A">
        <w:rPr>
          <w:color w:val="000000"/>
          <w:sz w:val="20"/>
        </w:rPr>
        <w:t>matching c</w:t>
      </w:r>
      <w:r w:rsidRPr="00C8770A">
        <w:rPr>
          <w:color w:val="000000"/>
          <w:sz w:val="20"/>
        </w:rPr>
        <w:t xml:space="preserve">ontributions </w:t>
      </w:r>
      <w:r w:rsidR="00C8770A">
        <w:rPr>
          <w:color w:val="000000"/>
          <w:sz w:val="20"/>
        </w:rPr>
        <w:t xml:space="preserve">were </w:t>
      </w:r>
      <w:r w:rsidR="00CC541A" w:rsidRPr="006E39A7">
        <w:rPr>
          <w:color w:val="000000"/>
          <w:sz w:val="20"/>
        </w:rPr>
        <w:t>$131,000</w:t>
      </w:r>
      <w:r w:rsidR="00C8770A">
        <w:rPr>
          <w:color w:val="000000"/>
          <w:sz w:val="20"/>
        </w:rPr>
        <w:t xml:space="preserve"> in 2011</w:t>
      </w:r>
      <w:r w:rsidR="00CC541A" w:rsidRPr="006E39A7">
        <w:rPr>
          <w:color w:val="000000"/>
          <w:sz w:val="20"/>
        </w:rPr>
        <w:t>.</w:t>
      </w:r>
      <w:r w:rsidR="00CC541A" w:rsidRPr="009A240A">
        <w:rPr>
          <w:color w:val="000000"/>
          <w:sz w:val="20"/>
        </w:rPr>
        <w:t xml:space="preserve"> The Company made no contributions in</w:t>
      </w:r>
      <w:r w:rsidRPr="00C8770A">
        <w:rPr>
          <w:color w:val="000000"/>
          <w:sz w:val="20"/>
        </w:rPr>
        <w:t xml:space="preserve"> </w:t>
      </w:r>
      <w:r w:rsidR="008B38D4" w:rsidRPr="00C8770A">
        <w:rPr>
          <w:color w:val="000000"/>
          <w:sz w:val="20"/>
        </w:rPr>
        <w:t>2010</w:t>
      </w:r>
      <w:r w:rsidRPr="00C8770A">
        <w:rPr>
          <w:color w:val="000000"/>
          <w:sz w:val="20"/>
        </w:rPr>
        <w:t>.</w:t>
      </w:r>
      <w:r>
        <w:rPr>
          <w:color w:val="000000"/>
          <w:sz w:val="20"/>
        </w:rPr>
        <w:t xml:space="preserve"> </w:t>
      </w:r>
    </w:p>
    <w:p w:rsidR="004851D7" w:rsidRDefault="004851D7">
      <w:pPr>
        <w:rPr>
          <w:b/>
          <w:bCs/>
          <w:sz w:val="20"/>
        </w:rPr>
      </w:pPr>
    </w:p>
    <w:p w:rsidR="004851D7" w:rsidRDefault="004851D7">
      <w:pPr>
        <w:rPr>
          <w:b/>
          <w:bCs/>
          <w:sz w:val="20"/>
        </w:rPr>
      </w:pPr>
      <w:r>
        <w:rPr>
          <w:b/>
          <w:bCs/>
          <w:sz w:val="20"/>
        </w:rPr>
        <w:br w:type="page"/>
      </w:r>
      <w:r w:rsidRPr="00003302">
        <w:rPr>
          <w:b/>
          <w:bCs/>
          <w:sz w:val="20"/>
        </w:rPr>
        <w:t>8.  Income Taxes</w:t>
      </w:r>
    </w:p>
    <w:p w:rsidR="004851D7" w:rsidRDefault="004851D7">
      <w:pPr>
        <w:rPr>
          <w:sz w:val="20"/>
        </w:rPr>
      </w:pPr>
    </w:p>
    <w:p w:rsidR="00003302" w:rsidRPr="006C1C88" w:rsidRDefault="00003302" w:rsidP="00003302">
      <w:pPr>
        <w:ind w:firstLine="720"/>
        <w:rPr>
          <w:sz w:val="20"/>
          <w:szCs w:val="20"/>
        </w:rPr>
      </w:pPr>
      <w:r w:rsidRPr="006C1C88">
        <w:rPr>
          <w:sz w:val="20"/>
          <w:szCs w:val="20"/>
        </w:rPr>
        <w:t>The tax effects of temporary differences for 20</w:t>
      </w:r>
      <w:r>
        <w:rPr>
          <w:sz w:val="20"/>
          <w:szCs w:val="20"/>
        </w:rPr>
        <w:t xml:space="preserve">11 and 2010 </w:t>
      </w:r>
      <w:r w:rsidRPr="006C1C88">
        <w:rPr>
          <w:sz w:val="20"/>
          <w:szCs w:val="20"/>
        </w:rPr>
        <w:t>at assumed effective annual rate</w:t>
      </w:r>
      <w:r>
        <w:rPr>
          <w:sz w:val="20"/>
          <w:szCs w:val="20"/>
        </w:rPr>
        <w:t>s</w:t>
      </w:r>
      <w:r w:rsidRPr="006C1C88">
        <w:rPr>
          <w:sz w:val="20"/>
          <w:szCs w:val="20"/>
        </w:rPr>
        <w:t xml:space="preserve"> of </w:t>
      </w:r>
      <w:r>
        <w:rPr>
          <w:sz w:val="20"/>
          <w:szCs w:val="20"/>
        </w:rPr>
        <w:t xml:space="preserve">37.1% and </w:t>
      </w:r>
      <w:r w:rsidRPr="006C1C88">
        <w:rPr>
          <w:sz w:val="20"/>
          <w:szCs w:val="20"/>
        </w:rPr>
        <w:t>3</w:t>
      </w:r>
      <w:r>
        <w:rPr>
          <w:sz w:val="20"/>
          <w:szCs w:val="20"/>
        </w:rPr>
        <w:t>7.4</w:t>
      </w:r>
      <w:r w:rsidRPr="006C1C88">
        <w:rPr>
          <w:sz w:val="20"/>
          <w:szCs w:val="20"/>
        </w:rPr>
        <w:t>%</w:t>
      </w:r>
      <w:r>
        <w:rPr>
          <w:sz w:val="20"/>
          <w:szCs w:val="20"/>
        </w:rPr>
        <w:t>, respectively</w:t>
      </w:r>
      <w:r w:rsidRPr="006C1C88">
        <w:rPr>
          <w:sz w:val="20"/>
          <w:szCs w:val="20"/>
        </w:rPr>
        <w:t xml:space="preserve"> (combined federal rate and state tax rate) are shown in the following table:</w:t>
      </w:r>
    </w:p>
    <w:p w:rsidR="004851D7" w:rsidRDefault="004851D7">
      <w:pPr>
        <w:ind w:firstLine="720"/>
        <w:rPr>
          <w:sz w:val="20"/>
          <w:szCs w:val="20"/>
        </w:rPr>
      </w:pPr>
    </w:p>
    <w:p w:rsidR="004851D7" w:rsidRDefault="004851D7">
      <w:pPr>
        <w:rPr>
          <w:sz w:val="20"/>
          <w:highlight w:val="yellow"/>
        </w:rPr>
      </w:pPr>
      <w:r>
        <w:rPr>
          <w:sz w:val="20"/>
          <w:highlight w:val="yellow"/>
        </w:rPr>
        <w:t xml:space="preserve">  </w:t>
      </w:r>
    </w:p>
    <w:tbl>
      <w:tblPr>
        <w:tblW w:w="5000" w:type="pct"/>
        <w:tblLook w:val="00A0" w:firstRow="1" w:lastRow="0" w:firstColumn="1" w:lastColumn="0" w:noHBand="0" w:noVBand="0"/>
      </w:tblPr>
      <w:tblGrid>
        <w:gridCol w:w="6248"/>
        <w:gridCol w:w="1663"/>
        <w:gridCol w:w="318"/>
        <w:gridCol w:w="1405"/>
      </w:tblGrid>
      <w:tr w:rsidR="004851D7">
        <w:trPr>
          <w:trHeight w:val="315"/>
        </w:trPr>
        <w:tc>
          <w:tcPr>
            <w:tcW w:w="3243" w:type="pct"/>
            <w:tcBorders>
              <w:top w:val="nil"/>
              <w:left w:val="nil"/>
              <w:bottom w:val="nil"/>
              <w:right w:val="nil"/>
            </w:tcBorders>
          </w:tcPr>
          <w:p w:rsidR="004851D7" w:rsidRDefault="004851D7">
            <w:pPr>
              <w:jc w:val="center"/>
              <w:rPr>
                <w:rFonts w:ascii="CG Times" w:hAnsi="CG Times"/>
                <w:color w:val="000000"/>
                <w:highlight w:val="yellow"/>
              </w:rPr>
            </w:pPr>
          </w:p>
        </w:tc>
        <w:tc>
          <w:tcPr>
            <w:tcW w:w="1757" w:type="pct"/>
            <w:gridSpan w:val="3"/>
            <w:tcBorders>
              <w:top w:val="nil"/>
              <w:left w:val="nil"/>
              <w:bottom w:val="nil"/>
              <w:right w:val="nil"/>
            </w:tcBorders>
          </w:tcPr>
          <w:p w:rsidR="004851D7" w:rsidRDefault="004851D7">
            <w:pPr>
              <w:jc w:val="center"/>
              <w:rPr>
                <w:b/>
                <w:bCs/>
                <w:color w:val="000000"/>
                <w:sz w:val="20"/>
                <w:szCs w:val="20"/>
              </w:rPr>
            </w:pPr>
            <w:r>
              <w:rPr>
                <w:b/>
                <w:bCs/>
                <w:color w:val="000000"/>
                <w:sz w:val="20"/>
                <w:szCs w:val="20"/>
              </w:rPr>
              <w:t>December 31,</w:t>
            </w:r>
          </w:p>
        </w:tc>
      </w:tr>
      <w:tr w:rsidR="004851D7">
        <w:trPr>
          <w:trHeight w:val="270"/>
        </w:trPr>
        <w:tc>
          <w:tcPr>
            <w:tcW w:w="3243" w:type="pct"/>
            <w:tcBorders>
              <w:top w:val="nil"/>
              <w:left w:val="nil"/>
              <w:bottom w:val="nil"/>
              <w:right w:val="nil"/>
            </w:tcBorders>
          </w:tcPr>
          <w:p w:rsidR="004851D7" w:rsidRDefault="004851D7">
            <w:pPr>
              <w:jc w:val="center"/>
              <w:rPr>
                <w:color w:val="000000"/>
                <w:sz w:val="20"/>
                <w:szCs w:val="20"/>
                <w:highlight w:val="yellow"/>
              </w:rPr>
            </w:pPr>
          </w:p>
        </w:tc>
        <w:tc>
          <w:tcPr>
            <w:tcW w:w="863" w:type="pct"/>
            <w:tcBorders>
              <w:top w:val="nil"/>
              <w:left w:val="nil"/>
              <w:bottom w:val="single" w:sz="8" w:space="0" w:color="auto"/>
              <w:right w:val="nil"/>
            </w:tcBorders>
          </w:tcPr>
          <w:p w:rsidR="004851D7" w:rsidRDefault="006E39A7" w:rsidP="006E39A7">
            <w:pPr>
              <w:jc w:val="center"/>
              <w:rPr>
                <w:b/>
                <w:bCs/>
                <w:color w:val="000000"/>
                <w:sz w:val="20"/>
                <w:szCs w:val="20"/>
                <w:highlight w:val="yellow"/>
              </w:rPr>
            </w:pPr>
            <w:r>
              <w:rPr>
                <w:b/>
                <w:bCs/>
                <w:color w:val="000000"/>
                <w:sz w:val="20"/>
                <w:szCs w:val="20"/>
              </w:rPr>
              <w:t>2011</w:t>
            </w:r>
          </w:p>
        </w:tc>
        <w:tc>
          <w:tcPr>
            <w:tcW w:w="165" w:type="pct"/>
            <w:tcBorders>
              <w:top w:val="nil"/>
              <w:left w:val="nil"/>
              <w:bottom w:val="nil"/>
              <w:right w:val="nil"/>
            </w:tcBorders>
          </w:tcPr>
          <w:p w:rsidR="004851D7" w:rsidRDefault="004851D7">
            <w:pPr>
              <w:jc w:val="center"/>
              <w:rPr>
                <w:b/>
                <w:bCs/>
                <w:color w:val="000000"/>
                <w:sz w:val="20"/>
                <w:szCs w:val="20"/>
              </w:rPr>
            </w:pPr>
          </w:p>
        </w:tc>
        <w:tc>
          <w:tcPr>
            <w:tcW w:w="729" w:type="pct"/>
            <w:tcBorders>
              <w:top w:val="nil"/>
              <w:left w:val="nil"/>
              <w:bottom w:val="single" w:sz="8" w:space="0" w:color="auto"/>
              <w:right w:val="nil"/>
            </w:tcBorders>
          </w:tcPr>
          <w:p w:rsidR="004851D7" w:rsidRDefault="006E39A7" w:rsidP="006E39A7">
            <w:pPr>
              <w:jc w:val="center"/>
              <w:rPr>
                <w:color w:val="000000"/>
                <w:sz w:val="20"/>
                <w:szCs w:val="20"/>
              </w:rPr>
            </w:pPr>
            <w:r>
              <w:rPr>
                <w:bCs/>
                <w:color w:val="000000"/>
                <w:sz w:val="20"/>
                <w:szCs w:val="20"/>
              </w:rPr>
              <w:t>2010</w:t>
            </w:r>
          </w:p>
        </w:tc>
      </w:tr>
      <w:tr w:rsidR="004851D7">
        <w:trPr>
          <w:trHeight w:val="263"/>
        </w:trPr>
        <w:tc>
          <w:tcPr>
            <w:tcW w:w="3243" w:type="pct"/>
            <w:tcBorders>
              <w:top w:val="nil"/>
              <w:left w:val="nil"/>
              <w:bottom w:val="nil"/>
              <w:right w:val="nil"/>
            </w:tcBorders>
          </w:tcPr>
          <w:p w:rsidR="004851D7" w:rsidRDefault="004851D7">
            <w:pPr>
              <w:jc w:val="both"/>
              <w:rPr>
                <w:color w:val="000000"/>
                <w:sz w:val="20"/>
                <w:szCs w:val="20"/>
                <w:highlight w:val="yellow"/>
              </w:rPr>
            </w:pPr>
          </w:p>
        </w:tc>
        <w:tc>
          <w:tcPr>
            <w:tcW w:w="1757" w:type="pct"/>
            <w:gridSpan w:val="3"/>
            <w:tcBorders>
              <w:top w:val="nil"/>
              <w:left w:val="nil"/>
              <w:bottom w:val="nil"/>
              <w:right w:val="nil"/>
            </w:tcBorders>
          </w:tcPr>
          <w:p w:rsidR="004851D7" w:rsidRDefault="004851D7">
            <w:pPr>
              <w:jc w:val="center"/>
              <w:rPr>
                <w:i/>
                <w:iCs/>
                <w:color w:val="000000"/>
                <w:sz w:val="20"/>
                <w:szCs w:val="20"/>
              </w:rPr>
            </w:pPr>
            <w:r>
              <w:rPr>
                <w:i/>
                <w:iCs/>
                <w:color w:val="000000"/>
                <w:sz w:val="20"/>
                <w:szCs w:val="20"/>
              </w:rPr>
              <w:t>(In thousands)</w:t>
            </w:r>
          </w:p>
        </w:tc>
      </w:tr>
      <w:tr w:rsidR="004851D7">
        <w:trPr>
          <w:trHeight w:val="255"/>
        </w:trPr>
        <w:tc>
          <w:tcPr>
            <w:tcW w:w="3243" w:type="pct"/>
            <w:tcBorders>
              <w:top w:val="nil"/>
              <w:left w:val="nil"/>
              <w:bottom w:val="nil"/>
              <w:right w:val="nil"/>
            </w:tcBorders>
          </w:tcPr>
          <w:p w:rsidR="004851D7" w:rsidRDefault="004851D7">
            <w:pPr>
              <w:jc w:val="both"/>
              <w:rPr>
                <w:color w:val="000000"/>
                <w:sz w:val="20"/>
                <w:szCs w:val="20"/>
              </w:rPr>
            </w:pPr>
            <w:r>
              <w:rPr>
                <w:color w:val="000000"/>
                <w:sz w:val="20"/>
                <w:szCs w:val="20"/>
              </w:rPr>
              <w:t>Deferred tax assets:</w:t>
            </w:r>
          </w:p>
        </w:tc>
        <w:tc>
          <w:tcPr>
            <w:tcW w:w="863" w:type="pct"/>
            <w:tcBorders>
              <w:top w:val="nil"/>
              <w:left w:val="nil"/>
              <w:bottom w:val="nil"/>
              <w:right w:val="nil"/>
            </w:tcBorders>
          </w:tcPr>
          <w:p w:rsidR="004851D7" w:rsidRDefault="004851D7">
            <w:pPr>
              <w:jc w:val="right"/>
              <w:rPr>
                <w:b/>
                <w:bCs/>
                <w:color w:val="000000"/>
                <w:sz w:val="20"/>
                <w:szCs w:val="20"/>
              </w:rPr>
            </w:pPr>
          </w:p>
        </w:tc>
        <w:tc>
          <w:tcPr>
            <w:tcW w:w="165" w:type="pct"/>
            <w:tcBorders>
              <w:top w:val="nil"/>
              <w:left w:val="nil"/>
              <w:bottom w:val="nil"/>
              <w:right w:val="nil"/>
            </w:tcBorders>
          </w:tcPr>
          <w:p w:rsidR="004851D7" w:rsidRDefault="004851D7">
            <w:pPr>
              <w:jc w:val="both"/>
              <w:rPr>
                <w:b/>
                <w:bCs/>
                <w:color w:val="000000"/>
                <w:sz w:val="20"/>
                <w:szCs w:val="20"/>
              </w:rPr>
            </w:pPr>
          </w:p>
        </w:tc>
        <w:tc>
          <w:tcPr>
            <w:tcW w:w="729" w:type="pct"/>
            <w:tcBorders>
              <w:top w:val="nil"/>
              <w:left w:val="nil"/>
              <w:bottom w:val="nil"/>
              <w:right w:val="nil"/>
            </w:tcBorders>
          </w:tcPr>
          <w:p w:rsidR="004851D7" w:rsidRDefault="004851D7">
            <w:pPr>
              <w:jc w:val="right"/>
              <w:rPr>
                <w:color w:val="000000"/>
                <w:sz w:val="20"/>
                <w:szCs w:val="20"/>
              </w:rPr>
            </w:pPr>
          </w:p>
        </w:tc>
      </w:tr>
      <w:tr w:rsidR="00003302">
        <w:trPr>
          <w:trHeight w:val="255"/>
        </w:trPr>
        <w:tc>
          <w:tcPr>
            <w:tcW w:w="3243" w:type="pct"/>
            <w:tcBorders>
              <w:top w:val="nil"/>
              <w:left w:val="nil"/>
              <w:bottom w:val="nil"/>
              <w:right w:val="nil"/>
            </w:tcBorders>
          </w:tcPr>
          <w:p w:rsidR="00003302" w:rsidRDefault="00003302">
            <w:pPr>
              <w:jc w:val="both"/>
              <w:rPr>
                <w:color w:val="000000"/>
                <w:sz w:val="20"/>
                <w:szCs w:val="20"/>
              </w:rPr>
            </w:pPr>
            <w:r>
              <w:rPr>
                <w:color w:val="000000"/>
                <w:sz w:val="20"/>
                <w:szCs w:val="20"/>
              </w:rPr>
              <w:t xml:space="preserve">   Loss carry-forwards</w:t>
            </w:r>
          </w:p>
        </w:tc>
        <w:tc>
          <w:tcPr>
            <w:tcW w:w="863" w:type="pct"/>
            <w:tcBorders>
              <w:top w:val="nil"/>
              <w:left w:val="nil"/>
              <w:bottom w:val="nil"/>
              <w:right w:val="nil"/>
            </w:tcBorders>
          </w:tcPr>
          <w:p w:rsidR="00003302" w:rsidRDefault="00003302" w:rsidP="006E39A7">
            <w:pPr>
              <w:jc w:val="right"/>
              <w:rPr>
                <w:b/>
                <w:bCs/>
                <w:color w:val="000000"/>
                <w:sz w:val="20"/>
                <w:szCs w:val="20"/>
              </w:rPr>
            </w:pPr>
            <w:r w:rsidRPr="0048358D">
              <w:rPr>
                <w:b/>
                <w:bCs/>
                <w:color w:val="000000"/>
                <w:sz w:val="20"/>
                <w:szCs w:val="20"/>
              </w:rPr>
              <w:t>$</w:t>
            </w:r>
            <w:r>
              <w:rPr>
                <w:b/>
                <w:bCs/>
                <w:color w:val="000000"/>
                <w:sz w:val="20"/>
                <w:szCs w:val="20"/>
              </w:rPr>
              <w:t>5,003</w:t>
            </w:r>
            <w:r w:rsidRPr="0048358D">
              <w:rPr>
                <w:b/>
                <w:bCs/>
                <w:color w:val="000000"/>
                <w:sz w:val="20"/>
                <w:szCs w:val="20"/>
              </w:rPr>
              <w:t xml:space="preserve"> </w:t>
            </w:r>
          </w:p>
        </w:tc>
        <w:tc>
          <w:tcPr>
            <w:tcW w:w="165" w:type="pct"/>
            <w:tcBorders>
              <w:top w:val="nil"/>
              <w:left w:val="nil"/>
              <w:bottom w:val="nil"/>
              <w:right w:val="nil"/>
            </w:tcBorders>
          </w:tcPr>
          <w:p w:rsidR="00003302" w:rsidRDefault="00003302">
            <w:pPr>
              <w:jc w:val="both"/>
              <w:rPr>
                <w:b/>
                <w:bCs/>
                <w:color w:val="000000"/>
                <w:sz w:val="20"/>
                <w:szCs w:val="20"/>
              </w:rPr>
            </w:pPr>
          </w:p>
        </w:tc>
        <w:tc>
          <w:tcPr>
            <w:tcW w:w="729" w:type="pct"/>
            <w:tcBorders>
              <w:top w:val="nil"/>
              <w:left w:val="nil"/>
              <w:bottom w:val="nil"/>
              <w:right w:val="nil"/>
            </w:tcBorders>
          </w:tcPr>
          <w:p w:rsidR="00003302" w:rsidRPr="006E39A7" w:rsidRDefault="00003302">
            <w:pPr>
              <w:jc w:val="right"/>
              <w:rPr>
                <w:color w:val="000000"/>
                <w:sz w:val="20"/>
                <w:szCs w:val="20"/>
              </w:rPr>
            </w:pPr>
            <w:r w:rsidRPr="00855E18">
              <w:rPr>
                <w:bCs/>
                <w:color w:val="000000"/>
                <w:sz w:val="20"/>
                <w:szCs w:val="20"/>
              </w:rPr>
              <w:t xml:space="preserve">$5,747 </w:t>
            </w:r>
          </w:p>
        </w:tc>
      </w:tr>
      <w:tr w:rsidR="00003302">
        <w:trPr>
          <w:trHeight w:val="263"/>
        </w:trPr>
        <w:tc>
          <w:tcPr>
            <w:tcW w:w="3243" w:type="pct"/>
            <w:tcBorders>
              <w:top w:val="nil"/>
              <w:left w:val="nil"/>
              <w:bottom w:val="nil"/>
              <w:right w:val="nil"/>
            </w:tcBorders>
          </w:tcPr>
          <w:p w:rsidR="00003302" w:rsidRDefault="00003302">
            <w:pPr>
              <w:jc w:val="both"/>
              <w:rPr>
                <w:color w:val="000000"/>
                <w:sz w:val="20"/>
                <w:szCs w:val="20"/>
              </w:rPr>
            </w:pPr>
            <w:r>
              <w:rPr>
                <w:color w:val="000000"/>
                <w:sz w:val="20"/>
                <w:szCs w:val="20"/>
              </w:rPr>
              <w:t xml:space="preserve">   Research and development credits</w:t>
            </w:r>
          </w:p>
        </w:tc>
        <w:tc>
          <w:tcPr>
            <w:tcW w:w="863" w:type="pct"/>
            <w:tcBorders>
              <w:top w:val="nil"/>
              <w:left w:val="nil"/>
              <w:bottom w:val="nil"/>
              <w:right w:val="nil"/>
            </w:tcBorders>
          </w:tcPr>
          <w:p w:rsidR="00003302" w:rsidRDefault="00003302" w:rsidP="007F6C4F">
            <w:pPr>
              <w:jc w:val="right"/>
              <w:rPr>
                <w:b/>
                <w:bCs/>
                <w:color w:val="000000"/>
                <w:sz w:val="20"/>
                <w:szCs w:val="20"/>
              </w:rPr>
            </w:pPr>
            <w:r>
              <w:rPr>
                <w:b/>
                <w:bCs/>
                <w:color w:val="000000"/>
                <w:sz w:val="20"/>
                <w:szCs w:val="20"/>
              </w:rPr>
              <w:t>1,318</w:t>
            </w:r>
          </w:p>
        </w:tc>
        <w:tc>
          <w:tcPr>
            <w:tcW w:w="165" w:type="pct"/>
            <w:tcBorders>
              <w:top w:val="nil"/>
              <w:left w:val="nil"/>
              <w:bottom w:val="nil"/>
              <w:right w:val="nil"/>
            </w:tcBorders>
          </w:tcPr>
          <w:p w:rsidR="00003302" w:rsidRDefault="00003302">
            <w:pPr>
              <w:jc w:val="both"/>
              <w:rPr>
                <w:b/>
                <w:bCs/>
                <w:color w:val="000000"/>
                <w:sz w:val="20"/>
                <w:szCs w:val="20"/>
              </w:rPr>
            </w:pPr>
          </w:p>
        </w:tc>
        <w:tc>
          <w:tcPr>
            <w:tcW w:w="729" w:type="pct"/>
            <w:tcBorders>
              <w:top w:val="nil"/>
              <w:left w:val="nil"/>
              <w:bottom w:val="nil"/>
              <w:right w:val="nil"/>
            </w:tcBorders>
          </w:tcPr>
          <w:p w:rsidR="00003302" w:rsidRPr="006E39A7" w:rsidRDefault="00003302">
            <w:pPr>
              <w:jc w:val="right"/>
              <w:rPr>
                <w:color w:val="000000"/>
                <w:sz w:val="20"/>
                <w:szCs w:val="20"/>
              </w:rPr>
            </w:pPr>
            <w:r w:rsidRPr="00855E18">
              <w:rPr>
                <w:bCs/>
                <w:color w:val="000000"/>
                <w:sz w:val="20"/>
                <w:szCs w:val="20"/>
              </w:rPr>
              <w:t>1,164</w:t>
            </w:r>
          </w:p>
        </w:tc>
      </w:tr>
      <w:tr w:rsidR="00003302">
        <w:trPr>
          <w:trHeight w:val="263"/>
        </w:trPr>
        <w:tc>
          <w:tcPr>
            <w:tcW w:w="3243" w:type="pct"/>
            <w:tcBorders>
              <w:top w:val="nil"/>
              <w:left w:val="nil"/>
              <w:bottom w:val="nil"/>
              <w:right w:val="nil"/>
            </w:tcBorders>
          </w:tcPr>
          <w:p w:rsidR="00003302" w:rsidRDefault="00003302" w:rsidP="0065029E">
            <w:pPr>
              <w:jc w:val="both"/>
              <w:rPr>
                <w:color w:val="000000"/>
                <w:sz w:val="20"/>
                <w:szCs w:val="20"/>
              </w:rPr>
            </w:pPr>
            <w:r>
              <w:rPr>
                <w:color w:val="000000"/>
                <w:sz w:val="20"/>
                <w:szCs w:val="20"/>
              </w:rPr>
              <w:t xml:space="preserve">   Alternative minimum tax credit</w:t>
            </w:r>
          </w:p>
        </w:tc>
        <w:tc>
          <w:tcPr>
            <w:tcW w:w="863" w:type="pct"/>
            <w:tcBorders>
              <w:top w:val="nil"/>
              <w:left w:val="nil"/>
              <w:bottom w:val="nil"/>
              <w:right w:val="nil"/>
            </w:tcBorders>
          </w:tcPr>
          <w:p w:rsidR="00003302" w:rsidDel="0047721B" w:rsidRDefault="00003302">
            <w:pPr>
              <w:jc w:val="right"/>
              <w:rPr>
                <w:b/>
                <w:bCs/>
                <w:color w:val="000000"/>
                <w:sz w:val="20"/>
                <w:szCs w:val="20"/>
              </w:rPr>
            </w:pPr>
            <w:r>
              <w:rPr>
                <w:b/>
                <w:bCs/>
                <w:color w:val="000000"/>
                <w:sz w:val="20"/>
                <w:szCs w:val="20"/>
              </w:rPr>
              <w:t>111</w:t>
            </w:r>
          </w:p>
        </w:tc>
        <w:tc>
          <w:tcPr>
            <w:tcW w:w="165" w:type="pct"/>
            <w:tcBorders>
              <w:top w:val="nil"/>
              <w:left w:val="nil"/>
              <w:bottom w:val="nil"/>
              <w:right w:val="nil"/>
            </w:tcBorders>
          </w:tcPr>
          <w:p w:rsidR="00003302" w:rsidRDefault="00003302">
            <w:pPr>
              <w:jc w:val="both"/>
              <w:rPr>
                <w:b/>
                <w:bCs/>
                <w:color w:val="000000"/>
                <w:sz w:val="20"/>
                <w:szCs w:val="20"/>
              </w:rPr>
            </w:pPr>
          </w:p>
        </w:tc>
        <w:tc>
          <w:tcPr>
            <w:tcW w:w="729" w:type="pct"/>
            <w:tcBorders>
              <w:top w:val="nil"/>
              <w:left w:val="nil"/>
              <w:bottom w:val="nil"/>
              <w:right w:val="nil"/>
            </w:tcBorders>
          </w:tcPr>
          <w:p w:rsidR="00003302" w:rsidRPr="006E39A7" w:rsidRDefault="00003302">
            <w:pPr>
              <w:jc w:val="right"/>
              <w:rPr>
                <w:bCs/>
                <w:color w:val="000000"/>
                <w:sz w:val="20"/>
                <w:szCs w:val="20"/>
              </w:rPr>
            </w:pPr>
            <w:r w:rsidRPr="00855E18">
              <w:rPr>
                <w:bCs/>
                <w:color w:val="000000"/>
                <w:sz w:val="20"/>
                <w:szCs w:val="20"/>
              </w:rPr>
              <w:t>36</w:t>
            </w:r>
          </w:p>
        </w:tc>
      </w:tr>
      <w:tr w:rsidR="00003302">
        <w:trPr>
          <w:trHeight w:val="263"/>
        </w:trPr>
        <w:tc>
          <w:tcPr>
            <w:tcW w:w="3243" w:type="pct"/>
            <w:tcBorders>
              <w:top w:val="nil"/>
              <w:left w:val="nil"/>
              <w:bottom w:val="nil"/>
              <w:right w:val="nil"/>
            </w:tcBorders>
          </w:tcPr>
          <w:p w:rsidR="00003302" w:rsidRDefault="00003302" w:rsidP="007F6C4F">
            <w:pPr>
              <w:jc w:val="both"/>
              <w:rPr>
                <w:color w:val="000000"/>
                <w:sz w:val="20"/>
                <w:szCs w:val="20"/>
              </w:rPr>
            </w:pPr>
            <w:r>
              <w:rPr>
                <w:color w:val="000000"/>
                <w:sz w:val="20"/>
                <w:szCs w:val="20"/>
              </w:rPr>
              <w:t xml:space="preserve">  Minnesota research and development credits</w:t>
            </w:r>
          </w:p>
        </w:tc>
        <w:tc>
          <w:tcPr>
            <w:tcW w:w="863" w:type="pct"/>
            <w:tcBorders>
              <w:top w:val="nil"/>
              <w:left w:val="nil"/>
              <w:bottom w:val="nil"/>
              <w:right w:val="nil"/>
            </w:tcBorders>
          </w:tcPr>
          <w:p w:rsidR="00003302" w:rsidRDefault="00003302" w:rsidP="006E39A7">
            <w:pPr>
              <w:jc w:val="right"/>
              <w:rPr>
                <w:b/>
                <w:bCs/>
                <w:color w:val="000000"/>
                <w:sz w:val="20"/>
                <w:szCs w:val="20"/>
              </w:rPr>
            </w:pPr>
            <w:r>
              <w:rPr>
                <w:b/>
                <w:bCs/>
                <w:color w:val="000000"/>
                <w:sz w:val="20"/>
                <w:szCs w:val="20"/>
              </w:rPr>
              <w:t>471</w:t>
            </w:r>
          </w:p>
        </w:tc>
        <w:tc>
          <w:tcPr>
            <w:tcW w:w="165" w:type="pct"/>
            <w:tcBorders>
              <w:top w:val="nil"/>
              <w:left w:val="nil"/>
              <w:bottom w:val="nil"/>
              <w:right w:val="nil"/>
            </w:tcBorders>
          </w:tcPr>
          <w:p w:rsidR="00003302" w:rsidRDefault="00003302">
            <w:pPr>
              <w:jc w:val="both"/>
              <w:rPr>
                <w:b/>
                <w:bCs/>
                <w:color w:val="000000"/>
                <w:sz w:val="20"/>
                <w:szCs w:val="20"/>
              </w:rPr>
            </w:pPr>
          </w:p>
        </w:tc>
        <w:tc>
          <w:tcPr>
            <w:tcW w:w="729" w:type="pct"/>
            <w:tcBorders>
              <w:top w:val="nil"/>
              <w:left w:val="nil"/>
              <w:bottom w:val="nil"/>
              <w:right w:val="nil"/>
            </w:tcBorders>
          </w:tcPr>
          <w:p w:rsidR="00003302" w:rsidRPr="006E39A7" w:rsidRDefault="00003302">
            <w:pPr>
              <w:jc w:val="right"/>
              <w:rPr>
                <w:bCs/>
                <w:color w:val="000000"/>
                <w:sz w:val="20"/>
                <w:szCs w:val="20"/>
              </w:rPr>
            </w:pPr>
            <w:r w:rsidRPr="00855E18">
              <w:rPr>
                <w:bCs/>
                <w:color w:val="000000"/>
                <w:sz w:val="20"/>
                <w:szCs w:val="20"/>
              </w:rPr>
              <w:t>490</w:t>
            </w:r>
          </w:p>
        </w:tc>
      </w:tr>
      <w:tr w:rsidR="00003302">
        <w:trPr>
          <w:trHeight w:val="263"/>
        </w:trPr>
        <w:tc>
          <w:tcPr>
            <w:tcW w:w="3243" w:type="pct"/>
            <w:tcBorders>
              <w:top w:val="nil"/>
              <w:left w:val="nil"/>
              <w:bottom w:val="nil"/>
              <w:right w:val="nil"/>
            </w:tcBorders>
          </w:tcPr>
          <w:p w:rsidR="00003302" w:rsidRDefault="00003302">
            <w:pPr>
              <w:jc w:val="both"/>
              <w:rPr>
                <w:color w:val="000000"/>
                <w:sz w:val="20"/>
                <w:szCs w:val="20"/>
              </w:rPr>
            </w:pPr>
            <w:r>
              <w:rPr>
                <w:color w:val="000000"/>
                <w:sz w:val="20"/>
                <w:szCs w:val="20"/>
              </w:rPr>
              <w:t xml:space="preserve">   Inventory</w:t>
            </w:r>
          </w:p>
        </w:tc>
        <w:tc>
          <w:tcPr>
            <w:tcW w:w="863" w:type="pct"/>
            <w:tcBorders>
              <w:top w:val="nil"/>
              <w:left w:val="nil"/>
              <w:bottom w:val="nil"/>
              <w:right w:val="nil"/>
            </w:tcBorders>
          </w:tcPr>
          <w:p w:rsidR="00003302" w:rsidRDefault="00003302">
            <w:pPr>
              <w:jc w:val="right"/>
              <w:rPr>
                <w:b/>
                <w:bCs/>
                <w:color w:val="000000"/>
                <w:sz w:val="20"/>
                <w:szCs w:val="20"/>
              </w:rPr>
            </w:pPr>
            <w:r>
              <w:rPr>
                <w:b/>
                <w:bCs/>
                <w:color w:val="000000"/>
                <w:sz w:val="20"/>
                <w:szCs w:val="20"/>
              </w:rPr>
              <w:t>16</w:t>
            </w:r>
          </w:p>
        </w:tc>
        <w:tc>
          <w:tcPr>
            <w:tcW w:w="165" w:type="pct"/>
            <w:tcBorders>
              <w:top w:val="nil"/>
              <w:left w:val="nil"/>
              <w:bottom w:val="nil"/>
              <w:right w:val="nil"/>
            </w:tcBorders>
          </w:tcPr>
          <w:p w:rsidR="00003302" w:rsidRDefault="00003302">
            <w:pPr>
              <w:jc w:val="both"/>
              <w:rPr>
                <w:b/>
                <w:bCs/>
                <w:color w:val="000000"/>
                <w:sz w:val="20"/>
                <w:szCs w:val="20"/>
              </w:rPr>
            </w:pPr>
          </w:p>
        </w:tc>
        <w:tc>
          <w:tcPr>
            <w:tcW w:w="729" w:type="pct"/>
            <w:tcBorders>
              <w:top w:val="nil"/>
              <w:left w:val="nil"/>
              <w:bottom w:val="nil"/>
              <w:right w:val="nil"/>
            </w:tcBorders>
          </w:tcPr>
          <w:p w:rsidR="00003302" w:rsidRPr="006E39A7" w:rsidRDefault="00003302">
            <w:pPr>
              <w:jc w:val="right"/>
              <w:rPr>
                <w:color w:val="000000"/>
                <w:sz w:val="20"/>
                <w:szCs w:val="20"/>
              </w:rPr>
            </w:pPr>
            <w:r w:rsidRPr="00855E18">
              <w:rPr>
                <w:bCs/>
                <w:color w:val="000000"/>
                <w:sz w:val="20"/>
                <w:szCs w:val="20"/>
              </w:rPr>
              <w:t>16</w:t>
            </w:r>
          </w:p>
        </w:tc>
      </w:tr>
      <w:tr w:rsidR="00003302">
        <w:trPr>
          <w:trHeight w:val="255"/>
        </w:trPr>
        <w:tc>
          <w:tcPr>
            <w:tcW w:w="3243" w:type="pct"/>
            <w:tcBorders>
              <w:top w:val="nil"/>
              <w:left w:val="nil"/>
              <w:bottom w:val="nil"/>
              <w:right w:val="nil"/>
            </w:tcBorders>
          </w:tcPr>
          <w:p w:rsidR="00003302" w:rsidRDefault="00003302">
            <w:pPr>
              <w:jc w:val="both"/>
              <w:rPr>
                <w:color w:val="000000"/>
                <w:sz w:val="20"/>
                <w:szCs w:val="20"/>
              </w:rPr>
            </w:pPr>
            <w:r>
              <w:rPr>
                <w:color w:val="000000"/>
                <w:sz w:val="20"/>
                <w:szCs w:val="20"/>
              </w:rPr>
              <w:t xml:space="preserve">   Depreciation and amortization</w:t>
            </w:r>
          </w:p>
        </w:tc>
        <w:tc>
          <w:tcPr>
            <w:tcW w:w="863" w:type="pct"/>
            <w:tcBorders>
              <w:top w:val="nil"/>
              <w:left w:val="nil"/>
              <w:bottom w:val="nil"/>
              <w:right w:val="nil"/>
            </w:tcBorders>
          </w:tcPr>
          <w:p w:rsidR="00003302" w:rsidRDefault="00003302">
            <w:pPr>
              <w:jc w:val="right"/>
              <w:rPr>
                <w:b/>
                <w:bCs/>
                <w:color w:val="000000"/>
                <w:sz w:val="20"/>
                <w:szCs w:val="20"/>
              </w:rPr>
            </w:pPr>
            <w:r>
              <w:rPr>
                <w:b/>
                <w:bCs/>
                <w:color w:val="000000"/>
                <w:sz w:val="20"/>
                <w:szCs w:val="20"/>
              </w:rPr>
              <w:t>148</w:t>
            </w:r>
          </w:p>
        </w:tc>
        <w:tc>
          <w:tcPr>
            <w:tcW w:w="165" w:type="pct"/>
            <w:tcBorders>
              <w:top w:val="nil"/>
              <w:left w:val="nil"/>
              <w:bottom w:val="nil"/>
              <w:right w:val="nil"/>
            </w:tcBorders>
          </w:tcPr>
          <w:p w:rsidR="00003302" w:rsidRDefault="00003302">
            <w:pPr>
              <w:jc w:val="both"/>
              <w:rPr>
                <w:b/>
                <w:bCs/>
                <w:color w:val="000000"/>
                <w:sz w:val="20"/>
                <w:szCs w:val="20"/>
              </w:rPr>
            </w:pPr>
          </w:p>
        </w:tc>
        <w:tc>
          <w:tcPr>
            <w:tcW w:w="729" w:type="pct"/>
            <w:tcBorders>
              <w:top w:val="nil"/>
              <w:left w:val="nil"/>
              <w:bottom w:val="nil"/>
              <w:right w:val="nil"/>
            </w:tcBorders>
          </w:tcPr>
          <w:p w:rsidR="00003302" w:rsidRPr="006E39A7" w:rsidRDefault="00003302">
            <w:pPr>
              <w:jc w:val="right"/>
              <w:rPr>
                <w:color w:val="000000"/>
                <w:sz w:val="20"/>
                <w:szCs w:val="20"/>
              </w:rPr>
            </w:pPr>
            <w:r w:rsidRPr="00855E18">
              <w:rPr>
                <w:bCs/>
                <w:color w:val="000000"/>
                <w:sz w:val="20"/>
                <w:szCs w:val="20"/>
              </w:rPr>
              <w:t>131</w:t>
            </w:r>
          </w:p>
        </w:tc>
      </w:tr>
      <w:tr w:rsidR="00003302">
        <w:trPr>
          <w:trHeight w:val="255"/>
        </w:trPr>
        <w:tc>
          <w:tcPr>
            <w:tcW w:w="3243" w:type="pct"/>
            <w:tcBorders>
              <w:top w:val="nil"/>
              <w:left w:val="nil"/>
              <w:bottom w:val="nil"/>
              <w:right w:val="nil"/>
            </w:tcBorders>
          </w:tcPr>
          <w:p w:rsidR="00003302" w:rsidRDefault="00003302">
            <w:pPr>
              <w:jc w:val="both"/>
              <w:rPr>
                <w:color w:val="000000"/>
                <w:sz w:val="20"/>
                <w:szCs w:val="20"/>
              </w:rPr>
            </w:pPr>
            <w:r>
              <w:rPr>
                <w:color w:val="000000"/>
                <w:sz w:val="20"/>
                <w:szCs w:val="20"/>
              </w:rPr>
              <w:t xml:space="preserve">   Deferred revenue</w:t>
            </w:r>
          </w:p>
        </w:tc>
        <w:tc>
          <w:tcPr>
            <w:tcW w:w="863" w:type="pct"/>
            <w:tcBorders>
              <w:top w:val="nil"/>
              <w:left w:val="nil"/>
              <w:bottom w:val="nil"/>
              <w:right w:val="nil"/>
            </w:tcBorders>
          </w:tcPr>
          <w:p w:rsidR="00003302" w:rsidRDefault="00003302" w:rsidP="0047721B">
            <w:pPr>
              <w:jc w:val="right"/>
              <w:rPr>
                <w:b/>
                <w:bCs/>
                <w:color w:val="000000"/>
                <w:sz w:val="20"/>
                <w:szCs w:val="20"/>
              </w:rPr>
            </w:pPr>
            <w:r>
              <w:rPr>
                <w:b/>
                <w:bCs/>
                <w:color w:val="000000"/>
                <w:sz w:val="20"/>
                <w:szCs w:val="20"/>
              </w:rPr>
              <w:t>1,603</w:t>
            </w:r>
          </w:p>
        </w:tc>
        <w:tc>
          <w:tcPr>
            <w:tcW w:w="165" w:type="pct"/>
            <w:tcBorders>
              <w:top w:val="nil"/>
              <w:left w:val="nil"/>
              <w:bottom w:val="nil"/>
              <w:right w:val="nil"/>
            </w:tcBorders>
          </w:tcPr>
          <w:p w:rsidR="00003302" w:rsidRDefault="00003302">
            <w:pPr>
              <w:jc w:val="both"/>
              <w:rPr>
                <w:b/>
                <w:bCs/>
                <w:color w:val="000000"/>
                <w:sz w:val="20"/>
                <w:szCs w:val="20"/>
              </w:rPr>
            </w:pPr>
          </w:p>
        </w:tc>
        <w:tc>
          <w:tcPr>
            <w:tcW w:w="729" w:type="pct"/>
            <w:tcBorders>
              <w:top w:val="nil"/>
              <w:left w:val="nil"/>
              <w:bottom w:val="nil"/>
              <w:right w:val="nil"/>
            </w:tcBorders>
          </w:tcPr>
          <w:p w:rsidR="00003302" w:rsidRPr="006E39A7" w:rsidRDefault="00003302">
            <w:pPr>
              <w:jc w:val="right"/>
              <w:rPr>
                <w:color w:val="000000"/>
                <w:sz w:val="20"/>
                <w:szCs w:val="20"/>
              </w:rPr>
            </w:pPr>
            <w:r w:rsidRPr="00855E18">
              <w:rPr>
                <w:bCs/>
                <w:color w:val="000000"/>
                <w:sz w:val="20"/>
                <w:szCs w:val="20"/>
              </w:rPr>
              <w:t>1,370</w:t>
            </w:r>
          </w:p>
        </w:tc>
      </w:tr>
      <w:tr w:rsidR="00003302">
        <w:trPr>
          <w:trHeight w:val="255"/>
        </w:trPr>
        <w:tc>
          <w:tcPr>
            <w:tcW w:w="3243" w:type="pct"/>
            <w:tcBorders>
              <w:top w:val="nil"/>
              <w:left w:val="nil"/>
              <w:bottom w:val="nil"/>
              <w:right w:val="nil"/>
            </w:tcBorders>
          </w:tcPr>
          <w:p w:rsidR="00003302" w:rsidRDefault="00003302">
            <w:pPr>
              <w:jc w:val="both"/>
              <w:rPr>
                <w:color w:val="000000"/>
                <w:sz w:val="20"/>
                <w:szCs w:val="20"/>
              </w:rPr>
            </w:pPr>
            <w:r>
              <w:rPr>
                <w:color w:val="000000"/>
                <w:sz w:val="20"/>
                <w:szCs w:val="20"/>
              </w:rPr>
              <w:t xml:space="preserve">   Software development and prepaid royalties</w:t>
            </w:r>
          </w:p>
        </w:tc>
        <w:tc>
          <w:tcPr>
            <w:tcW w:w="863" w:type="pct"/>
            <w:tcBorders>
              <w:top w:val="nil"/>
              <w:left w:val="nil"/>
              <w:bottom w:val="nil"/>
              <w:right w:val="nil"/>
            </w:tcBorders>
          </w:tcPr>
          <w:p w:rsidR="00003302" w:rsidRDefault="00003302">
            <w:pPr>
              <w:jc w:val="right"/>
              <w:rPr>
                <w:b/>
                <w:bCs/>
                <w:color w:val="000000"/>
                <w:sz w:val="20"/>
                <w:szCs w:val="20"/>
              </w:rPr>
            </w:pPr>
            <w:r>
              <w:rPr>
                <w:b/>
                <w:bCs/>
                <w:color w:val="000000"/>
                <w:sz w:val="20"/>
                <w:szCs w:val="20"/>
              </w:rPr>
              <w:t>343</w:t>
            </w:r>
          </w:p>
        </w:tc>
        <w:tc>
          <w:tcPr>
            <w:tcW w:w="165" w:type="pct"/>
            <w:tcBorders>
              <w:top w:val="nil"/>
              <w:left w:val="nil"/>
              <w:bottom w:val="nil"/>
              <w:right w:val="nil"/>
            </w:tcBorders>
          </w:tcPr>
          <w:p w:rsidR="00003302" w:rsidRDefault="00003302">
            <w:pPr>
              <w:jc w:val="both"/>
              <w:rPr>
                <w:b/>
                <w:bCs/>
                <w:color w:val="000000"/>
                <w:sz w:val="20"/>
                <w:szCs w:val="20"/>
              </w:rPr>
            </w:pPr>
          </w:p>
        </w:tc>
        <w:tc>
          <w:tcPr>
            <w:tcW w:w="729" w:type="pct"/>
            <w:tcBorders>
              <w:top w:val="nil"/>
              <w:left w:val="nil"/>
              <w:bottom w:val="nil"/>
              <w:right w:val="nil"/>
            </w:tcBorders>
          </w:tcPr>
          <w:p w:rsidR="00003302" w:rsidRPr="006E39A7" w:rsidRDefault="00003302">
            <w:pPr>
              <w:jc w:val="right"/>
              <w:rPr>
                <w:color w:val="000000"/>
                <w:sz w:val="20"/>
                <w:szCs w:val="20"/>
              </w:rPr>
            </w:pPr>
            <w:r w:rsidRPr="00855E18">
              <w:rPr>
                <w:bCs/>
                <w:color w:val="000000"/>
                <w:sz w:val="20"/>
                <w:szCs w:val="20"/>
              </w:rPr>
              <w:t>69</w:t>
            </w:r>
          </w:p>
        </w:tc>
      </w:tr>
      <w:tr w:rsidR="00003302">
        <w:trPr>
          <w:trHeight w:val="255"/>
        </w:trPr>
        <w:tc>
          <w:tcPr>
            <w:tcW w:w="3243" w:type="pct"/>
            <w:tcBorders>
              <w:top w:val="nil"/>
              <w:left w:val="nil"/>
              <w:bottom w:val="nil"/>
              <w:right w:val="nil"/>
            </w:tcBorders>
          </w:tcPr>
          <w:p w:rsidR="00003302" w:rsidRDefault="00003302">
            <w:pPr>
              <w:jc w:val="both"/>
              <w:rPr>
                <w:color w:val="000000"/>
                <w:sz w:val="20"/>
                <w:szCs w:val="20"/>
              </w:rPr>
            </w:pPr>
            <w:r>
              <w:rPr>
                <w:color w:val="000000"/>
                <w:sz w:val="20"/>
                <w:szCs w:val="20"/>
              </w:rPr>
              <w:t xml:space="preserve">   Accrued expenses </w:t>
            </w:r>
          </w:p>
        </w:tc>
        <w:tc>
          <w:tcPr>
            <w:tcW w:w="863" w:type="pct"/>
            <w:tcBorders>
              <w:top w:val="nil"/>
              <w:left w:val="nil"/>
              <w:bottom w:val="nil"/>
              <w:right w:val="nil"/>
            </w:tcBorders>
          </w:tcPr>
          <w:p w:rsidR="00003302" w:rsidRDefault="00003302">
            <w:pPr>
              <w:jc w:val="right"/>
              <w:rPr>
                <w:b/>
                <w:bCs/>
                <w:color w:val="000000"/>
                <w:sz w:val="20"/>
                <w:szCs w:val="20"/>
              </w:rPr>
            </w:pPr>
            <w:r>
              <w:rPr>
                <w:b/>
                <w:bCs/>
                <w:color w:val="000000"/>
                <w:sz w:val="20"/>
                <w:szCs w:val="20"/>
              </w:rPr>
              <w:t>350</w:t>
            </w:r>
          </w:p>
        </w:tc>
        <w:tc>
          <w:tcPr>
            <w:tcW w:w="165" w:type="pct"/>
            <w:tcBorders>
              <w:top w:val="nil"/>
              <w:left w:val="nil"/>
              <w:bottom w:val="nil"/>
              <w:right w:val="nil"/>
            </w:tcBorders>
          </w:tcPr>
          <w:p w:rsidR="00003302" w:rsidRDefault="00003302">
            <w:pPr>
              <w:jc w:val="both"/>
              <w:rPr>
                <w:b/>
                <w:bCs/>
                <w:color w:val="000000"/>
                <w:sz w:val="20"/>
                <w:szCs w:val="20"/>
              </w:rPr>
            </w:pPr>
          </w:p>
        </w:tc>
        <w:tc>
          <w:tcPr>
            <w:tcW w:w="729" w:type="pct"/>
            <w:tcBorders>
              <w:top w:val="nil"/>
              <w:left w:val="nil"/>
              <w:bottom w:val="nil"/>
              <w:right w:val="nil"/>
            </w:tcBorders>
          </w:tcPr>
          <w:p w:rsidR="00003302" w:rsidRPr="006E39A7" w:rsidRDefault="00003302">
            <w:pPr>
              <w:jc w:val="right"/>
              <w:rPr>
                <w:color w:val="000000"/>
                <w:sz w:val="20"/>
                <w:szCs w:val="20"/>
              </w:rPr>
            </w:pPr>
            <w:r w:rsidRPr="00855E18">
              <w:rPr>
                <w:bCs/>
                <w:color w:val="000000"/>
                <w:sz w:val="20"/>
                <w:szCs w:val="20"/>
              </w:rPr>
              <w:t>586</w:t>
            </w:r>
          </w:p>
        </w:tc>
      </w:tr>
      <w:tr w:rsidR="00003302">
        <w:trPr>
          <w:trHeight w:val="255"/>
        </w:trPr>
        <w:tc>
          <w:tcPr>
            <w:tcW w:w="3243" w:type="pct"/>
            <w:tcBorders>
              <w:top w:val="nil"/>
              <w:left w:val="nil"/>
              <w:bottom w:val="nil"/>
              <w:right w:val="nil"/>
            </w:tcBorders>
          </w:tcPr>
          <w:p w:rsidR="00003302" w:rsidRDefault="00003302">
            <w:pPr>
              <w:jc w:val="both"/>
              <w:rPr>
                <w:color w:val="000000"/>
                <w:sz w:val="20"/>
                <w:szCs w:val="20"/>
              </w:rPr>
            </w:pPr>
            <w:r>
              <w:rPr>
                <w:color w:val="000000"/>
                <w:sz w:val="20"/>
                <w:szCs w:val="20"/>
              </w:rPr>
              <w:t xml:space="preserve">   Accounts receivable</w:t>
            </w:r>
          </w:p>
        </w:tc>
        <w:tc>
          <w:tcPr>
            <w:tcW w:w="863" w:type="pct"/>
            <w:tcBorders>
              <w:top w:val="nil"/>
              <w:left w:val="nil"/>
              <w:bottom w:val="nil"/>
              <w:right w:val="nil"/>
            </w:tcBorders>
          </w:tcPr>
          <w:p w:rsidR="00003302" w:rsidRDefault="00003302">
            <w:pPr>
              <w:jc w:val="right"/>
              <w:rPr>
                <w:b/>
                <w:bCs/>
                <w:sz w:val="20"/>
                <w:szCs w:val="20"/>
              </w:rPr>
            </w:pPr>
            <w:r>
              <w:rPr>
                <w:b/>
                <w:bCs/>
                <w:sz w:val="20"/>
                <w:szCs w:val="20"/>
              </w:rPr>
              <w:t>3</w:t>
            </w:r>
          </w:p>
        </w:tc>
        <w:tc>
          <w:tcPr>
            <w:tcW w:w="165" w:type="pct"/>
            <w:tcBorders>
              <w:top w:val="nil"/>
              <w:left w:val="nil"/>
              <w:bottom w:val="nil"/>
              <w:right w:val="nil"/>
            </w:tcBorders>
          </w:tcPr>
          <w:p w:rsidR="00003302" w:rsidRDefault="00003302">
            <w:pPr>
              <w:jc w:val="both"/>
              <w:rPr>
                <w:b/>
                <w:bCs/>
                <w:color w:val="000000"/>
                <w:sz w:val="20"/>
                <w:szCs w:val="20"/>
              </w:rPr>
            </w:pPr>
          </w:p>
        </w:tc>
        <w:tc>
          <w:tcPr>
            <w:tcW w:w="729" w:type="pct"/>
            <w:tcBorders>
              <w:top w:val="nil"/>
              <w:left w:val="nil"/>
              <w:bottom w:val="nil"/>
              <w:right w:val="nil"/>
            </w:tcBorders>
          </w:tcPr>
          <w:p w:rsidR="00003302" w:rsidRPr="006E39A7" w:rsidRDefault="00003302">
            <w:pPr>
              <w:jc w:val="right"/>
              <w:rPr>
                <w:sz w:val="20"/>
                <w:szCs w:val="20"/>
              </w:rPr>
            </w:pPr>
            <w:r w:rsidRPr="00855E18">
              <w:rPr>
                <w:bCs/>
                <w:color w:val="000000"/>
                <w:sz w:val="20"/>
                <w:szCs w:val="20"/>
              </w:rPr>
              <w:t>7</w:t>
            </w:r>
          </w:p>
        </w:tc>
      </w:tr>
      <w:tr w:rsidR="00003302">
        <w:trPr>
          <w:trHeight w:val="270"/>
        </w:trPr>
        <w:tc>
          <w:tcPr>
            <w:tcW w:w="3243" w:type="pct"/>
            <w:tcBorders>
              <w:top w:val="nil"/>
              <w:left w:val="nil"/>
              <w:bottom w:val="nil"/>
              <w:right w:val="nil"/>
            </w:tcBorders>
          </w:tcPr>
          <w:p w:rsidR="00003302" w:rsidRDefault="00003302">
            <w:pPr>
              <w:jc w:val="both"/>
              <w:rPr>
                <w:color w:val="000000"/>
                <w:sz w:val="20"/>
                <w:szCs w:val="20"/>
              </w:rPr>
            </w:pPr>
            <w:r>
              <w:rPr>
                <w:color w:val="000000"/>
                <w:sz w:val="20"/>
                <w:szCs w:val="20"/>
              </w:rPr>
              <w:t xml:space="preserve">   Valuation allowance for deferred tax assets</w:t>
            </w:r>
          </w:p>
        </w:tc>
        <w:tc>
          <w:tcPr>
            <w:tcW w:w="863" w:type="pct"/>
            <w:tcBorders>
              <w:top w:val="nil"/>
              <w:left w:val="nil"/>
              <w:bottom w:val="single" w:sz="4" w:space="0" w:color="auto"/>
              <w:right w:val="nil"/>
            </w:tcBorders>
          </w:tcPr>
          <w:p w:rsidR="00003302" w:rsidRDefault="00003302" w:rsidP="006E39A7">
            <w:pPr>
              <w:jc w:val="right"/>
              <w:rPr>
                <w:b/>
                <w:bCs/>
                <w:sz w:val="20"/>
                <w:szCs w:val="20"/>
              </w:rPr>
            </w:pPr>
            <w:r w:rsidRPr="00BB3BBE">
              <w:rPr>
                <w:b/>
                <w:bCs/>
                <w:sz w:val="20"/>
                <w:szCs w:val="20"/>
              </w:rPr>
              <w:t>(5,690)</w:t>
            </w:r>
          </w:p>
        </w:tc>
        <w:tc>
          <w:tcPr>
            <w:tcW w:w="165" w:type="pct"/>
            <w:tcBorders>
              <w:top w:val="nil"/>
              <w:left w:val="nil"/>
              <w:right w:val="nil"/>
            </w:tcBorders>
          </w:tcPr>
          <w:p w:rsidR="00003302" w:rsidRDefault="00003302">
            <w:pPr>
              <w:jc w:val="both"/>
              <w:rPr>
                <w:b/>
                <w:bCs/>
                <w:sz w:val="20"/>
                <w:szCs w:val="20"/>
              </w:rPr>
            </w:pPr>
          </w:p>
        </w:tc>
        <w:tc>
          <w:tcPr>
            <w:tcW w:w="729" w:type="pct"/>
            <w:tcBorders>
              <w:top w:val="nil"/>
              <w:left w:val="nil"/>
              <w:bottom w:val="single" w:sz="4" w:space="0" w:color="auto"/>
              <w:right w:val="nil"/>
            </w:tcBorders>
          </w:tcPr>
          <w:p w:rsidR="00003302" w:rsidRPr="006E39A7" w:rsidRDefault="00003302">
            <w:pPr>
              <w:jc w:val="right"/>
              <w:rPr>
                <w:sz w:val="20"/>
                <w:szCs w:val="20"/>
              </w:rPr>
            </w:pPr>
            <w:r w:rsidRPr="00855E18">
              <w:rPr>
                <w:bCs/>
                <w:sz w:val="20"/>
                <w:szCs w:val="20"/>
              </w:rPr>
              <w:t>(5,690)</w:t>
            </w:r>
          </w:p>
        </w:tc>
      </w:tr>
      <w:tr w:rsidR="00003302">
        <w:trPr>
          <w:trHeight w:val="255"/>
        </w:trPr>
        <w:tc>
          <w:tcPr>
            <w:tcW w:w="3243" w:type="pct"/>
            <w:tcBorders>
              <w:top w:val="nil"/>
              <w:left w:val="nil"/>
              <w:bottom w:val="nil"/>
              <w:right w:val="nil"/>
            </w:tcBorders>
          </w:tcPr>
          <w:p w:rsidR="00003302" w:rsidRDefault="00003302">
            <w:pPr>
              <w:jc w:val="both"/>
              <w:rPr>
                <w:color w:val="000000"/>
                <w:sz w:val="20"/>
                <w:szCs w:val="20"/>
              </w:rPr>
            </w:pPr>
            <w:r>
              <w:rPr>
                <w:color w:val="000000"/>
                <w:sz w:val="20"/>
                <w:szCs w:val="20"/>
              </w:rPr>
              <w:t>Deferred tax assets</w:t>
            </w:r>
          </w:p>
        </w:tc>
        <w:tc>
          <w:tcPr>
            <w:tcW w:w="863" w:type="pct"/>
            <w:tcBorders>
              <w:top w:val="single" w:sz="4" w:space="0" w:color="auto"/>
              <w:left w:val="nil"/>
              <w:bottom w:val="nil"/>
              <w:right w:val="nil"/>
            </w:tcBorders>
          </w:tcPr>
          <w:p w:rsidR="00003302" w:rsidRDefault="00003302" w:rsidP="006E39A7">
            <w:pPr>
              <w:jc w:val="right"/>
              <w:rPr>
                <w:b/>
                <w:bCs/>
                <w:color w:val="000000"/>
                <w:sz w:val="20"/>
                <w:szCs w:val="20"/>
              </w:rPr>
            </w:pPr>
            <w:r w:rsidRPr="0048358D">
              <w:rPr>
                <w:b/>
                <w:bCs/>
                <w:color w:val="000000"/>
                <w:sz w:val="20"/>
                <w:szCs w:val="20"/>
              </w:rPr>
              <w:t>$</w:t>
            </w:r>
            <w:r>
              <w:rPr>
                <w:b/>
                <w:bCs/>
                <w:color w:val="000000"/>
                <w:sz w:val="20"/>
                <w:szCs w:val="20"/>
              </w:rPr>
              <w:t>3</w:t>
            </w:r>
            <w:r w:rsidRPr="0048358D">
              <w:rPr>
                <w:b/>
                <w:bCs/>
                <w:color w:val="000000"/>
                <w:sz w:val="20"/>
                <w:szCs w:val="20"/>
              </w:rPr>
              <w:t>,</w:t>
            </w:r>
            <w:r>
              <w:rPr>
                <w:b/>
                <w:bCs/>
                <w:color w:val="000000"/>
                <w:sz w:val="20"/>
                <w:szCs w:val="20"/>
              </w:rPr>
              <w:t>676</w:t>
            </w:r>
            <w:r w:rsidRPr="0048358D">
              <w:rPr>
                <w:b/>
                <w:bCs/>
                <w:color w:val="000000"/>
                <w:sz w:val="20"/>
                <w:szCs w:val="20"/>
              </w:rPr>
              <w:t xml:space="preserve"> </w:t>
            </w:r>
          </w:p>
        </w:tc>
        <w:tc>
          <w:tcPr>
            <w:tcW w:w="165" w:type="pct"/>
            <w:tcBorders>
              <w:left w:val="nil"/>
              <w:bottom w:val="nil"/>
              <w:right w:val="nil"/>
            </w:tcBorders>
          </w:tcPr>
          <w:p w:rsidR="00003302" w:rsidRDefault="00003302">
            <w:pPr>
              <w:jc w:val="both"/>
              <w:rPr>
                <w:b/>
                <w:bCs/>
                <w:color w:val="000000"/>
                <w:sz w:val="20"/>
                <w:szCs w:val="20"/>
              </w:rPr>
            </w:pPr>
          </w:p>
        </w:tc>
        <w:tc>
          <w:tcPr>
            <w:tcW w:w="729" w:type="pct"/>
            <w:tcBorders>
              <w:top w:val="single" w:sz="4" w:space="0" w:color="auto"/>
              <w:left w:val="nil"/>
              <w:bottom w:val="nil"/>
              <w:right w:val="nil"/>
            </w:tcBorders>
          </w:tcPr>
          <w:p w:rsidR="00003302" w:rsidRPr="006E39A7" w:rsidRDefault="00003302">
            <w:pPr>
              <w:jc w:val="right"/>
              <w:rPr>
                <w:color w:val="000000"/>
                <w:sz w:val="20"/>
                <w:szCs w:val="20"/>
              </w:rPr>
            </w:pPr>
            <w:r w:rsidRPr="00855E18">
              <w:rPr>
                <w:bCs/>
                <w:color w:val="000000"/>
                <w:sz w:val="20"/>
                <w:szCs w:val="20"/>
              </w:rPr>
              <w:t xml:space="preserve">$3,926 </w:t>
            </w:r>
          </w:p>
        </w:tc>
      </w:tr>
      <w:tr w:rsidR="00003302" w:rsidTr="00003302">
        <w:trPr>
          <w:trHeight w:val="255"/>
        </w:trPr>
        <w:tc>
          <w:tcPr>
            <w:tcW w:w="3243" w:type="pct"/>
            <w:tcBorders>
              <w:top w:val="nil"/>
              <w:left w:val="nil"/>
              <w:bottom w:val="nil"/>
              <w:right w:val="nil"/>
            </w:tcBorders>
          </w:tcPr>
          <w:p w:rsidR="00003302" w:rsidRDefault="00003302">
            <w:pPr>
              <w:jc w:val="both"/>
              <w:rPr>
                <w:color w:val="000000"/>
                <w:sz w:val="20"/>
                <w:szCs w:val="20"/>
              </w:rPr>
            </w:pPr>
            <w:r>
              <w:rPr>
                <w:color w:val="000000"/>
                <w:sz w:val="20"/>
                <w:szCs w:val="20"/>
              </w:rPr>
              <w:t>Deferred tax liability:</w:t>
            </w:r>
          </w:p>
        </w:tc>
        <w:tc>
          <w:tcPr>
            <w:tcW w:w="863" w:type="pct"/>
            <w:tcBorders>
              <w:top w:val="nil"/>
              <w:left w:val="nil"/>
              <w:right w:val="nil"/>
            </w:tcBorders>
          </w:tcPr>
          <w:p w:rsidR="00003302" w:rsidRDefault="00003302">
            <w:pPr>
              <w:jc w:val="right"/>
              <w:rPr>
                <w:color w:val="000000"/>
                <w:sz w:val="20"/>
                <w:szCs w:val="20"/>
              </w:rPr>
            </w:pPr>
          </w:p>
        </w:tc>
        <w:tc>
          <w:tcPr>
            <w:tcW w:w="165" w:type="pct"/>
            <w:tcBorders>
              <w:top w:val="nil"/>
              <w:left w:val="nil"/>
              <w:bottom w:val="nil"/>
              <w:right w:val="nil"/>
            </w:tcBorders>
          </w:tcPr>
          <w:p w:rsidR="00003302" w:rsidRDefault="00003302">
            <w:pPr>
              <w:jc w:val="both"/>
              <w:rPr>
                <w:b/>
                <w:bCs/>
                <w:color w:val="000000"/>
                <w:sz w:val="20"/>
                <w:szCs w:val="20"/>
              </w:rPr>
            </w:pPr>
          </w:p>
        </w:tc>
        <w:tc>
          <w:tcPr>
            <w:tcW w:w="729" w:type="pct"/>
            <w:tcBorders>
              <w:top w:val="nil"/>
              <w:left w:val="nil"/>
              <w:right w:val="nil"/>
            </w:tcBorders>
          </w:tcPr>
          <w:p w:rsidR="00003302" w:rsidRPr="006E39A7" w:rsidRDefault="00003302">
            <w:pPr>
              <w:jc w:val="right"/>
              <w:rPr>
                <w:color w:val="000000"/>
                <w:sz w:val="20"/>
                <w:szCs w:val="20"/>
              </w:rPr>
            </w:pPr>
          </w:p>
        </w:tc>
      </w:tr>
      <w:tr w:rsidR="00003302" w:rsidTr="00003302">
        <w:trPr>
          <w:trHeight w:val="255"/>
        </w:trPr>
        <w:tc>
          <w:tcPr>
            <w:tcW w:w="3243" w:type="pct"/>
            <w:tcBorders>
              <w:top w:val="nil"/>
              <w:left w:val="nil"/>
              <w:bottom w:val="nil"/>
              <w:right w:val="nil"/>
            </w:tcBorders>
          </w:tcPr>
          <w:p w:rsidR="00003302" w:rsidRDefault="00003302">
            <w:pPr>
              <w:jc w:val="both"/>
              <w:rPr>
                <w:color w:val="000000"/>
                <w:sz w:val="20"/>
                <w:szCs w:val="20"/>
              </w:rPr>
            </w:pPr>
            <w:r>
              <w:rPr>
                <w:color w:val="000000"/>
                <w:sz w:val="20"/>
                <w:szCs w:val="20"/>
              </w:rPr>
              <w:t xml:space="preserve">   Acquired intangible assets</w:t>
            </w:r>
          </w:p>
        </w:tc>
        <w:tc>
          <w:tcPr>
            <w:tcW w:w="863" w:type="pct"/>
            <w:tcBorders>
              <w:top w:val="nil"/>
              <w:left w:val="nil"/>
              <w:right w:val="nil"/>
            </w:tcBorders>
          </w:tcPr>
          <w:p w:rsidR="00003302" w:rsidRDefault="00003302">
            <w:pPr>
              <w:jc w:val="right"/>
              <w:rPr>
                <w:b/>
                <w:bCs/>
                <w:color w:val="000000"/>
                <w:sz w:val="20"/>
                <w:szCs w:val="20"/>
              </w:rPr>
            </w:pPr>
            <w:r>
              <w:rPr>
                <w:b/>
                <w:bCs/>
                <w:color w:val="000000"/>
                <w:sz w:val="20"/>
                <w:szCs w:val="20"/>
              </w:rPr>
              <w:t>441</w:t>
            </w:r>
          </w:p>
        </w:tc>
        <w:tc>
          <w:tcPr>
            <w:tcW w:w="165" w:type="pct"/>
            <w:tcBorders>
              <w:top w:val="nil"/>
              <w:left w:val="nil"/>
              <w:bottom w:val="nil"/>
              <w:right w:val="nil"/>
            </w:tcBorders>
          </w:tcPr>
          <w:p w:rsidR="00003302" w:rsidRDefault="00003302">
            <w:pPr>
              <w:jc w:val="both"/>
              <w:rPr>
                <w:b/>
                <w:bCs/>
                <w:color w:val="000000"/>
                <w:sz w:val="20"/>
                <w:szCs w:val="20"/>
              </w:rPr>
            </w:pPr>
          </w:p>
        </w:tc>
        <w:tc>
          <w:tcPr>
            <w:tcW w:w="729" w:type="pct"/>
            <w:tcBorders>
              <w:top w:val="nil"/>
              <w:left w:val="nil"/>
              <w:right w:val="nil"/>
            </w:tcBorders>
          </w:tcPr>
          <w:p w:rsidR="00003302" w:rsidRPr="00855E18" w:rsidRDefault="00003302">
            <w:pPr>
              <w:jc w:val="right"/>
              <w:rPr>
                <w:bCs/>
                <w:color w:val="000000"/>
                <w:sz w:val="20"/>
                <w:szCs w:val="20"/>
              </w:rPr>
            </w:pPr>
            <w:r>
              <w:rPr>
                <w:bCs/>
                <w:color w:val="000000"/>
                <w:sz w:val="20"/>
                <w:szCs w:val="20"/>
              </w:rPr>
              <w:t>-</w:t>
            </w:r>
          </w:p>
        </w:tc>
      </w:tr>
      <w:tr w:rsidR="00003302" w:rsidTr="00003302">
        <w:trPr>
          <w:trHeight w:val="255"/>
        </w:trPr>
        <w:tc>
          <w:tcPr>
            <w:tcW w:w="3243" w:type="pct"/>
            <w:tcBorders>
              <w:top w:val="nil"/>
              <w:left w:val="nil"/>
              <w:bottom w:val="nil"/>
              <w:right w:val="nil"/>
            </w:tcBorders>
          </w:tcPr>
          <w:p w:rsidR="00003302" w:rsidRDefault="00003302">
            <w:pPr>
              <w:jc w:val="both"/>
              <w:rPr>
                <w:color w:val="000000"/>
                <w:sz w:val="20"/>
                <w:szCs w:val="20"/>
              </w:rPr>
            </w:pPr>
            <w:r>
              <w:rPr>
                <w:color w:val="000000"/>
                <w:sz w:val="20"/>
                <w:szCs w:val="20"/>
              </w:rPr>
              <w:t xml:space="preserve">   Software development costs</w:t>
            </w:r>
          </w:p>
        </w:tc>
        <w:tc>
          <w:tcPr>
            <w:tcW w:w="863" w:type="pct"/>
            <w:tcBorders>
              <w:left w:val="nil"/>
              <w:bottom w:val="single" w:sz="4" w:space="0" w:color="auto"/>
              <w:right w:val="nil"/>
            </w:tcBorders>
          </w:tcPr>
          <w:p w:rsidR="00003302" w:rsidRDefault="00003302">
            <w:pPr>
              <w:jc w:val="right"/>
              <w:rPr>
                <w:b/>
                <w:bCs/>
                <w:color w:val="000000"/>
                <w:sz w:val="20"/>
                <w:szCs w:val="20"/>
              </w:rPr>
            </w:pPr>
            <w:r>
              <w:rPr>
                <w:b/>
                <w:bCs/>
                <w:color w:val="000000"/>
                <w:sz w:val="20"/>
                <w:szCs w:val="20"/>
              </w:rPr>
              <w:t>840</w:t>
            </w:r>
          </w:p>
        </w:tc>
        <w:tc>
          <w:tcPr>
            <w:tcW w:w="165" w:type="pct"/>
            <w:tcBorders>
              <w:top w:val="nil"/>
              <w:left w:val="nil"/>
              <w:bottom w:val="nil"/>
              <w:right w:val="nil"/>
            </w:tcBorders>
          </w:tcPr>
          <w:p w:rsidR="00003302" w:rsidRDefault="00003302">
            <w:pPr>
              <w:jc w:val="both"/>
              <w:rPr>
                <w:b/>
                <w:bCs/>
                <w:color w:val="000000"/>
                <w:sz w:val="20"/>
                <w:szCs w:val="20"/>
              </w:rPr>
            </w:pPr>
          </w:p>
        </w:tc>
        <w:tc>
          <w:tcPr>
            <w:tcW w:w="729" w:type="pct"/>
            <w:tcBorders>
              <w:left w:val="nil"/>
              <w:bottom w:val="single" w:sz="4" w:space="0" w:color="auto"/>
              <w:right w:val="nil"/>
            </w:tcBorders>
          </w:tcPr>
          <w:p w:rsidR="00003302" w:rsidRPr="006E39A7" w:rsidRDefault="00003302">
            <w:pPr>
              <w:jc w:val="right"/>
              <w:rPr>
                <w:color w:val="000000"/>
                <w:sz w:val="20"/>
                <w:szCs w:val="20"/>
              </w:rPr>
            </w:pPr>
            <w:r w:rsidRPr="00855E18">
              <w:rPr>
                <w:bCs/>
                <w:color w:val="000000"/>
                <w:sz w:val="20"/>
                <w:szCs w:val="20"/>
              </w:rPr>
              <w:t>926</w:t>
            </w:r>
          </w:p>
        </w:tc>
      </w:tr>
      <w:tr w:rsidR="00003302">
        <w:trPr>
          <w:trHeight w:val="270"/>
        </w:trPr>
        <w:tc>
          <w:tcPr>
            <w:tcW w:w="3243" w:type="pct"/>
            <w:tcBorders>
              <w:top w:val="nil"/>
              <w:left w:val="nil"/>
              <w:bottom w:val="nil"/>
              <w:right w:val="nil"/>
            </w:tcBorders>
          </w:tcPr>
          <w:p w:rsidR="00003302" w:rsidRDefault="00003302">
            <w:pPr>
              <w:jc w:val="both"/>
              <w:rPr>
                <w:color w:val="000000"/>
                <w:sz w:val="20"/>
                <w:szCs w:val="20"/>
              </w:rPr>
            </w:pPr>
            <w:r>
              <w:rPr>
                <w:color w:val="000000"/>
                <w:sz w:val="20"/>
                <w:szCs w:val="20"/>
              </w:rPr>
              <w:t>Net deferred tax assets</w:t>
            </w:r>
          </w:p>
        </w:tc>
        <w:tc>
          <w:tcPr>
            <w:tcW w:w="863" w:type="pct"/>
            <w:tcBorders>
              <w:top w:val="single" w:sz="4" w:space="0" w:color="auto"/>
              <w:left w:val="nil"/>
              <w:bottom w:val="double" w:sz="6" w:space="0" w:color="auto"/>
              <w:right w:val="nil"/>
            </w:tcBorders>
          </w:tcPr>
          <w:p w:rsidR="00003302" w:rsidRDefault="00003302" w:rsidP="006E39A7">
            <w:pPr>
              <w:jc w:val="right"/>
              <w:rPr>
                <w:b/>
                <w:bCs/>
                <w:color w:val="000000"/>
                <w:sz w:val="20"/>
                <w:szCs w:val="20"/>
              </w:rPr>
            </w:pPr>
            <w:r w:rsidRPr="0048358D">
              <w:rPr>
                <w:b/>
                <w:bCs/>
                <w:color w:val="000000"/>
                <w:sz w:val="20"/>
                <w:szCs w:val="20"/>
              </w:rPr>
              <w:t>$</w:t>
            </w:r>
            <w:r>
              <w:rPr>
                <w:b/>
                <w:bCs/>
                <w:color w:val="000000"/>
                <w:sz w:val="20"/>
                <w:szCs w:val="20"/>
              </w:rPr>
              <w:t>2,395</w:t>
            </w:r>
            <w:r w:rsidRPr="0048358D">
              <w:rPr>
                <w:b/>
                <w:bCs/>
                <w:color w:val="000000"/>
                <w:sz w:val="20"/>
                <w:szCs w:val="20"/>
              </w:rPr>
              <w:t xml:space="preserve"> </w:t>
            </w:r>
          </w:p>
        </w:tc>
        <w:tc>
          <w:tcPr>
            <w:tcW w:w="165" w:type="pct"/>
            <w:tcBorders>
              <w:top w:val="nil"/>
              <w:left w:val="nil"/>
              <w:bottom w:val="nil"/>
              <w:right w:val="nil"/>
            </w:tcBorders>
          </w:tcPr>
          <w:p w:rsidR="00003302" w:rsidRDefault="00003302">
            <w:pPr>
              <w:jc w:val="center"/>
              <w:rPr>
                <w:b/>
                <w:bCs/>
                <w:color w:val="000000"/>
                <w:sz w:val="20"/>
                <w:szCs w:val="20"/>
              </w:rPr>
            </w:pPr>
          </w:p>
        </w:tc>
        <w:tc>
          <w:tcPr>
            <w:tcW w:w="729" w:type="pct"/>
            <w:tcBorders>
              <w:top w:val="single" w:sz="4" w:space="0" w:color="auto"/>
              <w:left w:val="nil"/>
              <w:bottom w:val="double" w:sz="6" w:space="0" w:color="auto"/>
              <w:right w:val="nil"/>
            </w:tcBorders>
          </w:tcPr>
          <w:p w:rsidR="00003302" w:rsidRPr="006E39A7" w:rsidRDefault="00003302">
            <w:pPr>
              <w:jc w:val="right"/>
              <w:rPr>
                <w:color w:val="000000"/>
                <w:sz w:val="20"/>
                <w:szCs w:val="20"/>
              </w:rPr>
            </w:pPr>
            <w:r w:rsidRPr="00855E18">
              <w:rPr>
                <w:bCs/>
                <w:color w:val="000000"/>
                <w:sz w:val="20"/>
                <w:szCs w:val="20"/>
              </w:rPr>
              <w:t xml:space="preserve">$3,000 </w:t>
            </w:r>
          </w:p>
        </w:tc>
      </w:tr>
      <w:tr w:rsidR="004851D7">
        <w:trPr>
          <w:trHeight w:val="263"/>
        </w:trPr>
        <w:tc>
          <w:tcPr>
            <w:tcW w:w="3243" w:type="pct"/>
            <w:tcBorders>
              <w:top w:val="nil"/>
              <w:left w:val="nil"/>
              <w:bottom w:val="nil"/>
              <w:right w:val="nil"/>
            </w:tcBorders>
          </w:tcPr>
          <w:p w:rsidR="004851D7" w:rsidRDefault="004851D7">
            <w:pPr>
              <w:jc w:val="both"/>
              <w:rPr>
                <w:color w:val="000000"/>
                <w:sz w:val="20"/>
                <w:szCs w:val="20"/>
              </w:rPr>
            </w:pPr>
          </w:p>
          <w:p w:rsidR="004851D7" w:rsidRDefault="004851D7">
            <w:pPr>
              <w:jc w:val="both"/>
              <w:rPr>
                <w:color w:val="000000"/>
                <w:sz w:val="20"/>
                <w:szCs w:val="20"/>
              </w:rPr>
            </w:pPr>
          </w:p>
        </w:tc>
        <w:tc>
          <w:tcPr>
            <w:tcW w:w="863" w:type="pct"/>
            <w:tcBorders>
              <w:top w:val="double" w:sz="4" w:space="0" w:color="auto"/>
              <w:left w:val="nil"/>
              <w:bottom w:val="nil"/>
              <w:right w:val="nil"/>
            </w:tcBorders>
          </w:tcPr>
          <w:p w:rsidR="004851D7" w:rsidRDefault="004851D7">
            <w:pPr>
              <w:jc w:val="right"/>
              <w:rPr>
                <w:b/>
                <w:bCs/>
                <w:color w:val="000000"/>
                <w:sz w:val="20"/>
                <w:szCs w:val="20"/>
              </w:rPr>
            </w:pPr>
          </w:p>
        </w:tc>
        <w:tc>
          <w:tcPr>
            <w:tcW w:w="165" w:type="pct"/>
            <w:tcBorders>
              <w:top w:val="nil"/>
              <w:left w:val="nil"/>
              <w:bottom w:val="nil"/>
              <w:right w:val="nil"/>
            </w:tcBorders>
          </w:tcPr>
          <w:p w:rsidR="004851D7" w:rsidRDefault="004851D7">
            <w:pPr>
              <w:jc w:val="both"/>
              <w:rPr>
                <w:b/>
                <w:bCs/>
                <w:color w:val="000000"/>
                <w:sz w:val="20"/>
                <w:szCs w:val="20"/>
              </w:rPr>
            </w:pPr>
          </w:p>
        </w:tc>
        <w:tc>
          <w:tcPr>
            <w:tcW w:w="729" w:type="pct"/>
            <w:tcBorders>
              <w:top w:val="double" w:sz="4" w:space="0" w:color="auto"/>
              <w:left w:val="nil"/>
              <w:bottom w:val="nil"/>
              <w:right w:val="nil"/>
            </w:tcBorders>
          </w:tcPr>
          <w:p w:rsidR="004851D7" w:rsidRDefault="004851D7">
            <w:pPr>
              <w:jc w:val="right"/>
              <w:rPr>
                <w:bCs/>
                <w:color w:val="000000"/>
                <w:sz w:val="20"/>
                <w:szCs w:val="20"/>
              </w:rPr>
            </w:pPr>
          </w:p>
        </w:tc>
      </w:tr>
    </w:tbl>
    <w:p w:rsidR="004851D7" w:rsidRDefault="004851D7">
      <w:pPr>
        <w:ind w:firstLine="720"/>
        <w:rPr>
          <w:sz w:val="20"/>
        </w:rPr>
      </w:pPr>
      <w:r>
        <w:rPr>
          <w:sz w:val="20"/>
        </w:rPr>
        <w:t>The components giving rise to the net deferred income tax assets described above have been included in the accompanying balance sheets as follows:</w:t>
      </w:r>
    </w:p>
    <w:tbl>
      <w:tblPr>
        <w:tblW w:w="5000" w:type="pct"/>
        <w:tblLook w:val="00A0" w:firstRow="1" w:lastRow="0" w:firstColumn="1" w:lastColumn="0" w:noHBand="0" w:noVBand="0"/>
      </w:tblPr>
      <w:tblGrid>
        <w:gridCol w:w="6278"/>
        <w:gridCol w:w="1647"/>
        <w:gridCol w:w="318"/>
        <w:gridCol w:w="1391"/>
      </w:tblGrid>
      <w:tr w:rsidR="004851D7">
        <w:trPr>
          <w:trHeight w:val="315"/>
        </w:trPr>
        <w:tc>
          <w:tcPr>
            <w:tcW w:w="3258" w:type="pct"/>
            <w:tcBorders>
              <w:top w:val="nil"/>
              <w:left w:val="nil"/>
              <w:bottom w:val="nil"/>
              <w:right w:val="nil"/>
            </w:tcBorders>
          </w:tcPr>
          <w:p w:rsidR="004851D7" w:rsidRDefault="004851D7">
            <w:pPr>
              <w:jc w:val="center"/>
              <w:rPr>
                <w:rFonts w:ascii="CG Times" w:hAnsi="CG Times"/>
                <w:color w:val="000000"/>
              </w:rPr>
            </w:pPr>
          </w:p>
        </w:tc>
        <w:tc>
          <w:tcPr>
            <w:tcW w:w="1742" w:type="pct"/>
            <w:gridSpan w:val="3"/>
            <w:tcBorders>
              <w:top w:val="nil"/>
              <w:left w:val="nil"/>
              <w:bottom w:val="nil"/>
              <w:right w:val="nil"/>
            </w:tcBorders>
          </w:tcPr>
          <w:p w:rsidR="004851D7" w:rsidRDefault="004851D7">
            <w:pPr>
              <w:jc w:val="center"/>
              <w:rPr>
                <w:b/>
                <w:bCs/>
                <w:color w:val="000000"/>
                <w:sz w:val="20"/>
                <w:szCs w:val="20"/>
              </w:rPr>
            </w:pPr>
            <w:r>
              <w:rPr>
                <w:b/>
                <w:bCs/>
                <w:color w:val="000000"/>
                <w:sz w:val="20"/>
                <w:szCs w:val="20"/>
              </w:rPr>
              <w:t>December 31,</w:t>
            </w:r>
          </w:p>
        </w:tc>
      </w:tr>
      <w:tr w:rsidR="004851D7">
        <w:trPr>
          <w:trHeight w:val="270"/>
        </w:trPr>
        <w:tc>
          <w:tcPr>
            <w:tcW w:w="3258" w:type="pct"/>
            <w:tcBorders>
              <w:top w:val="nil"/>
              <w:left w:val="nil"/>
              <w:bottom w:val="nil"/>
              <w:right w:val="nil"/>
            </w:tcBorders>
          </w:tcPr>
          <w:p w:rsidR="004851D7" w:rsidRDefault="004851D7">
            <w:pPr>
              <w:jc w:val="center"/>
              <w:rPr>
                <w:color w:val="000000"/>
                <w:sz w:val="20"/>
                <w:szCs w:val="20"/>
              </w:rPr>
            </w:pPr>
          </w:p>
        </w:tc>
        <w:tc>
          <w:tcPr>
            <w:tcW w:w="855" w:type="pct"/>
            <w:tcBorders>
              <w:top w:val="nil"/>
              <w:left w:val="nil"/>
              <w:bottom w:val="single" w:sz="8" w:space="0" w:color="auto"/>
              <w:right w:val="nil"/>
            </w:tcBorders>
          </w:tcPr>
          <w:p w:rsidR="004851D7" w:rsidRDefault="006E39A7" w:rsidP="006E39A7">
            <w:pPr>
              <w:jc w:val="center"/>
              <w:rPr>
                <w:b/>
                <w:bCs/>
                <w:color w:val="000000"/>
                <w:sz w:val="20"/>
                <w:szCs w:val="20"/>
              </w:rPr>
            </w:pPr>
            <w:r>
              <w:rPr>
                <w:b/>
                <w:bCs/>
                <w:color w:val="000000"/>
                <w:sz w:val="20"/>
                <w:szCs w:val="20"/>
              </w:rPr>
              <w:t>2011</w:t>
            </w:r>
          </w:p>
        </w:tc>
        <w:tc>
          <w:tcPr>
            <w:tcW w:w="165" w:type="pct"/>
            <w:tcBorders>
              <w:top w:val="nil"/>
              <w:left w:val="nil"/>
              <w:bottom w:val="nil"/>
              <w:right w:val="nil"/>
            </w:tcBorders>
          </w:tcPr>
          <w:p w:rsidR="004851D7" w:rsidRDefault="004851D7">
            <w:pPr>
              <w:jc w:val="center"/>
              <w:rPr>
                <w:b/>
                <w:bCs/>
                <w:color w:val="000000"/>
                <w:sz w:val="20"/>
                <w:szCs w:val="20"/>
              </w:rPr>
            </w:pPr>
          </w:p>
        </w:tc>
        <w:tc>
          <w:tcPr>
            <w:tcW w:w="722" w:type="pct"/>
            <w:tcBorders>
              <w:top w:val="nil"/>
              <w:left w:val="nil"/>
              <w:bottom w:val="single" w:sz="8" w:space="0" w:color="auto"/>
              <w:right w:val="nil"/>
            </w:tcBorders>
          </w:tcPr>
          <w:p w:rsidR="004851D7" w:rsidRDefault="006E39A7" w:rsidP="006E39A7">
            <w:pPr>
              <w:jc w:val="center"/>
              <w:rPr>
                <w:color w:val="000000"/>
                <w:sz w:val="20"/>
                <w:szCs w:val="20"/>
              </w:rPr>
            </w:pPr>
            <w:r>
              <w:rPr>
                <w:color w:val="000000"/>
                <w:sz w:val="20"/>
                <w:szCs w:val="20"/>
              </w:rPr>
              <w:t>2010</w:t>
            </w:r>
          </w:p>
        </w:tc>
      </w:tr>
      <w:tr w:rsidR="004851D7">
        <w:trPr>
          <w:trHeight w:val="255"/>
        </w:trPr>
        <w:tc>
          <w:tcPr>
            <w:tcW w:w="3258" w:type="pct"/>
            <w:tcBorders>
              <w:top w:val="nil"/>
              <w:left w:val="nil"/>
              <w:bottom w:val="nil"/>
              <w:right w:val="nil"/>
            </w:tcBorders>
          </w:tcPr>
          <w:p w:rsidR="004851D7" w:rsidRDefault="004851D7">
            <w:pPr>
              <w:jc w:val="both"/>
              <w:rPr>
                <w:color w:val="000000"/>
                <w:sz w:val="20"/>
                <w:szCs w:val="20"/>
              </w:rPr>
            </w:pPr>
          </w:p>
        </w:tc>
        <w:tc>
          <w:tcPr>
            <w:tcW w:w="1742" w:type="pct"/>
            <w:gridSpan w:val="3"/>
            <w:tcBorders>
              <w:top w:val="nil"/>
              <w:left w:val="nil"/>
              <w:bottom w:val="nil"/>
              <w:right w:val="nil"/>
            </w:tcBorders>
          </w:tcPr>
          <w:p w:rsidR="004851D7" w:rsidRDefault="004851D7">
            <w:pPr>
              <w:jc w:val="center"/>
              <w:rPr>
                <w:i/>
                <w:iCs/>
                <w:color w:val="000000"/>
                <w:sz w:val="20"/>
                <w:szCs w:val="20"/>
              </w:rPr>
            </w:pPr>
            <w:r>
              <w:rPr>
                <w:i/>
                <w:iCs/>
                <w:color w:val="000000"/>
                <w:sz w:val="20"/>
                <w:szCs w:val="20"/>
              </w:rPr>
              <w:t>(In thousands)</w:t>
            </w:r>
          </w:p>
        </w:tc>
      </w:tr>
      <w:tr w:rsidR="004851D7">
        <w:trPr>
          <w:trHeight w:val="255"/>
        </w:trPr>
        <w:tc>
          <w:tcPr>
            <w:tcW w:w="3258" w:type="pct"/>
            <w:tcBorders>
              <w:top w:val="nil"/>
              <w:left w:val="nil"/>
              <w:bottom w:val="nil"/>
              <w:right w:val="nil"/>
            </w:tcBorders>
          </w:tcPr>
          <w:p w:rsidR="004851D7" w:rsidRDefault="004851D7">
            <w:pPr>
              <w:jc w:val="both"/>
              <w:rPr>
                <w:color w:val="000000"/>
                <w:sz w:val="20"/>
                <w:szCs w:val="20"/>
              </w:rPr>
            </w:pPr>
          </w:p>
        </w:tc>
        <w:tc>
          <w:tcPr>
            <w:tcW w:w="855" w:type="pct"/>
            <w:tcBorders>
              <w:top w:val="nil"/>
              <w:left w:val="nil"/>
              <w:bottom w:val="nil"/>
              <w:right w:val="nil"/>
            </w:tcBorders>
          </w:tcPr>
          <w:p w:rsidR="004851D7" w:rsidRDefault="004851D7">
            <w:pPr>
              <w:jc w:val="right"/>
              <w:rPr>
                <w:b/>
                <w:bCs/>
                <w:color w:val="000000"/>
                <w:sz w:val="20"/>
                <w:szCs w:val="20"/>
              </w:rPr>
            </w:pPr>
          </w:p>
        </w:tc>
        <w:tc>
          <w:tcPr>
            <w:tcW w:w="165" w:type="pct"/>
            <w:tcBorders>
              <w:top w:val="nil"/>
              <w:left w:val="nil"/>
              <w:bottom w:val="nil"/>
              <w:right w:val="nil"/>
            </w:tcBorders>
          </w:tcPr>
          <w:p w:rsidR="004851D7" w:rsidRDefault="004851D7">
            <w:pPr>
              <w:jc w:val="both"/>
              <w:rPr>
                <w:b/>
                <w:bCs/>
                <w:color w:val="000000"/>
                <w:sz w:val="20"/>
                <w:szCs w:val="20"/>
              </w:rPr>
            </w:pPr>
          </w:p>
        </w:tc>
        <w:tc>
          <w:tcPr>
            <w:tcW w:w="722" w:type="pct"/>
            <w:tcBorders>
              <w:top w:val="nil"/>
              <w:left w:val="nil"/>
              <w:bottom w:val="nil"/>
              <w:right w:val="nil"/>
            </w:tcBorders>
          </w:tcPr>
          <w:p w:rsidR="004851D7" w:rsidRDefault="004851D7">
            <w:pPr>
              <w:jc w:val="right"/>
              <w:rPr>
                <w:color w:val="000000"/>
                <w:sz w:val="20"/>
                <w:szCs w:val="20"/>
              </w:rPr>
            </w:pPr>
          </w:p>
        </w:tc>
      </w:tr>
      <w:tr w:rsidR="00C761B0">
        <w:trPr>
          <w:trHeight w:val="255"/>
        </w:trPr>
        <w:tc>
          <w:tcPr>
            <w:tcW w:w="3258" w:type="pct"/>
            <w:tcBorders>
              <w:top w:val="nil"/>
              <w:left w:val="nil"/>
              <w:bottom w:val="nil"/>
              <w:right w:val="nil"/>
            </w:tcBorders>
          </w:tcPr>
          <w:p w:rsidR="00C761B0" w:rsidRDefault="00C761B0">
            <w:pPr>
              <w:jc w:val="both"/>
              <w:rPr>
                <w:color w:val="000000"/>
                <w:sz w:val="20"/>
                <w:szCs w:val="20"/>
              </w:rPr>
            </w:pPr>
            <w:r>
              <w:rPr>
                <w:color w:val="000000"/>
                <w:sz w:val="20"/>
                <w:szCs w:val="20"/>
              </w:rPr>
              <w:t>Current assets</w:t>
            </w:r>
          </w:p>
        </w:tc>
        <w:tc>
          <w:tcPr>
            <w:tcW w:w="855" w:type="pct"/>
            <w:tcBorders>
              <w:top w:val="nil"/>
              <w:left w:val="nil"/>
              <w:bottom w:val="nil"/>
              <w:right w:val="nil"/>
            </w:tcBorders>
          </w:tcPr>
          <w:p w:rsidR="00C761B0" w:rsidRDefault="00C761B0" w:rsidP="00C3456B">
            <w:pPr>
              <w:jc w:val="right"/>
              <w:rPr>
                <w:b/>
                <w:bCs/>
                <w:color w:val="000000"/>
                <w:sz w:val="20"/>
                <w:szCs w:val="20"/>
              </w:rPr>
            </w:pPr>
            <w:r w:rsidRPr="000142B3">
              <w:rPr>
                <w:b/>
                <w:bCs/>
                <w:color w:val="000000"/>
                <w:sz w:val="20"/>
                <w:szCs w:val="20"/>
              </w:rPr>
              <w:t>$</w:t>
            </w:r>
            <w:r>
              <w:rPr>
                <w:b/>
                <w:bCs/>
                <w:color w:val="000000"/>
                <w:sz w:val="20"/>
                <w:szCs w:val="20"/>
              </w:rPr>
              <w:t>2</w:t>
            </w:r>
            <w:r w:rsidRPr="000142B3">
              <w:rPr>
                <w:b/>
                <w:bCs/>
                <w:color w:val="000000"/>
                <w:sz w:val="20"/>
                <w:szCs w:val="20"/>
              </w:rPr>
              <w:t>,</w:t>
            </w:r>
            <w:r w:rsidR="00C3456B">
              <w:rPr>
                <w:b/>
                <w:bCs/>
                <w:color w:val="000000"/>
                <w:sz w:val="20"/>
                <w:szCs w:val="20"/>
              </w:rPr>
              <w:t>338</w:t>
            </w:r>
            <w:r w:rsidR="00C3456B" w:rsidRPr="000142B3">
              <w:rPr>
                <w:b/>
                <w:bCs/>
                <w:color w:val="000000"/>
                <w:sz w:val="20"/>
                <w:szCs w:val="20"/>
              </w:rPr>
              <w:t xml:space="preserve"> </w:t>
            </w:r>
          </w:p>
        </w:tc>
        <w:tc>
          <w:tcPr>
            <w:tcW w:w="165" w:type="pct"/>
            <w:tcBorders>
              <w:top w:val="nil"/>
              <w:left w:val="nil"/>
              <w:bottom w:val="nil"/>
              <w:right w:val="nil"/>
            </w:tcBorders>
          </w:tcPr>
          <w:p w:rsidR="00C761B0" w:rsidRDefault="00C761B0">
            <w:pPr>
              <w:jc w:val="both"/>
              <w:rPr>
                <w:b/>
                <w:bCs/>
                <w:color w:val="000000"/>
                <w:sz w:val="20"/>
                <w:szCs w:val="20"/>
              </w:rPr>
            </w:pPr>
          </w:p>
        </w:tc>
        <w:tc>
          <w:tcPr>
            <w:tcW w:w="722" w:type="pct"/>
            <w:tcBorders>
              <w:top w:val="nil"/>
              <w:left w:val="nil"/>
              <w:bottom w:val="nil"/>
              <w:right w:val="nil"/>
            </w:tcBorders>
          </w:tcPr>
          <w:p w:rsidR="00C761B0" w:rsidRPr="0065029E" w:rsidRDefault="00C761B0" w:rsidP="00C96018">
            <w:pPr>
              <w:jc w:val="right"/>
              <w:rPr>
                <w:color w:val="000000"/>
                <w:sz w:val="20"/>
                <w:szCs w:val="20"/>
              </w:rPr>
            </w:pPr>
            <w:r>
              <w:rPr>
                <w:b/>
                <w:bCs/>
                <w:color w:val="000000"/>
                <w:sz w:val="20"/>
                <w:szCs w:val="20"/>
              </w:rPr>
              <w:t xml:space="preserve">$2,786 </w:t>
            </w:r>
          </w:p>
        </w:tc>
      </w:tr>
      <w:tr w:rsidR="00C761B0">
        <w:trPr>
          <w:trHeight w:val="270"/>
        </w:trPr>
        <w:tc>
          <w:tcPr>
            <w:tcW w:w="3258" w:type="pct"/>
            <w:tcBorders>
              <w:top w:val="nil"/>
              <w:left w:val="nil"/>
              <w:bottom w:val="nil"/>
              <w:right w:val="nil"/>
            </w:tcBorders>
          </w:tcPr>
          <w:p w:rsidR="00C761B0" w:rsidRDefault="00C761B0">
            <w:pPr>
              <w:jc w:val="both"/>
              <w:rPr>
                <w:color w:val="000000"/>
                <w:sz w:val="20"/>
                <w:szCs w:val="20"/>
              </w:rPr>
            </w:pPr>
            <w:r>
              <w:rPr>
                <w:color w:val="000000"/>
                <w:sz w:val="20"/>
                <w:szCs w:val="20"/>
              </w:rPr>
              <w:t>Long-term assets</w:t>
            </w:r>
          </w:p>
        </w:tc>
        <w:tc>
          <w:tcPr>
            <w:tcW w:w="855" w:type="pct"/>
            <w:tcBorders>
              <w:top w:val="nil"/>
              <w:left w:val="nil"/>
              <w:bottom w:val="single" w:sz="8" w:space="0" w:color="auto"/>
              <w:right w:val="nil"/>
            </w:tcBorders>
          </w:tcPr>
          <w:p w:rsidR="00C761B0" w:rsidRDefault="00C3456B">
            <w:pPr>
              <w:jc w:val="right"/>
              <w:rPr>
                <w:b/>
                <w:bCs/>
                <w:sz w:val="20"/>
                <w:szCs w:val="20"/>
              </w:rPr>
            </w:pPr>
            <w:r>
              <w:rPr>
                <w:b/>
                <w:bCs/>
                <w:sz w:val="20"/>
                <w:szCs w:val="20"/>
              </w:rPr>
              <w:t>57</w:t>
            </w:r>
            <w:r w:rsidRPr="000142B3">
              <w:rPr>
                <w:b/>
                <w:bCs/>
                <w:sz w:val="20"/>
                <w:szCs w:val="20"/>
              </w:rPr>
              <w:t xml:space="preserve"> </w:t>
            </w:r>
          </w:p>
        </w:tc>
        <w:tc>
          <w:tcPr>
            <w:tcW w:w="165" w:type="pct"/>
            <w:tcBorders>
              <w:top w:val="nil"/>
              <w:left w:val="nil"/>
              <w:bottom w:val="nil"/>
              <w:right w:val="nil"/>
            </w:tcBorders>
          </w:tcPr>
          <w:p w:rsidR="00C761B0" w:rsidRDefault="00C761B0">
            <w:pPr>
              <w:jc w:val="both"/>
              <w:rPr>
                <w:b/>
                <w:bCs/>
                <w:color w:val="000000"/>
                <w:sz w:val="20"/>
                <w:szCs w:val="20"/>
              </w:rPr>
            </w:pPr>
          </w:p>
        </w:tc>
        <w:tc>
          <w:tcPr>
            <w:tcW w:w="722" w:type="pct"/>
            <w:tcBorders>
              <w:top w:val="nil"/>
              <w:left w:val="nil"/>
              <w:bottom w:val="nil"/>
              <w:right w:val="nil"/>
            </w:tcBorders>
          </w:tcPr>
          <w:p w:rsidR="00C761B0" w:rsidRPr="0065029E" w:rsidRDefault="00C761B0" w:rsidP="00C96018">
            <w:pPr>
              <w:jc w:val="right"/>
              <w:rPr>
                <w:color w:val="000000"/>
                <w:sz w:val="20"/>
                <w:szCs w:val="20"/>
              </w:rPr>
            </w:pPr>
            <w:r>
              <w:rPr>
                <w:b/>
                <w:bCs/>
                <w:sz w:val="20"/>
                <w:szCs w:val="20"/>
              </w:rPr>
              <w:t xml:space="preserve">214 </w:t>
            </w:r>
          </w:p>
        </w:tc>
      </w:tr>
      <w:tr w:rsidR="00003302">
        <w:trPr>
          <w:trHeight w:val="270"/>
        </w:trPr>
        <w:tc>
          <w:tcPr>
            <w:tcW w:w="3258" w:type="pct"/>
            <w:tcBorders>
              <w:top w:val="nil"/>
              <w:left w:val="nil"/>
              <w:bottom w:val="nil"/>
              <w:right w:val="nil"/>
            </w:tcBorders>
          </w:tcPr>
          <w:p w:rsidR="00003302" w:rsidRDefault="00003302">
            <w:pPr>
              <w:jc w:val="both"/>
              <w:rPr>
                <w:color w:val="000000"/>
                <w:sz w:val="20"/>
                <w:szCs w:val="20"/>
              </w:rPr>
            </w:pPr>
            <w:r>
              <w:rPr>
                <w:color w:val="000000"/>
                <w:sz w:val="20"/>
                <w:szCs w:val="20"/>
              </w:rPr>
              <w:t>Net deferred tax assets</w:t>
            </w:r>
          </w:p>
        </w:tc>
        <w:tc>
          <w:tcPr>
            <w:tcW w:w="855" w:type="pct"/>
            <w:tcBorders>
              <w:top w:val="single" w:sz="4" w:space="0" w:color="auto"/>
              <w:left w:val="nil"/>
              <w:bottom w:val="double" w:sz="6" w:space="0" w:color="auto"/>
              <w:right w:val="nil"/>
            </w:tcBorders>
          </w:tcPr>
          <w:p w:rsidR="00003302" w:rsidRDefault="00003302" w:rsidP="00855E18">
            <w:pPr>
              <w:jc w:val="right"/>
              <w:rPr>
                <w:b/>
                <w:bCs/>
                <w:color w:val="000000"/>
                <w:sz w:val="20"/>
                <w:szCs w:val="20"/>
              </w:rPr>
            </w:pPr>
            <w:r w:rsidRPr="000142B3">
              <w:rPr>
                <w:b/>
                <w:bCs/>
                <w:color w:val="000000"/>
                <w:sz w:val="20"/>
                <w:szCs w:val="20"/>
              </w:rPr>
              <w:t>$</w:t>
            </w:r>
            <w:r>
              <w:rPr>
                <w:b/>
                <w:bCs/>
                <w:color w:val="000000"/>
                <w:sz w:val="20"/>
                <w:szCs w:val="20"/>
              </w:rPr>
              <w:t>2,395</w:t>
            </w:r>
            <w:r w:rsidRPr="000142B3">
              <w:rPr>
                <w:b/>
                <w:bCs/>
                <w:color w:val="000000"/>
                <w:sz w:val="20"/>
                <w:szCs w:val="20"/>
              </w:rPr>
              <w:t xml:space="preserve"> </w:t>
            </w:r>
          </w:p>
        </w:tc>
        <w:tc>
          <w:tcPr>
            <w:tcW w:w="165" w:type="pct"/>
            <w:tcBorders>
              <w:top w:val="nil"/>
              <w:left w:val="nil"/>
              <w:bottom w:val="nil"/>
              <w:right w:val="nil"/>
            </w:tcBorders>
          </w:tcPr>
          <w:p w:rsidR="00003302" w:rsidRDefault="00003302">
            <w:pPr>
              <w:jc w:val="both"/>
              <w:rPr>
                <w:b/>
                <w:bCs/>
                <w:color w:val="000000"/>
                <w:sz w:val="20"/>
                <w:szCs w:val="20"/>
              </w:rPr>
            </w:pPr>
          </w:p>
        </w:tc>
        <w:tc>
          <w:tcPr>
            <w:tcW w:w="722" w:type="pct"/>
            <w:tcBorders>
              <w:top w:val="single" w:sz="4" w:space="0" w:color="auto"/>
              <w:left w:val="nil"/>
              <w:bottom w:val="double" w:sz="6" w:space="0" w:color="auto"/>
              <w:right w:val="nil"/>
            </w:tcBorders>
          </w:tcPr>
          <w:p w:rsidR="00003302" w:rsidRPr="0065029E" w:rsidRDefault="00003302">
            <w:pPr>
              <w:jc w:val="right"/>
              <w:rPr>
                <w:color w:val="000000"/>
                <w:sz w:val="20"/>
                <w:szCs w:val="20"/>
              </w:rPr>
            </w:pPr>
            <w:r>
              <w:rPr>
                <w:b/>
                <w:bCs/>
                <w:color w:val="000000"/>
                <w:sz w:val="20"/>
                <w:szCs w:val="20"/>
              </w:rPr>
              <w:t xml:space="preserve">$3,000 </w:t>
            </w:r>
          </w:p>
        </w:tc>
      </w:tr>
    </w:tbl>
    <w:p w:rsidR="004851D7" w:rsidRDefault="004851D7">
      <w:pPr>
        <w:ind w:firstLine="720"/>
        <w:rPr>
          <w:sz w:val="20"/>
        </w:rPr>
      </w:pPr>
      <w:r>
        <w:rPr>
          <w:vanish/>
          <w:sz w:val="20"/>
        </w:rPr>
        <w:t>alance sheets as follows:to the net deferred income tax liabilities described above have been included in the accompanying abl</w:t>
      </w:r>
    </w:p>
    <w:p w:rsidR="004851D7" w:rsidRDefault="004851D7">
      <w:pPr>
        <w:ind w:firstLine="720"/>
        <w:rPr>
          <w:sz w:val="20"/>
        </w:rPr>
      </w:pPr>
    </w:p>
    <w:p w:rsidR="004851D7" w:rsidRDefault="004851D7">
      <w:pPr>
        <w:ind w:firstLine="720"/>
        <w:rPr>
          <w:sz w:val="20"/>
        </w:rPr>
      </w:pPr>
      <w:r>
        <w:rPr>
          <w:sz w:val="20"/>
        </w:rPr>
        <w:t>The components of income tax are as follows:</w:t>
      </w:r>
    </w:p>
    <w:tbl>
      <w:tblPr>
        <w:tblW w:w="5000" w:type="pct"/>
        <w:tblLook w:val="00A0" w:firstRow="1" w:lastRow="0" w:firstColumn="1" w:lastColumn="0" w:noHBand="0" w:noVBand="0"/>
      </w:tblPr>
      <w:tblGrid>
        <w:gridCol w:w="6276"/>
        <w:gridCol w:w="1651"/>
        <w:gridCol w:w="318"/>
        <w:gridCol w:w="1389"/>
      </w:tblGrid>
      <w:tr w:rsidR="004851D7">
        <w:trPr>
          <w:trHeight w:val="315"/>
        </w:trPr>
        <w:tc>
          <w:tcPr>
            <w:tcW w:w="3257" w:type="pct"/>
            <w:tcBorders>
              <w:top w:val="nil"/>
              <w:left w:val="nil"/>
              <w:bottom w:val="nil"/>
              <w:right w:val="nil"/>
            </w:tcBorders>
          </w:tcPr>
          <w:p w:rsidR="004851D7" w:rsidRDefault="004851D7">
            <w:pPr>
              <w:jc w:val="center"/>
              <w:rPr>
                <w:rFonts w:ascii="CG Times" w:hAnsi="CG Times"/>
                <w:color w:val="000000"/>
              </w:rPr>
            </w:pPr>
          </w:p>
        </w:tc>
        <w:tc>
          <w:tcPr>
            <w:tcW w:w="1743" w:type="pct"/>
            <w:gridSpan w:val="3"/>
            <w:tcBorders>
              <w:top w:val="nil"/>
              <w:left w:val="nil"/>
              <w:bottom w:val="nil"/>
              <w:right w:val="nil"/>
            </w:tcBorders>
          </w:tcPr>
          <w:p w:rsidR="004851D7" w:rsidRDefault="004851D7">
            <w:pPr>
              <w:jc w:val="center"/>
              <w:rPr>
                <w:b/>
                <w:bCs/>
                <w:color w:val="000000"/>
                <w:sz w:val="20"/>
                <w:szCs w:val="20"/>
              </w:rPr>
            </w:pPr>
            <w:r>
              <w:rPr>
                <w:b/>
                <w:bCs/>
                <w:color w:val="000000"/>
                <w:sz w:val="20"/>
                <w:szCs w:val="20"/>
              </w:rPr>
              <w:t>December 31,</w:t>
            </w:r>
          </w:p>
        </w:tc>
      </w:tr>
      <w:tr w:rsidR="004851D7">
        <w:trPr>
          <w:trHeight w:val="270"/>
        </w:trPr>
        <w:tc>
          <w:tcPr>
            <w:tcW w:w="3257" w:type="pct"/>
            <w:tcBorders>
              <w:top w:val="nil"/>
              <w:left w:val="nil"/>
              <w:bottom w:val="nil"/>
              <w:right w:val="nil"/>
            </w:tcBorders>
          </w:tcPr>
          <w:p w:rsidR="004851D7" w:rsidRDefault="004851D7">
            <w:pPr>
              <w:jc w:val="center"/>
              <w:rPr>
                <w:color w:val="000000"/>
                <w:sz w:val="20"/>
                <w:szCs w:val="20"/>
              </w:rPr>
            </w:pPr>
          </w:p>
        </w:tc>
        <w:tc>
          <w:tcPr>
            <w:tcW w:w="857" w:type="pct"/>
            <w:tcBorders>
              <w:top w:val="nil"/>
              <w:left w:val="nil"/>
              <w:bottom w:val="single" w:sz="8" w:space="0" w:color="auto"/>
              <w:right w:val="nil"/>
            </w:tcBorders>
          </w:tcPr>
          <w:p w:rsidR="004851D7" w:rsidRDefault="00855E18" w:rsidP="00855E18">
            <w:pPr>
              <w:jc w:val="center"/>
              <w:rPr>
                <w:b/>
                <w:bCs/>
                <w:color w:val="000000"/>
                <w:sz w:val="20"/>
                <w:szCs w:val="20"/>
              </w:rPr>
            </w:pPr>
            <w:r>
              <w:rPr>
                <w:b/>
                <w:bCs/>
                <w:color w:val="000000"/>
                <w:sz w:val="20"/>
                <w:szCs w:val="20"/>
              </w:rPr>
              <w:t>2011</w:t>
            </w:r>
          </w:p>
        </w:tc>
        <w:tc>
          <w:tcPr>
            <w:tcW w:w="165" w:type="pct"/>
            <w:tcBorders>
              <w:top w:val="nil"/>
              <w:left w:val="nil"/>
              <w:bottom w:val="nil"/>
              <w:right w:val="nil"/>
            </w:tcBorders>
          </w:tcPr>
          <w:p w:rsidR="004851D7" w:rsidRDefault="004851D7">
            <w:pPr>
              <w:jc w:val="center"/>
              <w:rPr>
                <w:b/>
                <w:bCs/>
                <w:color w:val="000000"/>
                <w:sz w:val="20"/>
                <w:szCs w:val="20"/>
              </w:rPr>
            </w:pPr>
          </w:p>
        </w:tc>
        <w:tc>
          <w:tcPr>
            <w:tcW w:w="721" w:type="pct"/>
            <w:tcBorders>
              <w:top w:val="nil"/>
              <w:left w:val="nil"/>
              <w:bottom w:val="single" w:sz="8" w:space="0" w:color="auto"/>
              <w:right w:val="nil"/>
            </w:tcBorders>
          </w:tcPr>
          <w:p w:rsidR="004851D7" w:rsidRDefault="00855E18" w:rsidP="00855E18">
            <w:pPr>
              <w:jc w:val="center"/>
              <w:rPr>
                <w:color w:val="000000"/>
                <w:sz w:val="20"/>
                <w:szCs w:val="20"/>
              </w:rPr>
            </w:pPr>
            <w:r>
              <w:rPr>
                <w:color w:val="000000"/>
                <w:sz w:val="20"/>
                <w:szCs w:val="20"/>
              </w:rPr>
              <w:t>2010</w:t>
            </w:r>
          </w:p>
        </w:tc>
      </w:tr>
      <w:tr w:rsidR="004851D7">
        <w:trPr>
          <w:trHeight w:val="255"/>
        </w:trPr>
        <w:tc>
          <w:tcPr>
            <w:tcW w:w="3257" w:type="pct"/>
            <w:tcBorders>
              <w:top w:val="nil"/>
              <w:left w:val="nil"/>
              <w:bottom w:val="nil"/>
              <w:right w:val="nil"/>
            </w:tcBorders>
          </w:tcPr>
          <w:p w:rsidR="004851D7" w:rsidRDefault="004851D7">
            <w:pPr>
              <w:jc w:val="both"/>
              <w:rPr>
                <w:color w:val="000000"/>
                <w:sz w:val="20"/>
                <w:szCs w:val="20"/>
              </w:rPr>
            </w:pPr>
          </w:p>
        </w:tc>
        <w:tc>
          <w:tcPr>
            <w:tcW w:w="1743" w:type="pct"/>
            <w:gridSpan w:val="3"/>
            <w:tcBorders>
              <w:top w:val="nil"/>
              <w:left w:val="nil"/>
              <w:bottom w:val="nil"/>
              <w:right w:val="nil"/>
            </w:tcBorders>
          </w:tcPr>
          <w:p w:rsidR="004851D7" w:rsidRDefault="004851D7">
            <w:pPr>
              <w:jc w:val="center"/>
              <w:rPr>
                <w:i/>
                <w:iCs/>
                <w:color w:val="000000"/>
                <w:sz w:val="20"/>
                <w:szCs w:val="20"/>
              </w:rPr>
            </w:pPr>
            <w:r>
              <w:rPr>
                <w:i/>
                <w:iCs/>
                <w:color w:val="000000"/>
                <w:sz w:val="20"/>
                <w:szCs w:val="20"/>
              </w:rPr>
              <w:t>(In thousands)</w:t>
            </w:r>
          </w:p>
        </w:tc>
      </w:tr>
      <w:tr w:rsidR="004851D7">
        <w:trPr>
          <w:trHeight w:val="255"/>
        </w:trPr>
        <w:tc>
          <w:tcPr>
            <w:tcW w:w="3257" w:type="pct"/>
            <w:tcBorders>
              <w:top w:val="nil"/>
              <w:left w:val="nil"/>
              <w:bottom w:val="nil"/>
              <w:right w:val="nil"/>
            </w:tcBorders>
          </w:tcPr>
          <w:p w:rsidR="004851D7" w:rsidRDefault="004851D7">
            <w:pPr>
              <w:jc w:val="both"/>
              <w:rPr>
                <w:color w:val="000000"/>
                <w:sz w:val="20"/>
                <w:szCs w:val="20"/>
              </w:rPr>
            </w:pPr>
          </w:p>
        </w:tc>
        <w:tc>
          <w:tcPr>
            <w:tcW w:w="857" w:type="pct"/>
            <w:tcBorders>
              <w:top w:val="nil"/>
              <w:left w:val="nil"/>
              <w:bottom w:val="nil"/>
              <w:right w:val="nil"/>
            </w:tcBorders>
          </w:tcPr>
          <w:p w:rsidR="004851D7" w:rsidRDefault="004851D7">
            <w:pPr>
              <w:jc w:val="right"/>
              <w:rPr>
                <w:b/>
                <w:bCs/>
                <w:color w:val="000000"/>
                <w:sz w:val="20"/>
                <w:szCs w:val="20"/>
              </w:rPr>
            </w:pPr>
          </w:p>
        </w:tc>
        <w:tc>
          <w:tcPr>
            <w:tcW w:w="165" w:type="pct"/>
            <w:tcBorders>
              <w:top w:val="nil"/>
              <w:left w:val="nil"/>
              <w:bottom w:val="nil"/>
              <w:right w:val="nil"/>
            </w:tcBorders>
          </w:tcPr>
          <w:p w:rsidR="004851D7" w:rsidRDefault="004851D7">
            <w:pPr>
              <w:jc w:val="both"/>
              <w:rPr>
                <w:b/>
                <w:bCs/>
                <w:color w:val="000000"/>
                <w:sz w:val="20"/>
                <w:szCs w:val="20"/>
              </w:rPr>
            </w:pPr>
          </w:p>
        </w:tc>
        <w:tc>
          <w:tcPr>
            <w:tcW w:w="721" w:type="pct"/>
            <w:tcBorders>
              <w:top w:val="nil"/>
              <w:left w:val="nil"/>
              <w:bottom w:val="nil"/>
              <w:right w:val="nil"/>
            </w:tcBorders>
          </w:tcPr>
          <w:p w:rsidR="004851D7" w:rsidRDefault="004851D7">
            <w:pPr>
              <w:jc w:val="right"/>
              <w:rPr>
                <w:color w:val="000000"/>
                <w:sz w:val="20"/>
                <w:szCs w:val="20"/>
              </w:rPr>
            </w:pPr>
          </w:p>
        </w:tc>
      </w:tr>
      <w:tr w:rsidR="00003302">
        <w:trPr>
          <w:trHeight w:val="255"/>
        </w:trPr>
        <w:tc>
          <w:tcPr>
            <w:tcW w:w="3257" w:type="pct"/>
            <w:tcBorders>
              <w:top w:val="nil"/>
              <w:left w:val="nil"/>
              <w:bottom w:val="nil"/>
              <w:right w:val="nil"/>
            </w:tcBorders>
          </w:tcPr>
          <w:p w:rsidR="00003302" w:rsidRDefault="00003302" w:rsidP="00CC4FFC">
            <w:pPr>
              <w:jc w:val="both"/>
              <w:rPr>
                <w:color w:val="000000"/>
                <w:sz w:val="20"/>
                <w:szCs w:val="20"/>
              </w:rPr>
            </w:pPr>
            <w:r>
              <w:rPr>
                <w:color w:val="000000"/>
                <w:sz w:val="20"/>
                <w:szCs w:val="20"/>
              </w:rPr>
              <w:t>Current tax expense (benefit)</w:t>
            </w:r>
          </w:p>
        </w:tc>
        <w:tc>
          <w:tcPr>
            <w:tcW w:w="857" w:type="pct"/>
            <w:tcBorders>
              <w:top w:val="nil"/>
              <w:left w:val="nil"/>
              <w:bottom w:val="nil"/>
              <w:right w:val="nil"/>
            </w:tcBorders>
          </w:tcPr>
          <w:p w:rsidR="00003302" w:rsidRDefault="00003302" w:rsidP="00855E18">
            <w:pPr>
              <w:jc w:val="right"/>
              <w:rPr>
                <w:b/>
                <w:bCs/>
                <w:color w:val="000000"/>
                <w:sz w:val="20"/>
                <w:szCs w:val="20"/>
              </w:rPr>
            </w:pPr>
            <w:r w:rsidRPr="00ED5C24">
              <w:rPr>
                <w:b/>
                <w:bCs/>
                <w:color w:val="000000"/>
                <w:sz w:val="20"/>
                <w:szCs w:val="20"/>
              </w:rPr>
              <w:t>$</w:t>
            </w:r>
            <w:r>
              <w:rPr>
                <w:b/>
                <w:bCs/>
                <w:color w:val="000000"/>
                <w:sz w:val="20"/>
                <w:szCs w:val="20"/>
              </w:rPr>
              <w:t>85</w:t>
            </w:r>
            <w:r w:rsidRPr="00ED5C24">
              <w:rPr>
                <w:b/>
                <w:bCs/>
                <w:color w:val="000000"/>
                <w:sz w:val="20"/>
                <w:szCs w:val="20"/>
              </w:rPr>
              <w:t xml:space="preserve"> </w:t>
            </w:r>
          </w:p>
        </w:tc>
        <w:tc>
          <w:tcPr>
            <w:tcW w:w="165" w:type="pct"/>
            <w:tcBorders>
              <w:top w:val="nil"/>
              <w:left w:val="nil"/>
              <w:bottom w:val="nil"/>
              <w:right w:val="nil"/>
            </w:tcBorders>
          </w:tcPr>
          <w:p w:rsidR="00003302" w:rsidRDefault="00003302">
            <w:pPr>
              <w:jc w:val="both"/>
              <w:rPr>
                <w:b/>
                <w:bCs/>
                <w:color w:val="000000"/>
                <w:sz w:val="20"/>
                <w:szCs w:val="20"/>
              </w:rPr>
            </w:pPr>
          </w:p>
        </w:tc>
        <w:tc>
          <w:tcPr>
            <w:tcW w:w="721" w:type="pct"/>
            <w:tcBorders>
              <w:top w:val="nil"/>
              <w:left w:val="nil"/>
              <w:bottom w:val="nil"/>
              <w:right w:val="nil"/>
            </w:tcBorders>
          </w:tcPr>
          <w:p w:rsidR="00003302" w:rsidRPr="00855E18" w:rsidRDefault="00003302">
            <w:pPr>
              <w:jc w:val="right"/>
              <w:rPr>
                <w:color w:val="000000"/>
                <w:sz w:val="20"/>
                <w:szCs w:val="20"/>
              </w:rPr>
            </w:pPr>
            <w:r w:rsidRPr="00855E18">
              <w:rPr>
                <w:bCs/>
                <w:color w:val="000000"/>
                <w:sz w:val="20"/>
                <w:szCs w:val="20"/>
              </w:rPr>
              <w:t xml:space="preserve">$(25) </w:t>
            </w:r>
          </w:p>
        </w:tc>
      </w:tr>
      <w:tr w:rsidR="00003302">
        <w:trPr>
          <w:trHeight w:val="270"/>
        </w:trPr>
        <w:tc>
          <w:tcPr>
            <w:tcW w:w="3257" w:type="pct"/>
            <w:tcBorders>
              <w:top w:val="nil"/>
              <w:left w:val="nil"/>
              <w:bottom w:val="nil"/>
              <w:right w:val="nil"/>
            </w:tcBorders>
          </w:tcPr>
          <w:p w:rsidR="00003302" w:rsidRDefault="00003302">
            <w:pPr>
              <w:jc w:val="both"/>
              <w:rPr>
                <w:color w:val="000000"/>
                <w:sz w:val="20"/>
                <w:szCs w:val="20"/>
              </w:rPr>
            </w:pPr>
            <w:r>
              <w:rPr>
                <w:color w:val="000000"/>
                <w:sz w:val="20"/>
                <w:szCs w:val="20"/>
              </w:rPr>
              <w:t xml:space="preserve">Deferred tax expense (benefit) </w:t>
            </w:r>
          </w:p>
        </w:tc>
        <w:tc>
          <w:tcPr>
            <w:tcW w:w="857" w:type="pct"/>
            <w:tcBorders>
              <w:top w:val="nil"/>
              <w:left w:val="nil"/>
              <w:bottom w:val="single" w:sz="8" w:space="0" w:color="auto"/>
              <w:right w:val="nil"/>
            </w:tcBorders>
          </w:tcPr>
          <w:p w:rsidR="00003302" w:rsidRDefault="00003302" w:rsidP="00855E18">
            <w:pPr>
              <w:jc w:val="right"/>
              <w:rPr>
                <w:b/>
                <w:bCs/>
                <w:sz w:val="20"/>
                <w:szCs w:val="20"/>
              </w:rPr>
            </w:pPr>
            <w:r>
              <w:rPr>
                <w:b/>
                <w:bCs/>
                <w:sz w:val="20"/>
                <w:szCs w:val="20"/>
              </w:rPr>
              <w:t>165</w:t>
            </w:r>
          </w:p>
        </w:tc>
        <w:tc>
          <w:tcPr>
            <w:tcW w:w="165" w:type="pct"/>
            <w:tcBorders>
              <w:top w:val="nil"/>
              <w:left w:val="nil"/>
              <w:bottom w:val="nil"/>
              <w:right w:val="nil"/>
            </w:tcBorders>
          </w:tcPr>
          <w:p w:rsidR="00003302" w:rsidRDefault="00003302">
            <w:pPr>
              <w:jc w:val="both"/>
              <w:rPr>
                <w:b/>
                <w:bCs/>
                <w:color w:val="000000"/>
                <w:sz w:val="20"/>
                <w:szCs w:val="20"/>
              </w:rPr>
            </w:pPr>
          </w:p>
        </w:tc>
        <w:tc>
          <w:tcPr>
            <w:tcW w:w="721" w:type="pct"/>
            <w:tcBorders>
              <w:top w:val="nil"/>
              <w:left w:val="nil"/>
              <w:bottom w:val="nil"/>
              <w:right w:val="nil"/>
            </w:tcBorders>
          </w:tcPr>
          <w:p w:rsidR="00003302" w:rsidRPr="00855E18" w:rsidRDefault="00003302">
            <w:pPr>
              <w:jc w:val="right"/>
              <w:rPr>
                <w:color w:val="000000"/>
                <w:sz w:val="20"/>
                <w:szCs w:val="20"/>
              </w:rPr>
            </w:pPr>
            <w:r w:rsidRPr="00855E18">
              <w:rPr>
                <w:bCs/>
                <w:sz w:val="20"/>
                <w:szCs w:val="20"/>
              </w:rPr>
              <w:t>(436)</w:t>
            </w:r>
          </w:p>
        </w:tc>
      </w:tr>
      <w:tr w:rsidR="00003302">
        <w:trPr>
          <w:trHeight w:val="270"/>
        </w:trPr>
        <w:tc>
          <w:tcPr>
            <w:tcW w:w="3257" w:type="pct"/>
            <w:tcBorders>
              <w:top w:val="nil"/>
              <w:left w:val="nil"/>
              <w:bottom w:val="nil"/>
              <w:right w:val="nil"/>
            </w:tcBorders>
          </w:tcPr>
          <w:p w:rsidR="00003302" w:rsidRDefault="00003302" w:rsidP="0065029E">
            <w:pPr>
              <w:jc w:val="both"/>
              <w:rPr>
                <w:color w:val="000000"/>
                <w:sz w:val="20"/>
                <w:szCs w:val="20"/>
              </w:rPr>
            </w:pPr>
            <w:r>
              <w:rPr>
                <w:color w:val="000000"/>
                <w:sz w:val="20"/>
                <w:szCs w:val="20"/>
              </w:rPr>
              <w:t>Total tax expense (benefit)</w:t>
            </w:r>
          </w:p>
        </w:tc>
        <w:tc>
          <w:tcPr>
            <w:tcW w:w="857" w:type="pct"/>
            <w:tcBorders>
              <w:top w:val="single" w:sz="4" w:space="0" w:color="auto"/>
              <w:left w:val="nil"/>
              <w:bottom w:val="double" w:sz="6" w:space="0" w:color="auto"/>
              <w:right w:val="nil"/>
            </w:tcBorders>
          </w:tcPr>
          <w:p w:rsidR="00003302" w:rsidRDefault="00003302" w:rsidP="00855E18">
            <w:pPr>
              <w:jc w:val="right"/>
              <w:rPr>
                <w:b/>
                <w:bCs/>
                <w:color w:val="000000"/>
                <w:sz w:val="20"/>
                <w:szCs w:val="20"/>
              </w:rPr>
            </w:pPr>
            <w:r w:rsidRPr="00ED5C24">
              <w:rPr>
                <w:b/>
                <w:bCs/>
                <w:color w:val="000000"/>
                <w:sz w:val="20"/>
                <w:szCs w:val="20"/>
              </w:rPr>
              <w:t>$</w:t>
            </w:r>
            <w:r>
              <w:rPr>
                <w:b/>
                <w:bCs/>
                <w:color w:val="000000"/>
                <w:sz w:val="20"/>
                <w:szCs w:val="20"/>
              </w:rPr>
              <w:t>250</w:t>
            </w:r>
          </w:p>
        </w:tc>
        <w:tc>
          <w:tcPr>
            <w:tcW w:w="165" w:type="pct"/>
            <w:tcBorders>
              <w:top w:val="nil"/>
              <w:left w:val="nil"/>
              <w:bottom w:val="nil"/>
              <w:right w:val="nil"/>
            </w:tcBorders>
          </w:tcPr>
          <w:p w:rsidR="00003302" w:rsidRDefault="00003302">
            <w:pPr>
              <w:jc w:val="both"/>
              <w:rPr>
                <w:b/>
                <w:bCs/>
                <w:color w:val="000000"/>
                <w:sz w:val="20"/>
                <w:szCs w:val="20"/>
              </w:rPr>
            </w:pPr>
          </w:p>
        </w:tc>
        <w:tc>
          <w:tcPr>
            <w:tcW w:w="721" w:type="pct"/>
            <w:tcBorders>
              <w:top w:val="single" w:sz="4" w:space="0" w:color="auto"/>
              <w:left w:val="nil"/>
              <w:bottom w:val="double" w:sz="6" w:space="0" w:color="auto"/>
              <w:right w:val="nil"/>
            </w:tcBorders>
          </w:tcPr>
          <w:p w:rsidR="00003302" w:rsidRPr="00855E18" w:rsidRDefault="00003302">
            <w:pPr>
              <w:jc w:val="right"/>
              <w:rPr>
                <w:color w:val="000000"/>
                <w:sz w:val="20"/>
                <w:szCs w:val="20"/>
              </w:rPr>
            </w:pPr>
            <w:r w:rsidRPr="00855E18">
              <w:rPr>
                <w:bCs/>
                <w:color w:val="000000"/>
                <w:sz w:val="20"/>
                <w:szCs w:val="20"/>
              </w:rPr>
              <w:t>($461)</w:t>
            </w:r>
          </w:p>
        </w:tc>
      </w:tr>
    </w:tbl>
    <w:p w:rsidR="004851D7" w:rsidRDefault="004851D7">
      <w:pPr>
        <w:rPr>
          <w:sz w:val="20"/>
        </w:rPr>
      </w:pPr>
    </w:p>
    <w:p w:rsidR="004851D7" w:rsidRDefault="004851D7">
      <w:pPr>
        <w:ind w:firstLine="720"/>
        <w:rPr>
          <w:sz w:val="20"/>
        </w:rPr>
      </w:pPr>
    </w:p>
    <w:p w:rsidR="004851D7" w:rsidRDefault="004851D7">
      <w:pPr>
        <w:ind w:firstLine="720"/>
        <w:rPr>
          <w:sz w:val="20"/>
        </w:rPr>
      </w:pPr>
    </w:p>
    <w:p w:rsidR="004851D7" w:rsidRDefault="004851D7">
      <w:pPr>
        <w:rPr>
          <w:b/>
          <w:bCs/>
          <w:sz w:val="20"/>
        </w:rPr>
      </w:pPr>
      <w:r w:rsidRPr="009A41A4">
        <w:rPr>
          <w:b/>
          <w:bCs/>
          <w:sz w:val="20"/>
        </w:rPr>
        <w:t>8.  Income Taxes (</w:t>
      </w:r>
      <w:r w:rsidR="00095858">
        <w:rPr>
          <w:b/>
          <w:bCs/>
          <w:sz w:val="20"/>
        </w:rPr>
        <w:t>C</w:t>
      </w:r>
      <w:r w:rsidRPr="009A41A4">
        <w:rPr>
          <w:b/>
          <w:bCs/>
          <w:sz w:val="20"/>
        </w:rPr>
        <w:t>ontinued)</w:t>
      </w:r>
    </w:p>
    <w:p w:rsidR="004851D7" w:rsidRDefault="004851D7">
      <w:pPr>
        <w:rPr>
          <w:sz w:val="20"/>
        </w:rPr>
      </w:pPr>
    </w:p>
    <w:p w:rsidR="00003302" w:rsidRPr="00A53062" w:rsidRDefault="00003302" w:rsidP="00C576B1">
      <w:pPr>
        <w:ind w:firstLine="720"/>
        <w:rPr>
          <w:sz w:val="20"/>
        </w:rPr>
      </w:pPr>
      <w:r w:rsidRPr="00A53062">
        <w:rPr>
          <w:sz w:val="20"/>
        </w:rPr>
        <w:t>Realization of deferred tax assets is dependent upon the generation of sufficient future taxable income. Management has determined that sufficient uncertainty exist</w:t>
      </w:r>
      <w:r>
        <w:rPr>
          <w:sz w:val="20"/>
        </w:rPr>
        <w:t xml:space="preserve">s regarding </w:t>
      </w:r>
      <w:proofErr w:type="spellStart"/>
      <w:r>
        <w:rPr>
          <w:sz w:val="20"/>
        </w:rPr>
        <w:t>realizability</w:t>
      </w:r>
      <w:proofErr w:type="spellEnd"/>
      <w:r>
        <w:rPr>
          <w:sz w:val="20"/>
        </w:rPr>
        <w:t xml:space="preserve"> of a portion of its</w:t>
      </w:r>
      <w:r w:rsidRPr="00A53062">
        <w:rPr>
          <w:sz w:val="20"/>
        </w:rPr>
        <w:t xml:space="preserve"> net deferred tax assets and has provided a valuation allowance </w:t>
      </w:r>
      <w:r>
        <w:rPr>
          <w:sz w:val="20"/>
        </w:rPr>
        <w:t xml:space="preserve">of $5,690,000 </w:t>
      </w:r>
      <w:r w:rsidRPr="00A53062">
        <w:rPr>
          <w:sz w:val="20"/>
        </w:rPr>
        <w:t xml:space="preserve">against </w:t>
      </w:r>
      <w:r w:rsidRPr="00A36E4F">
        <w:rPr>
          <w:sz w:val="20"/>
        </w:rPr>
        <w:t xml:space="preserve">the net deferred tax assets </w:t>
      </w:r>
      <w:r>
        <w:rPr>
          <w:sz w:val="20"/>
        </w:rPr>
        <w:t>as of December 31, 2011 and 2010.</w:t>
      </w:r>
    </w:p>
    <w:p w:rsidR="00003302" w:rsidRPr="00FF5313" w:rsidRDefault="00003302" w:rsidP="00C576B1">
      <w:pPr>
        <w:ind w:firstLine="720"/>
        <w:rPr>
          <w:sz w:val="20"/>
          <w:highlight w:val="yellow"/>
        </w:rPr>
      </w:pPr>
    </w:p>
    <w:p w:rsidR="00003302" w:rsidRPr="00A53062" w:rsidRDefault="00003302" w:rsidP="00003302">
      <w:pPr>
        <w:ind w:firstLine="720"/>
        <w:rPr>
          <w:sz w:val="20"/>
        </w:rPr>
      </w:pPr>
      <w:r w:rsidRPr="00A53062">
        <w:rPr>
          <w:sz w:val="20"/>
        </w:rPr>
        <w:t>A reconciliation of the income tax expense computed using the U.S. statutory rate (34%) to the effective income tax expense</w:t>
      </w:r>
      <w:r>
        <w:rPr>
          <w:sz w:val="20"/>
        </w:rPr>
        <w:t xml:space="preserve"> (benefit)</w:t>
      </w:r>
      <w:r w:rsidRPr="00A53062">
        <w:rPr>
          <w:sz w:val="20"/>
        </w:rPr>
        <w:t xml:space="preserve"> included in the statements of income is as follows:</w:t>
      </w:r>
    </w:p>
    <w:tbl>
      <w:tblPr>
        <w:tblW w:w="0" w:type="auto"/>
        <w:tblInd w:w="-8" w:type="dxa"/>
        <w:tblLayout w:type="fixed"/>
        <w:tblCellMar>
          <w:left w:w="0" w:type="dxa"/>
          <w:right w:w="0" w:type="dxa"/>
        </w:tblCellMar>
        <w:tblLook w:val="0000" w:firstRow="0" w:lastRow="0" w:firstColumn="0" w:lastColumn="0" w:noHBand="0" w:noVBand="0"/>
      </w:tblPr>
      <w:tblGrid>
        <w:gridCol w:w="5768"/>
        <w:gridCol w:w="1620"/>
        <w:gridCol w:w="180"/>
        <w:gridCol w:w="1440"/>
      </w:tblGrid>
      <w:tr w:rsidR="004851D7">
        <w:tc>
          <w:tcPr>
            <w:tcW w:w="5768" w:type="dxa"/>
            <w:tcBorders>
              <w:top w:val="nil"/>
              <w:left w:val="nil"/>
              <w:bottom w:val="nil"/>
              <w:right w:val="nil"/>
            </w:tcBorders>
          </w:tcPr>
          <w:p w:rsidR="004851D7" w:rsidRDefault="004851D7">
            <w:pPr>
              <w:pStyle w:val="in1"/>
              <w:ind w:left="0" w:firstLine="0"/>
              <w:jc w:val="center"/>
              <w:rPr>
                <w:rFonts w:ascii="CG Times" w:hAnsi="CG Times" w:cs="CG Times"/>
                <w:color w:val="000000"/>
                <w:highlight w:val="yellow"/>
              </w:rPr>
            </w:pPr>
          </w:p>
        </w:tc>
        <w:tc>
          <w:tcPr>
            <w:tcW w:w="3240" w:type="dxa"/>
            <w:gridSpan w:val="3"/>
            <w:tcBorders>
              <w:top w:val="nil"/>
              <w:left w:val="nil"/>
              <w:bottom w:val="nil"/>
              <w:right w:val="nil"/>
            </w:tcBorders>
          </w:tcPr>
          <w:p w:rsidR="004851D7" w:rsidRDefault="004851D7">
            <w:pPr>
              <w:jc w:val="center"/>
              <w:rPr>
                <w:b/>
                <w:bCs/>
                <w:color w:val="000000"/>
                <w:sz w:val="20"/>
                <w:szCs w:val="20"/>
              </w:rPr>
            </w:pPr>
            <w:r>
              <w:rPr>
                <w:b/>
                <w:bCs/>
                <w:color w:val="000000"/>
                <w:sz w:val="20"/>
                <w:szCs w:val="20"/>
              </w:rPr>
              <w:t>December 31,</w:t>
            </w:r>
          </w:p>
        </w:tc>
      </w:tr>
      <w:tr w:rsidR="004851D7">
        <w:tc>
          <w:tcPr>
            <w:tcW w:w="5768" w:type="dxa"/>
            <w:tcBorders>
              <w:top w:val="nil"/>
              <w:left w:val="nil"/>
              <w:bottom w:val="nil"/>
              <w:right w:val="nil"/>
            </w:tcBorders>
          </w:tcPr>
          <w:p w:rsidR="004851D7" w:rsidRDefault="004851D7">
            <w:pPr>
              <w:pStyle w:val="in1"/>
              <w:ind w:left="0" w:firstLine="0"/>
              <w:jc w:val="center"/>
              <w:rPr>
                <w:b/>
                <w:bCs/>
                <w:color w:val="000000"/>
                <w:sz w:val="20"/>
                <w:szCs w:val="20"/>
                <w:highlight w:val="yellow"/>
              </w:rPr>
            </w:pPr>
          </w:p>
        </w:tc>
        <w:tc>
          <w:tcPr>
            <w:tcW w:w="1620" w:type="dxa"/>
            <w:tcBorders>
              <w:top w:val="nil"/>
              <w:left w:val="nil"/>
              <w:bottom w:val="single" w:sz="6" w:space="0" w:color="auto"/>
              <w:right w:val="nil"/>
            </w:tcBorders>
          </w:tcPr>
          <w:p w:rsidR="004851D7" w:rsidRDefault="00855E18" w:rsidP="00855E18">
            <w:pPr>
              <w:jc w:val="center"/>
              <w:rPr>
                <w:b/>
                <w:bCs/>
                <w:color w:val="000000"/>
                <w:sz w:val="20"/>
                <w:szCs w:val="20"/>
              </w:rPr>
            </w:pPr>
            <w:r>
              <w:rPr>
                <w:b/>
                <w:bCs/>
                <w:color w:val="000000"/>
                <w:sz w:val="20"/>
                <w:szCs w:val="20"/>
              </w:rPr>
              <w:t>2011</w:t>
            </w:r>
          </w:p>
        </w:tc>
        <w:tc>
          <w:tcPr>
            <w:tcW w:w="180" w:type="dxa"/>
            <w:tcBorders>
              <w:top w:val="nil"/>
              <w:left w:val="nil"/>
              <w:bottom w:val="nil"/>
              <w:right w:val="nil"/>
            </w:tcBorders>
          </w:tcPr>
          <w:p w:rsidR="004851D7" w:rsidRDefault="004851D7">
            <w:pPr>
              <w:jc w:val="center"/>
              <w:rPr>
                <w:b/>
                <w:bCs/>
                <w:color w:val="000000"/>
                <w:sz w:val="20"/>
                <w:szCs w:val="20"/>
              </w:rPr>
            </w:pPr>
          </w:p>
        </w:tc>
        <w:tc>
          <w:tcPr>
            <w:tcW w:w="1440" w:type="dxa"/>
            <w:tcBorders>
              <w:top w:val="nil"/>
              <w:left w:val="nil"/>
              <w:bottom w:val="single" w:sz="6" w:space="0" w:color="auto"/>
              <w:right w:val="nil"/>
            </w:tcBorders>
          </w:tcPr>
          <w:p w:rsidR="004851D7" w:rsidRPr="00EF62BD" w:rsidRDefault="00855E18" w:rsidP="00855E18">
            <w:pPr>
              <w:jc w:val="center"/>
              <w:rPr>
                <w:bCs/>
                <w:color w:val="000000"/>
                <w:sz w:val="20"/>
                <w:szCs w:val="20"/>
              </w:rPr>
            </w:pPr>
            <w:r>
              <w:rPr>
                <w:bCs/>
                <w:color w:val="000000"/>
                <w:sz w:val="20"/>
                <w:szCs w:val="20"/>
              </w:rPr>
              <w:t>2010</w:t>
            </w:r>
          </w:p>
        </w:tc>
      </w:tr>
      <w:tr w:rsidR="004851D7">
        <w:tc>
          <w:tcPr>
            <w:tcW w:w="5768" w:type="dxa"/>
            <w:tcBorders>
              <w:top w:val="nil"/>
              <w:left w:val="nil"/>
              <w:bottom w:val="nil"/>
              <w:right w:val="nil"/>
            </w:tcBorders>
          </w:tcPr>
          <w:p w:rsidR="004851D7" w:rsidRDefault="004851D7">
            <w:pPr>
              <w:pStyle w:val="in1"/>
              <w:ind w:left="0" w:firstLine="0"/>
              <w:jc w:val="both"/>
              <w:rPr>
                <w:b/>
                <w:bCs/>
                <w:color w:val="000000"/>
                <w:sz w:val="20"/>
                <w:szCs w:val="20"/>
                <w:highlight w:val="yellow"/>
              </w:rPr>
            </w:pPr>
          </w:p>
        </w:tc>
        <w:tc>
          <w:tcPr>
            <w:tcW w:w="3240" w:type="dxa"/>
            <w:gridSpan w:val="3"/>
            <w:tcBorders>
              <w:top w:val="nil"/>
              <w:left w:val="nil"/>
              <w:bottom w:val="nil"/>
              <w:right w:val="nil"/>
            </w:tcBorders>
          </w:tcPr>
          <w:p w:rsidR="004851D7" w:rsidRPr="00EF62BD" w:rsidRDefault="004851D7">
            <w:pPr>
              <w:tabs>
                <w:tab w:val="decimal" w:pos="998"/>
              </w:tabs>
              <w:jc w:val="center"/>
              <w:rPr>
                <w:i/>
                <w:iCs/>
                <w:color w:val="000000"/>
                <w:sz w:val="20"/>
                <w:szCs w:val="20"/>
              </w:rPr>
            </w:pPr>
            <w:r w:rsidRPr="00EF62BD">
              <w:rPr>
                <w:i/>
                <w:iCs/>
                <w:color w:val="000000"/>
                <w:sz w:val="20"/>
                <w:szCs w:val="20"/>
              </w:rPr>
              <w:t>(In thousands)</w:t>
            </w:r>
          </w:p>
        </w:tc>
      </w:tr>
      <w:tr w:rsidR="004851D7">
        <w:tc>
          <w:tcPr>
            <w:tcW w:w="5768" w:type="dxa"/>
            <w:tcBorders>
              <w:top w:val="nil"/>
              <w:left w:val="nil"/>
              <w:bottom w:val="nil"/>
              <w:right w:val="nil"/>
            </w:tcBorders>
          </w:tcPr>
          <w:p w:rsidR="004851D7" w:rsidRDefault="004851D7">
            <w:pPr>
              <w:pStyle w:val="in1"/>
              <w:ind w:left="0" w:firstLine="0"/>
              <w:jc w:val="both"/>
              <w:rPr>
                <w:color w:val="000000"/>
                <w:sz w:val="20"/>
                <w:szCs w:val="20"/>
                <w:highlight w:val="yellow"/>
              </w:rPr>
            </w:pPr>
          </w:p>
        </w:tc>
        <w:tc>
          <w:tcPr>
            <w:tcW w:w="1620" w:type="dxa"/>
            <w:tcBorders>
              <w:top w:val="nil"/>
              <w:left w:val="nil"/>
              <w:bottom w:val="nil"/>
              <w:right w:val="nil"/>
            </w:tcBorders>
          </w:tcPr>
          <w:p w:rsidR="004851D7" w:rsidRDefault="004851D7">
            <w:pPr>
              <w:tabs>
                <w:tab w:val="decimal" w:pos="998"/>
              </w:tabs>
              <w:jc w:val="both"/>
              <w:rPr>
                <w:b/>
                <w:bCs/>
                <w:color w:val="000000"/>
                <w:sz w:val="20"/>
                <w:szCs w:val="20"/>
                <w:highlight w:val="yellow"/>
              </w:rPr>
            </w:pPr>
          </w:p>
        </w:tc>
        <w:tc>
          <w:tcPr>
            <w:tcW w:w="180" w:type="dxa"/>
            <w:tcBorders>
              <w:top w:val="nil"/>
              <w:left w:val="nil"/>
              <w:bottom w:val="nil"/>
              <w:right w:val="nil"/>
            </w:tcBorders>
          </w:tcPr>
          <w:p w:rsidR="004851D7" w:rsidRDefault="004851D7">
            <w:pPr>
              <w:tabs>
                <w:tab w:val="decimal" w:pos="998"/>
              </w:tabs>
              <w:jc w:val="both"/>
              <w:rPr>
                <w:b/>
                <w:bCs/>
                <w:color w:val="000000"/>
                <w:sz w:val="20"/>
                <w:szCs w:val="20"/>
                <w:highlight w:val="yellow"/>
              </w:rPr>
            </w:pPr>
          </w:p>
        </w:tc>
        <w:tc>
          <w:tcPr>
            <w:tcW w:w="1440" w:type="dxa"/>
            <w:tcBorders>
              <w:top w:val="nil"/>
              <w:left w:val="nil"/>
              <w:bottom w:val="nil"/>
              <w:right w:val="nil"/>
            </w:tcBorders>
          </w:tcPr>
          <w:p w:rsidR="004851D7" w:rsidRPr="00EF62BD" w:rsidRDefault="004851D7">
            <w:pPr>
              <w:tabs>
                <w:tab w:val="decimal" w:pos="998"/>
              </w:tabs>
              <w:jc w:val="both"/>
              <w:rPr>
                <w:bCs/>
                <w:color w:val="000000"/>
                <w:sz w:val="20"/>
                <w:szCs w:val="20"/>
                <w:highlight w:val="yellow"/>
              </w:rPr>
            </w:pPr>
          </w:p>
        </w:tc>
      </w:tr>
      <w:tr w:rsidR="00F1252C">
        <w:tc>
          <w:tcPr>
            <w:tcW w:w="5768" w:type="dxa"/>
            <w:tcBorders>
              <w:top w:val="nil"/>
              <w:left w:val="nil"/>
              <w:bottom w:val="nil"/>
              <w:right w:val="nil"/>
            </w:tcBorders>
          </w:tcPr>
          <w:p w:rsidR="00F1252C" w:rsidRDefault="00F1252C">
            <w:pPr>
              <w:pStyle w:val="in1"/>
              <w:ind w:left="0" w:firstLine="0"/>
              <w:jc w:val="both"/>
              <w:rPr>
                <w:color w:val="000000"/>
                <w:sz w:val="20"/>
                <w:szCs w:val="20"/>
              </w:rPr>
            </w:pPr>
            <w:r>
              <w:rPr>
                <w:color w:val="000000"/>
                <w:sz w:val="20"/>
                <w:szCs w:val="20"/>
              </w:rPr>
              <w:t>Income tax</w:t>
            </w:r>
            <w:r>
              <w:rPr>
                <w:sz w:val="20"/>
              </w:rPr>
              <w:t xml:space="preserve"> expense </w:t>
            </w:r>
            <w:r>
              <w:rPr>
                <w:color w:val="000000"/>
                <w:sz w:val="20"/>
                <w:szCs w:val="20"/>
              </w:rPr>
              <w:t>computed at the statutory rate</w:t>
            </w:r>
          </w:p>
        </w:tc>
        <w:tc>
          <w:tcPr>
            <w:tcW w:w="1620" w:type="dxa"/>
            <w:tcBorders>
              <w:top w:val="nil"/>
              <w:left w:val="nil"/>
              <w:bottom w:val="nil"/>
              <w:right w:val="nil"/>
            </w:tcBorders>
          </w:tcPr>
          <w:p w:rsidR="00F1252C" w:rsidRDefault="00F1252C" w:rsidP="00855E18">
            <w:pPr>
              <w:tabs>
                <w:tab w:val="decimal" w:pos="998"/>
              </w:tabs>
              <w:jc w:val="both"/>
              <w:rPr>
                <w:b/>
                <w:bCs/>
                <w:color w:val="000000"/>
                <w:sz w:val="20"/>
                <w:szCs w:val="20"/>
              </w:rPr>
            </w:pPr>
            <w:r w:rsidRPr="00E111E3">
              <w:rPr>
                <w:b/>
                <w:bCs/>
                <w:color w:val="000000"/>
                <w:sz w:val="20"/>
                <w:szCs w:val="20"/>
              </w:rPr>
              <w:t>$</w:t>
            </w:r>
            <w:r>
              <w:rPr>
                <w:b/>
                <w:bCs/>
                <w:color w:val="000000"/>
                <w:sz w:val="20"/>
                <w:szCs w:val="20"/>
              </w:rPr>
              <w:t>86</w:t>
            </w:r>
          </w:p>
        </w:tc>
        <w:tc>
          <w:tcPr>
            <w:tcW w:w="180" w:type="dxa"/>
            <w:tcBorders>
              <w:top w:val="nil"/>
              <w:left w:val="nil"/>
              <w:bottom w:val="nil"/>
              <w:right w:val="nil"/>
            </w:tcBorders>
          </w:tcPr>
          <w:p w:rsidR="00F1252C" w:rsidRDefault="00F1252C">
            <w:pPr>
              <w:tabs>
                <w:tab w:val="decimal" w:pos="998"/>
              </w:tabs>
              <w:jc w:val="both"/>
              <w:rPr>
                <w:b/>
                <w:bCs/>
                <w:color w:val="000000"/>
                <w:sz w:val="20"/>
                <w:szCs w:val="20"/>
                <w:highlight w:val="yellow"/>
              </w:rPr>
            </w:pPr>
          </w:p>
        </w:tc>
        <w:tc>
          <w:tcPr>
            <w:tcW w:w="1440" w:type="dxa"/>
            <w:tcBorders>
              <w:top w:val="nil"/>
              <w:left w:val="nil"/>
              <w:bottom w:val="nil"/>
              <w:right w:val="nil"/>
            </w:tcBorders>
          </w:tcPr>
          <w:p w:rsidR="00F1252C" w:rsidRPr="00EF62BD" w:rsidRDefault="00F1252C" w:rsidP="00186CDC">
            <w:pPr>
              <w:tabs>
                <w:tab w:val="decimal" w:pos="998"/>
              </w:tabs>
              <w:jc w:val="both"/>
              <w:rPr>
                <w:bCs/>
                <w:color w:val="000000"/>
                <w:sz w:val="20"/>
                <w:szCs w:val="20"/>
              </w:rPr>
            </w:pPr>
            <w:r>
              <w:rPr>
                <w:b/>
                <w:bCs/>
                <w:color w:val="000000"/>
                <w:sz w:val="20"/>
                <w:szCs w:val="20"/>
              </w:rPr>
              <w:t>$187</w:t>
            </w:r>
          </w:p>
        </w:tc>
      </w:tr>
      <w:tr w:rsidR="00F1252C">
        <w:tc>
          <w:tcPr>
            <w:tcW w:w="5768" w:type="dxa"/>
            <w:tcBorders>
              <w:top w:val="nil"/>
              <w:left w:val="nil"/>
              <w:bottom w:val="nil"/>
              <w:right w:val="nil"/>
            </w:tcBorders>
          </w:tcPr>
          <w:p w:rsidR="00F1252C" w:rsidRDefault="00F1252C">
            <w:pPr>
              <w:pStyle w:val="in1"/>
              <w:ind w:left="0" w:firstLine="0"/>
              <w:jc w:val="both"/>
              <w:rPr>
                <w:color w:val="000000"/>
                <w:sz w:val="20"/>
                <w:szCs w:val="20"/>
              </w:rPr>
            </w:pPr>
            <w:r>
              <w:rPr>
                <w:sz w:val="20"/>
              </w:rPr>
              <w:t>State tax expense, net of calculated federal income tax effects</w:t>
            </w:r>
          </w:p>
        </w:tc>
        <w:tc>
          <w:tcPr>
            <w:tcW w:w="1620" w:type="dxa"/>
            <w:tcBorders>
              <w:top w:val="nil"/>
              <w:left w:val="nil"/>
              <w:bottom w:val="nil"/>
              <w:right w:val="nil"/>
            </w:tcBorders>
          </w:tcPr>
          <w:p w:rsidR="00F1252C" w:rsidRDefault="00F1252C">
            <w:pPr>
              <w:tabs>
                <w:tab w:val="decimal" w:pos="998"/>
              </w:tabs>
              <w:jc w:val="both"/>
              <w:rPr>
                <w:b/>
                <w:bCs/>
                <w:color w:val="000000"/>
                <w:sz w:val="20"/>
                <w:szCs w:val="20"/>
              </w:rPr>
            </w:pPr>
            <w:r>
              <w:rPr>
                <w:b/>
                <w:bCs/>
                <w:color w:val="000000"/>
                <w:sz w:val="20"/>
                <w:szCs w:val="20"/>
              </w:rPr>
              <w:t>8</w:t>
            </w:r>
          </w:p>
        </w:tc>
        <w:tc>
          <w:tcPr>
            <w:tcW w:w="180" w:type="dxa"/>
            <w:tcBorders>
              <w:top w:val="nil"/>
              <w:left w:val="nil"/>
              <w:bottom w:val="nil"/>
              <w:right w:val="nil"/>
            </w:tcBorders>
          </w:tcPr>
          <w:p w:rsidR="00F1252C" w:rsidRDefault="00F1252C">
            <w:pPr>
              <w:tabs>
                <w:tab w:val="decimal" w:pos="998"/>
              </w:tabs>
              <w:jc w:val="both"/>
              <w:rPr>
                <w:b/>
                <w:bCs/>
                <w:color w:val="000000"/>
                <w:sz w:val="20"/>
                <w:szCs w:val="20"/>
                <w:highlight w:val="yellow"/>
              </w:rPr>
            </w:pPr>
          </w:p>
        </w:tc>
        <w:tc>
          <w:tcPr>
            <w:tcW w:w="1440" w:type="dxa"/>
            <w:tcBorders>
              <w:top w:val="nil"/>
              <w:left w:val="nil"/>
              <w:bottom w:val="nil"/>
              <w:right w:val="nil"/>
            </w:tcBorders>
          </w:tcPr>
          <w:p w:rsidR="00F1252C" w:rsidRPr="00EF62BD" w:rsidRDefault="00F1252C">
            <w:pPr>
              <w:tabs>
                <w:tab w:val="decimal" w:pos="998"/>
              </w:tabs>
              <w:jc w:val="both"/>
              <w:rPr>
                <w:bCs/>
                <w:color w:val="000000"/>
                <w:sz w:val="20"/>
                <w:szCs w:val="20"/>
              </w:rPr>
            </w:pPr>
            <w:r>
              <w:rPr>
                <w:b/>
                <w:bCs/>
                <w:color w:val="000000"/>
                <w:sz w:val="20"/>
                <w:szCs w:val="20"/>
              </w:rPr>
              <w:t>19</w:t>
            </w:r>
          </w:p>
        </w:tc>
      </w:tr>
      <w:tr w:rsidR="00F1252C">
        <w:tc>
          <w:tcPr>
            <w:tcW w:w="5768" w:type="dxa"/>
            <w:tcBorders>
              <w:top w:val="nil"/>
              <w:left w:val="nil"/>
              <w:bottom w:val="nil"/>
              <w:right w:val="nil"/>
            </w:tcBorders>
          </w:tcPr>
          <w:p w:rsidR="00F1252C" w:rsidRDefault="00F1252C">
            <w:pPr>
              <w:pStyle w:val="in1"/>
              <w:ind w:left="0" w:firstLine="0"/>
              <w:jc w:val="both"/>
              <w:rPr>
                <w:color w:val="000000"/>
                <w:sz w:val="20"/>
                <w:szCs w:val="20"/>
              </w:rPr>
            </w:pPr>
            <w:r>
              <w:rPr>
                <w:color w:val="000000"/>
                <w:sz w:val="20"/>
                <w:szCs w:val="20"/>
              </w:rPr>
              <w:t>R&amp;D Credits</w:t>
            </w:r>
          </w:p>
        </w:tc>
        <w:tc>
          <w:tcPr>
            <w:tcW w:w="1620" w:type="dxa"/>
            <w:tcBorders>
              <w:top w:val="nil"/>
              <w:left w:val="nil"/>
              <w:bottom w:val="nil"/>
              <w:right w:val="nil"/>
            </w:tcBorders>
          </w:tcPr>
          <w:p w:rsidR="00F1252C" w:rsidRDefault="00F1252C" w:rsidP="00FF704D">
            <w:pPr>
              <w:tabs>
                <w:tab w:val="decimal" w:pos="998"/>
              </w:tabs>
              <w:jc w:val="both"/>
              <w:rPr>
                <w:b/>
                <w:bCs/>
                <w:color w:val="000000"/>
                <w:sz w:val="20"/>
                <w:szCs w:val="20"/>
              </w:rPr>
            </w:pPr>
            <w:r>
              <w:rPr>
                <w:b/>
                <w:bCs/>
                <w:color w:val="000000"/>
                <w:sz w:val="20"/>
                <w:szCs w:val="20"/>
              </w:rPr>
              <w:t>(</w:t>
            </w:r>
            <w:r w:rsidR="00FF704D">
              <w:rPr>
                <w:b/>
                <w:bCs/>
                <w:color w:val="000000"/>
                <w:sz w:val="20"/>
                <w:szCs w:val="20"/>
              </w:rPr>
              <w:t>135</w:t>
            </w:r>
            <w:r>
              <w:rPr>
                <w:b/>
                <w:bCs/>
                <w:color w:val="000000"/>
                <w:sz w:val="20"/>
                <w:szCs w:val="20"/>
              </w:rPr>
              <w:t>)</w:t>
            </w:r>
          </w:p>
        </w:tc>
        <w:tc>
          <w:tcPr>
            <w:tcW w:w="180" w:type="dxa"/>
            <w:tcBorders>
              <w:top w:val="nil"/>
              <w:left w:val="nil"/>
              <w:bottom w:val="nil"/>
              <w:right w:val="nil"/>
            </w:tcBorders>
          </w:tcPr>
          <w:p w:rsidR="00F1252C" w:rsidRDefault="00F1252C">
            <w:pPr>
              <w:tabs>
                <w:tab w:val="decimal" w:pos="998"/>
              </w:tabs>
              <w:jc w:val="both"/>
              <w:rPr>
                <w:b/>
                <w:bCs/>
                <w:color w:val="000000"/>
                <w:sz w:val="20"/>
                <w:szCs w:val="20"/>
                <w:highlight w:val="yellow"/>
              </w:rPr>
            </w:pPr>
          </w:p>
        </w:tc>
        <w:tc>
          <w:tcPr>
            <w:tcW w:w="1440" w:type="dxa"/>
            <w:tcBorders>
              <w:top w:val="nil"/>
              <w:left w:val="nil"/>
              <w:bottom w:val="nil"/>
              <w:right w:val="nil"/>
            </w:tcBorders>
          </w:tcPr>
          <w:p w:rsidR="00F1252C" w:rsidRPr="00EF62BD" w:rsidRDefault="00F1252C" w:rsidP="00FF704D">
            <w:pPr>
              <w:tabs>
                <w:tab w:val="decimal" w:pos="998"/>
              </w:tabs>
              <w:jc w:val="both"/>
              <w:rPr>
                <w:bCs/>
                <w:color w:val="000000"/>
                <w:sz w:val="20"/>
                <w:szCs w:val="20"/>
              </w:rPr>
            </w:pPr>
            <w:r w:rsidDel="003F346C">
              <w:rPr>
                <w:b/>
                <w:bCs/>
                <w:color w:val="000000"/>
                <w:sz w:val="20"/>
                <w:szCs w:val="20"/>
              </w:rPr>
              <w:t xml:space="preserve"> </w:t>
            </w:r>
            <w:r>
              <w:rPr>
                <w:b/>
                <w:bCs/>
                <w:color w:val="000000"/>
                <w:sz w:val="20"/>
                <w:szCs w:val="20"/>
              </w:rPr>
              <w:t>(</w:t>
            </w:r>
            <w:r w:rsidR="00FF704D">
              <w:rPr>
                <w:b/>
                <w:bCs/>
                <w:color w:val="000000"/>
                <w:sz w:val="20"/>
                <w:szCs w:val="20"/>
              </w:rPr>
              <w:t>725</w:t>
            </w:r>
            <w:r>
              <w:rPr>
                <w:b/>
                <w:bCs/>
                <w:color w:val="000000"/>
                <w:sz w:val="20"/>
                <w:szCs w:val="20"/>
              </w:rPr>
              <w:t>)</w:t>
            </w:r>
          </w:p>
        </w:tc>
      </w:tr>
      <w:tr w:rsidR="00F1252C">
        <w:tc>
          <w:tcPr>
            <w:tcW w:w="5768" w:type="dxa"/>
            <w:tcBorders>
              <w:top w:val="nil"/>
              <w:left w:val="nil"/>
              <w:bottom w:val="nil"/>
              <w:right w:val="nil"/>
            </w:tcBorders>
          </w:tcPr>
          <w:p w:rsidR="00F1252C" w:rsidRDefault="00F1252C">
            <w:pPr>
              <w:pStyle w:val="in1"/>
              <w:ind w:left="0" w:firstLine="0"/>
              <w:jc w:val="both"/>
              <w:rPr>
                <w:color w:val="000000"/>
                <w:sz w:val="20"/>
                <w:szCs w:val="20"/>
              </w:rPr>
            </w:pPr>
            <w:r>
              <w:rPr>
                <w:color w:val="000000"/>
                <w:sz w:val="20"/>
                <w:szCs w:val="20"/>
              </w:rPr>
              <w:t>Permanent differences</w:t>
            </w:r>
          </w:p>
        </w:tc>
        <w:tc>
          <w:tcPr>
            <w:tcW w:w="1620" w:type="dxa"/>
            <w:tcBorders>
              <w:top w:val="nil"/>
              <w:left w:val="nil"/>
              <w:bottom w:val="nil"/>
              <w:right w:val="nil"/>
            </w:tcBorders>
          </w:tcPr>
          <w:p w:rsidR="00F1252C" w:rsidRDefault="00FF704D">
            <w:pPr>
              <w:tabs>
                <w:tab w:val="decimal" w:pos="998"/>
              </w:tabs>
              <w:jc w:val="both"/>
              <w:rPr>
                <w:b/>
                <w:bCs/>
                <w:color w:val="000000"/>
                <w:sz w:val="20"/>
                <w:szCs w:val="20"/>
              </w:rPr>
            </w:pPr>
            <w:r>
              <w:rPr>
                <w:b/>
                <w:bCs/>
                <w:color w:val="000000"/>
                <w:sz w:val="20"/>
                <w:szCs w:val="20"/>
              </w:rPr>
              <w:t>273</w:t>
            </w:r>
          </w:p>
        </w:tc>
        <w:tc>
          <w:tcPr>
            <w:tcW w:w="180" w:type="dxa"/>
            <w:tcBorders>
              <w:top w:val="nil"/>
              <w:left w:val="nil"/>
              <w:right w:val="nil"/>
            </w:tcBorders>
          </w:tcPr>
          <w:p w:rsidR="00F1252C" w:rsidRDefault="00F1252C">
            <w:pPr>
              <w:tabs>
                <w:tab w:val="decimal" w:pos="998"/>
              </w:tabs>
              <w:jc w:val="both"/>
              <w:rPr>
                <w:b/>
                <w:bCs/>
                <w:color w:val="000000"/>
                <w:sz w:val="20"/>
                <w:szCs w:val="20"/>
                <w:highlight w:val="yellow"/>
              </w:rPr>
            </w:pPr>
          </w:p>
        </w:tc>
        <w:tc>
          <w:tcPr>
            <w:tcW w:w="1440" w:type="dxa"/>
            <w:tcBorders>
              <w:top w:val="nil"/>
              <w:left w:val="nil"/>
              <w:bottom w:val="nil"/>
              <w:right w:val="nil"/>
            </w:tcBorders>
          </w:tcPr>
          <w:p w:rsidR="00F1252C" w:rsidRPr="00EF62BD" w:rsidRDefault="00F1252C">
            <w:pPr>
              <w:tabs>
                <w:tab w:val="decimal" w:pos="998"/>
              </w:tabs>
              <w:jc w:val="both"/>
              <w:rPr>
                <w:bCs/>
                <w:color w:val="000000"/>
                <w:sz w:val="20"/>
                <w:szCs w:val="20"/>
              </w:rPr>
            </w:pPr>
            <w:r>
              <w:rPr>
                <w:b/>
                <w:bCs/>
                <w:color w:val="000000"/>
                <w:sz w:val="20"/>
                <w:szCs w:val="20"/>
              </w:rPr>
              <w:t>77</w:t>
            </w:r>
          </w:p>
        </w:tc>
      </w:tr>
      <w:tr w:rsidR="00F1252C">
        <w:tc>
          <w:tcPr>
            <w:tcW w:w="5768" w:type="dxa"/>
            <w:tcBorders>
              <w:top w:val="nil"/>
              <w:left w:val="nil"/>
              <w:bottom w:val="nil"/>
              <w:right w:val="nil"/>
            </w:tcBorders>
          </w:tcPr>
          <w:p w:rsidR="00F1252C" w:rsidRDefault="00F1252C">
            <w:pPr>
              <w:pStyle w:val="in1"/>
              <w:ind w:left="0" w:firstLine="0"/>
              <w:jc w:val="both"/>
              <w:rPr>
                <w:color w:val="000000"/>
                <w:sz w:val="20"/>
                <w:szCs w:val="20"/>
              </w:rPr>
            </w:pPr>
            <w:r>
              <w:rPr>
                <w:color w:val="000000"/>
                <w:sz w:val="20"/>
                <w:szCs w:val="20"/>
              </w:rPr>
              <w:t>Other</w:t>
            </w:r>
          </w:p>
        </w:tc>
        <w:tc>
          <w:tcPr>
            <w:tcW w:w="1620" w:type="dxa"/>
            <w:tcBorders>
              <w:left w:val="nil"/>
              <w:bottom w:val="single" w:sz="4" w:space="0" w:color="auto"/>
              <w:right w:val="nil"/>
            </w:tcBorders>
          </w:tcPr>
          <w:p w:rsidR="00F1252C" w:rsidRDefault="00F1252C" w:rsidP="00EF62BD">
            <w:pPr>
              <w:tabs>
                <w:tab w:val="decimal" w:pos="998"/>
              </w:tabs>
              <w:jc w:val="both"/>
              <w:rPr>
                <w:b/>
                <w:bCs/>
                <w:color w:val="000000"/>
                <w:sz w:val="20"/>
                <w:szCs w:val="20"/>
              </w:rPr>
            </w:pPr>
            <w:r>
              <w:rPr>
                <w:b/>
                <w:bCs/>
                <w:color w:val="000000"/>
                <w:sz w:val="20"/>
                <w:szCs w:val="20"/>
              </w:rPr>
              <w:t>18</w:t>
            </w:r>
          </w:p>
        </w:tc>
        <w:tc>
          <w:tcPr>
            <w:tcW w:w="180" w:type="dxa"/>
            <w:tcBorders>
              <w:left w:val="nil"/>
              <w:right w:val="nil"/>
            </w:tcBorders>
          </w:tcPr>
          <w:p w:rsidR="00F1252C" w:rsidRDefault="00F1252C">
            <w:pPr>
              <w:tabs>
                <w:tab w:val="decimal" w:pos="998"/>
              </w:tabs>
              <w:jc w:val="both"/>
              <w:rPr>
                <w:b/>
                <w:bCs/>
                <w:color w:val="000000"/>
                <w:sz w:val="20"/>
                <w:szCs w:val="20"/>
              </w:rPr>
            </w:pPr>
          </w:p>
        </w:tc>
        <w:tc>
          <w:tcPr>
            <w:tcW w:w="1440" w:type="dxa"/>
            <w:tcBorders>
              <w:left w:val="nil"/>
              <w:bottom w:val="single" w:sz="4" w:space="0" w:color="auto"/>
              <w:right w:val="nil"/>
            </w:tcBorders>
          </w:tcPr>
          <w:p w:rsidR="00F1252C" w:rsidRPr="00EF62BD" w:rsidRDefault="00F1252C">
            <w:pPr>
              <w:tabs>
                <w:tab w:val="decimal" w:pos="998"/>
              </w:tabs>
              <w:jc w:val="both"/>
              <w:rPr>
                <w:bCs/>
                <w:color w:val="000000"/>
                <w:sz w:val="20"/>
                <w:szCs w:val="20"/>
              </w:rPr>
            </w:pPr>
            <w:r>
              <w:rPr>
                <w:b/>
                <w:bCs/>
                <w:color w:val="000000"/>
                <w:sz w:val="20"/>
                <w:szCs w:val="20"/>
              </w:rPr>
              <w:t>(19)</w:t>
            </w:r>
          </w:p>
        </w:tc>
      </w:tr>
      <w:tr w:rsidR="00003302">
        <w:tc>
          <w:tcPr>
            <w:tcW w:w="5768" w:type="dxa"/>
            <w:tcBorders>
              <w:top w:val="nil"/>
              <w:left w:val="nil"/>
              <w:bottom w:val="nil"/>
              <w:right w:val="nil"/>
            </w:tcBorders>
          </w:tcPr>
          <w:p w:rsidR="00003302" w:rsidRDefault="00003302" w:rsidP="00EF62BD">
            <w:pPr>
              <w:pStyle w:val="in1"/>
              <w:ind w:left="0" w:firstLine="0"/>
              <w:jc w:val="both"/>
              <w:rPr>
                <w:color w:val="000000"/>
                <w:sz w:val="20"/>
                <w:szCs w:val="20"/>
              </w:rPr>
            </w:pPr>
            <w:r>
              <w:rPr>
                <w:color w:val="000000"/>
                <w:sz w:val="20"/>
                <w:szCs w:val="20"/>
              </w:rPr>
              <w:t>Income tax benefit (benefit)</w:t>
            </w:r>
          </w:p>
        </w:tc>
        <w:tc>
          <w:tcPr>
            <w:tcW w:w="1620" w:type="dxa"/>
            <w:tcBorders>
              <w:top w:val="single" w:sz="4" w:space="0" w:color="auto"/>
              <w:left w:val="nil"/>
              <w:bottom w:val="double" w:sz="4" w:space="0" w:color="auto"/>
              <w:right w:val="nil"/>
            </w:tcBorders>
          </w:tcPr>
          <w:p w:rsidR="00003302" w:rsidRDefault="00003302" w:rsidP="00855E18">
            <w:pPr>
              <w:tabs>
                <w:tab w:val="decimal" w:pos="998"/>
              </w:tabs>
              <w:jc w:val="both"/>
              <w:rPr>
                <w:b/>
                <w:bCs/>
                <w:color w:val="000000"/>
                <w:sz w:val="20"/>
                <w:szCs w:val="20"/>
              </w:rPr>
            </w:pPr>
            <w:r w:rsidRPr="00E111E3">
              <w:rPr>
                <w:b/>
                <w:bCs/>
                <w:color w:val="000000"/>
                <w:sz w:val="20"/>
                <w:szCs w:val="20"/>
              </w:rPr>
              <w:t>$</w:t>
            </w:r>
            <w:r>
              <w:rPr>
                <w:b/>
                <w:bCs/>
                <w:color w:val="000000"/>
                <w:sz w:val="20"/>
                <w:szCs w:val="20"/>
              </w:rPr>
              <w:t>250</w:t>
            </w:r>
          </w:p>
        </w:tc>
        <w:tc>
          <w:tcPr>
            <w:tcW w:w="180" w:type="dxa"/>
            <w:tcBorders>
              <w:left w:val="nil"/>
              <w:right w:val="nil"/>
            </w:tcBorders>
          </w:tcPr>
          <w:p w:rsidR="00003302" w:rsidRDefault="00003302">
            <w:pPr>
              <w:tabs>
                <w:tab w:val="decimal" w:pos="998"/>
              </w:tabs>
              <w:jc w:val="both"/>
              <w:rPr>
                <w:b/>
                <w:bCs/>
                <w:color w:val="000000"/>
                <w:sz w:val="20"/>
                <w:szCs w:val="20"/>
              </w:rPr>
            </w:pPr>
          </w:p>
        </w:tc>
        <w:tc>
          <w:tcPr>
            <w:tcW w:w="1440" w:type="dxa"/>
            <w:tcBorders>
              <w:top w:val="single" w:sz="4" w:space="0" w:color="auto"/>
              <w:left w:val="nil"/>
              <w:bottom w:val="double" w:sz="4" w:space="0" w:color="auto"/>
              <w:right w:val="nil"/>
            </w:tcBorders>
          </w:tcPr>
          <w:p w:rsidR="00003302" w:rsidRPr="00EF62BD" w:rsidRDefault="00003302" w:rsidP="00186CDC">
            <w:pPr>
              <w:tabs>
                <w:tab w:val="decimal" w:pos="998"/>
              </w:tabs>
              <w:jc w:val="both"/>
              <w:rPr>
                <w:bCs/>
                <w:color w:val="000000"/>
                <w:sz w:val="20"/>
                <w:szCs w:val="20"/>
              </w:rPr>
            </w:pPr>
            <w:r>
              <w:rPr>
                <w:b/>
                <w:bCs/>
                <w:color w:val="000000"/>
                <w:sz w:val="20"/>
                <w:szCs w:val="20"/>
              </w:rPr>
              <w:t>$(461)</w:t>
            </w:r>
          </w:p>
        </w:tc>
      </w:tr>
    </w:tbl>
    <w:p w:rsidR="004851D7" w:rsidRDefault="004851D7">
      <w:pPr>
        <w:rPr>
          <w:b/>
          <w:bCs/>
          <w:sz w:val="20"/>
        </w:rPr>
      </w:pPr>
    </w:p>
    <w:p w:rsidR="004851D7" w:rsidRDefault="004851D7">
      <w:pPr>
        <w:rPr>
          <w:b/>
          <w:bCs/>
          <w:sz w:val="20"/>
        </w:rPr>
      </w:pPr>
      <w:r w:rsidRPr="001257FA">
        <w:rPr>
          <w:b/>
          <w:bCs/>
          <w:sz w:val="20"/>
        </w:rPr>
        <w:t>Net Operating Losses</w:t>
      </w:r>
    </w:p>
    <w:p w:rsidR="004851D7" w:rsidRDefault="004851D7">
      <w:pPr>
        <w:rPr>
          <w:sz w:val="20"/>
        </w:rPr>
      </w:pPr>
    </w:p>
    <w:p w:rsidR="001257FA" w:rsidRDefault="004851D7" w:rsidP="001257FA">
      <w:pPr>
        <w:rPr>
          <w:sz w:val="20"/>
        </w:rPr>
      </w:pPr>
      <w:r>
        <w:rPr>
          <w:sz w:val="20"/>
        </w:rPr>
        <w:tab/>
      </w:r>
    </w:p>
    <w:p w:rsidR="001257FA" w:rsidRDefault="001257FA" w:rsidP="001257FA">
      <w:pPr>
        <w:rPr>
          <w:highlight w:val="yellow"/>
        </w:rPr>
      </w:pPr>
      <w:r>
        <w:rPr>
          <w:sz w:val="20"/>
        </w:rPr>
        <w:t>At December 31, 2011, we had federal net operating loss carry-forwards (NOLs) and research and development credit carry-forwards which may be used to offset otherwise future taxable income with the following expiration dates:</w:t>
      </w:r>
      <w:r>
        <w:rPr>
          <w:sz w:val="20"/>
        </w:rPr>
        <w:tab/>
      </w:r>
      <w:r>
        <w:rPr>
          <w:sz w:val="20"/>
        </w:rPr>
        <w:tab/>
      </w:r>
      <w:r>
        <w:rPr>
          <w:sz w:val="20"/>
        </w:rPr>
        <w:tab/>
      </w:r>
    </w:p>
    <w:tbl>
      <w:tblPr>
        <w:tblW w:w="0" w:type="auto"/>
        <w:jc w:val="center"/>
        <w:tblLayout w:type="fixed"/>
        <w:tblCellMar>
          <w:left w:w="0" w:type="dxa"/>
          <w:right w:w="0" w:type="dxa"/>
        </w:tblCellMar>
        <w:tblLook w:val="0000" w:firstRow="0" w:lastRow="0" w:firstColumn="0" w:lastColumn="0" w:noHBand="0" w:noVBand="0"/>
      </w:tblPr>
      <w:tblGrid>
        <w:gridCol w:w="1440"/>
        <w:gridCol w:w="2160"/>
        <w:gridCol w:w="2160"/>
      </w:tblGrid>
      <w:tr w:rsidR="001257FA" w:rsidTr="001257FA">
        <w:trPr>
          <w:trHeight w:val="738"/>
          <w:jc w:val="center"/>
        </w:trPr>
        <w:tc>
          <w:tcPr>
            <w:tcW w:w="1440" w:type="dxa"/>
            <w:tcBorders>
              <w:top w:val="nil"/>
              <w:left w:val="nil"/>
              <w:bottom w:val="nil"/>
              <w:right w:val="nil"/>
            </w:tcBorders>
          </w:tcPr>
          <w:p w:rsidR="001257FA" w:rsidRDefault="001257FA" w:rsidP="001257FA">
            <w:pPr>
              <w:pStyle w:val="in1"/>
              <w:ind w:left="0" w:firstLine="0"/>
              <w:jc w:val="both"/>
              <w:rPr>
                <w:rFonts w:ascii="CG Times" w:hAnsi="CG Times" w:cs="CG Times"/>
                <w:color w:val="000000"/>
              </w:rPr>
            </w:pPr>
            <w:r>
              <w:rPr>
                <w:color w:val="000000"/>
                <w:sz w:val="20"/>
                <w:szCs w:val="20"/>
              </w:rPr>
              <w:br w:type="page"/>
            </w:r>
            <w:r>
              <w:rPr>
                <w:color w:val="000000"/>
                <w:sz w:val="20"/>
              </w:rPr>
              <w:tab/>
            </w:r>
          </w:p>
        </w:tc>
        <w:tc>
          <w:tcPr>
            <w:tcW w:w="2160" w:type="dxa"/>
            <w:tcBorders>
              <w:top w:val="nil"/>
              <w:left w:val="nil"/>
              <w:bottom w:val="single" w:sz="6" w:space="0" w:color="auto"/>
              <w:right w:val="nil"/>
            </w:tcBorders>
          </w:tcPr>
          <w:p w:rsidR="001257FA" w:rsidRDefault="001257FA" w:rsidP="001257FA">
            <w:pPr>
              <w:jc w:val="center"/>
              <w:rPr>
                <w:b/>
                <w:bCs/>
                <w:color w:val="000000"/>
                <w:sz w:val="20"/>
                <w:szCs w:val="20"/>
              </w:rPr>
            </w:pPr>
            <w:r>
              <w:rPr>
                <w:b/>
                <w:bCs/>
                <w:color w:val="000000"/>
                <w:sz w:val="20"/>
                <w:szCs w:val="20"/>
              </w:rPr>
              <w:t>Federal</w:t>
            </w:r>
          </w:p>
          <w:p w:rsidR="001257FA" w:rsidRDefault="001257FA" w:rsidP="001257FA">
            <w:pPr>
              <w:jc w:val="center"/>
              <w:rPr>
                <w:b/>
                <w:bCs/>
                <w:color w:val="000000"/>
                <w:sz w:val="20"/>
                <w:szCs w:val="20"/>
              </w:rPr>
            </w:pPr>
            <w:r>
              <w:rPr>
                <w:b/>
                <w:bCs/>
                <w:color w:val="000000"/>
                <w:sz w:val="20"/>
                <w:szCs w:val="20"/>
              </w:rPr>
              <w:t>Net Operating Loss</w:t>
            </w:r>
          </w:p>
          <w:p w:rsidR="001257FA" w:rsidRDefault="001257FA" w:rsidP="001257FA">
            <w:pPr>
              <w:jc w:val="center"/>
              <w:rPr>
                <w:b/>
                <w:bCs/>
                <w:color w:val="000000"/>
                <w:sz w:val="20"/>
                <w:szCs w:val="20"/>
              </w:rPr>
            </w:pPr>
          </w:p>
        </w:tc>
        <w:tc>
          <w:tcPr>
            <w:tcW w:w="2160" w:type="dxa"/>
            <w:tcBorders>
              <w:top w:val="nil"/>
              <w:left w:val="nil"/>
              <w:bottom w:val="single" w:sz="6" w:space="0" w:color="auto"/>
              <w:right w:val="nil"/>
            </w:tcBorders>
          </w:tcPr>
          <w:p w:rsidR="001257FA" w:rsidRDefault="001257FA" w:rsidP="001257FA">
            <w:pPr>
              <w:jc w:val="center"/>
              <w:rPr>
                <w:b/>
                <w:bCs/>
                <w:color w:val="000000"/>
                <w:sz w:val="20"/>
                <w:szCs w:val="20"/>
              </w:rPr>
            </w:pPr>
            <w:r>
              <w:rPr>
                <w:b/>
                <w:bCs/>
                <w:color w:val="000000"/>
                <w:sz w:val="20"/>
                <w:szCs w:val="20"/>
              </w:rPr>
              <w:t>Research and Development Credits</w:t>
            </w:r>
          </w:p>
          <w:p w:rsidR="001257FA" w:rsidRDefault="001257FA" w:rsidP="001257FA">
            <w:pPr>
              <w:jc w:val="right"/>
              <w:rPr>
                <w:b/>
                <w:bCs/>
                <w:color w:val="000000"/>
                <w:sz w:val="20"/>
                <w:szCs w:val="20"/>
              </w:rPr>
            </w:pPr>
          </w:p>
        </w:tc>
      </w:tr>
      <w:tr w:rsidR="001257FA" w:rsidTr="001257FA">
        <w:trPr>
          <w:jc w:val="center"/>
        </w:trPr>
        <w:tc>
          <w:tcPr>
            <w:tcW w:w="1440" w:type="dxa"/>
            <w:tcBorders>
              <w:top w:val="nil"/>
              <w:left w:val="nil"/>
              <w:bottom w:val="nil"/>
              <w:right w:val="nil"/>
            </w:tcBorders>
          </w:tcPr>
          <w:p w:rsidR="001257FA" w:rsidRDefault="001257FA" w:rsidP="001257FA">
            <w:pPr>
              <w:pStyle w:val="in1"/>
              <w:ind w:left="0" w:firstLine="0"/>
              <w:jc w:val="both"/>
              <w:rPr>
                <w:color w:val="000000"/>
                <w:sz w:val="20"/>
                <w:szCs w:val="20"/>
              </w:rPr>
            </w:pPr>
          </w:p>
        </w:tc>
        <w:tc>
          <w:tcPr>
            <w:tcW w:w="4320" w:type="dxa"/>
            <w:gridSpan w:val="2"/>
            <w:tcBorders>
              <w:top w:val="nil"/>
              <w:left w:val="nil"/>
              <w:bottom w:val="nil"/>
              <w:right w:val="nil"/>
            </w:tcBorders>
          </w:tcPr>
          <w:p w:rsidR="001257FA" w:rsidRDefault="001257FA" w:rsidP="001257FA">
            <w:pPr>
              <w:tabs>
                <w:tab w:val="decimal" w:pos="1088"/>
              </w:tabs>
              <w:jc w:val="center"/>
              <w:rPr>
                <w:color w:val="000000"/>
                <w:sz w:val="20"/>
                <w:szCs w:val="20"/>
              </w:rPr>
            </w:pPr>
            <w:r>
              <w:rPr>
                <w:i/>
                <w:color w:val="000000"/>
                <w:sz w:val="20"/>
                <w:szCs w:val="20"/>
              </w:rPr>
              <w:t>(In thousands)</w:t>
            </w:r>
          </w:p>
        </w:tc>
      </w:tr>
      <w:tr w:rsidR="001257FA" w:rsidTr="001257FA">
        <w:trPr>
          <w:jc w:val="center"/>
        </w:trPr>
        <w:tc>
          <w:tcPr>
            <w:tcW w:w="1440" w:type="dxa"/>
            <w:tcBorders>
              <w:top w:val="nil"/>
              <w:left w:val="nil"/>
              <w:bottom w:val="nil"/>
              <w:right w:val="nil"/>
            </w:tcBorders>
          </w:tcPr>
          <w:p w:rsidR="001257FA" w:rsidRDefault="001257FA" w:rsidP="001257FA">
            <w:pPr>
              <w:pStyle w:val="in1"/>
              <w:ind w:left="0" w:firstLine="0"/>
              <w:jc w:val="both"/>
              <w:rPr>
                <w:color w:val="000000"/>
                <w:sz w:val="20"/>
                <w:szCs w:val="20"/>
              </w:rPr>
            </w:pPr>
            <w:r>
              <w:rPr>
                <w:color w:val="000000"/>
                <w:sz w:val="20"/>
                <w:szCs w:val="20"/>
              </w:rPr>
              <w:t>2012</w:t>
            </w:r>
          </w:p>
        </w:tc>
        <w:tc>
          <w:tcPr>
            <w:tcW w:w="2160" w:type="dxa"/>
            <w:tcBorders>
              <w:top w:val="nil"/>
              <w:left w:val="nil"/>
              <w:bottom w:val="nil"/>
              <w:right w:val="nil"/>
            </w:tcBorders>
          </w:tcPr>
          <w:p w:rsidR="001257FA" w:rsidRDefault="001257FA" w:rsidP="00186CDC">
            <w:pPr>
              <w:tabs>
                <w:tab w:val="decimal" w:pos="1187"/>
              </w:tabs>
              <w:jc w:val="both"/>
              <w:rPr>
                <w:color w:val="000000"/>
                <w:sz w:val="20"/>
                <w:szCs w:val="20"/>
              </w:rPr>
            </w:pPr>
            <w:r>
              <w:rPr>
                <w:color w:val="000000"/>
                <w:sz w:val="20"/>
                <w:szCs w:val="20"/>
              </w:rPr>
              <w:t xml:space="preserve">           </w:t>
            </w:r>
            <w:r w:rsidR="00186CDC">
              <w:rPr>
                <w:color w:val="000000"/>
                <w:sz w:val="20"/>
                <w:szCs w:val="20"/>
              </w:rPr>
              <w:t>$</w:t>
            </w:r>
            <w:r>
              <w:rPr>
                <w:color w:val="000000"/>
                <w:sz w:val="20"/>
                <w:szCs w:val="20"/>
              </w:rPr>
              <w:t xml:space="preserve">790 </w:t>
            </w:r>
          </w:p>
        </w:tc>
        <w:tc>
          <w:tcPr>
            <w:tcW w:w="2160" w:type="dxa"/>
            <w:tcBorders>
              <w:top w:val="nil"/>
              <w:left w:val="nil"/>
              <w:bottom w:val="nil"/>
              <w:right w:val="nil"/>
            </w:tcBorders>
          </w:tcPr>
          <w:p w:rsidR="001257FA" w:rsidRDefault="001257FA" w:rsidP="00186CDC">
            <w:pPr>
              <w:tabs>
                <w:tab w:val="decimal" w:pos="1088"/>
              </w:tabs>
              <w:jc w:val="both"/>
              <w:rPr>
                <w:color w:val="000000"/>
                <w:sz w:val="20"/>
                <w:szCs w:val="20"/>
              </w:rPr>
            </w:pPr>
            <w:r>
              <w:rPr>
                <w:color w:val="000000"/>
                <w:sz w:val="20"/>
                <w:szCs w:val="20"/>
              </w:rPr>
              <w:t xml:space="preserve">              </w:t>
            </w:r>
            <w:r w:rsidR="00186CDC">
              <w:rPr>
                <w:color w:val="000000"/>
                <w:sz w:val="20"/>
                <w:szCs w:val="20"/>
              </w:rPr>
              <w:t>$</w:t>
            </w:r>
            <w:r>
              <w:rPr>
                <w:color w:val="000000"/>
                <w:sz w:val="20"/>
                <w:szCs w:val="20"/>
              </w:rPr>
              <w:t xml:space="preserve">38 </w:t>
            </w:r>
          </w:p>
        </w:tc>
      </w:tr>
      <w:tr w:rsidR="001257FA" w:rsidTr="001257FA">
        <w:trPr>
          <w:jc w:val="center"/>
        </w:trPr>
        <w:tc>
          <w:tcPr>
            <w:tcW w:w="1440" w:type="dxa"/>
            <w:tcBorders>
              <w:top w:val="nil"/>
              <w:left w:val="nil"/>
              <w:bottom w:val="nil"/>
              <w:right w:val="nil"/>
            </w:tcBorders>
          </w:tcPr>
          <w:p w:rsidR="001257FA" w:rsidRDefault="001257FA" w:rsidP="001257FA">
            <w:pPr>
              <w:pStyle w:val="in1"/>
              <w:ind w:left="0" w:firstLine="0"/>
              <w:jc w:val="both"/>
              <w:rPr>
                <w:color w:val="000000"/>
                <w:sz w:val="20"/>
                <w:szCs w:val="20"/>
              </w:rPr>
            </w:pPr>
            <w:r>
              <w:rPr>
                <w:color w:val="000000"/>
                <w:sz w:val="20"/>
                <w:szCs w:val="20"/>
              </w:rPr>
              <w:t>2018</w:t>
            </w:r>
          </w:p>
        </w:tc>
        <w:tc>
          <w:tcPr>
            <w:tcW w:w="2160" w:type="dxa"/>
            <w:tcBorders>
              <w:top w:val="nil"/>
              <w:left w:val="nil"/>
              <w:bottom w:val="nil"/>
              <w:right w:val="nil"/>
            </w:tcBorders>
          </w:tcPr>
          <w:p w:rsidR="001257FA" w:rsidRDefault="001257FA" w:rsidP="001257FA">
            <w:pPr>
              <w:tabs>
                <w:tab w:val="decimal" w:pos="1187"/>
              </w:tabs>
              <w:jc w:val="both"/>
              <w:rPr>
                <w:color w:val="000000"/>
                <w:sz w:val="20"/>
                <w:szCs w:val="20"/>
              </w:rPr>
            </w:pPr>
            <w:r>
              <w:rPr>
                <w:color w:val="000000"/>
                <w:sz w:val="20"/>
                <w:szCs w:val="20"/>
              </w:rPr>
              <w:t xml:space="preserve">              770 </w:t>
            </w:r>
          </w:p>
        </w:tc>
        <w:tc>
          <w:tcPr>
            <w:tcW w:w="2160" w:type="dxa"/>
            <w:tcBorders>
              <w:top w:val="nil"/>
              <w:left w:val="nil"/>
              <w:bottom w:val="nil"/>
              <w:right w:val="nil"/>
            </w:tcBorders>
          </w:tcPr>
          <w:p w:rsidR="001257FA" w:rsidRDefault="001257FA" w:rsidP="001257FA">
            <w:pPr>
              <w:tabs>
                <w:tab w:val="decimal" w:pos="1088"/>
              </w:tabs>
              <w:jc w:val="both"/>
              <w:rPr>
                <w:color w:val="000000"/>
                <w:sz w:val="20"/>
                <w:szCs w:val="20"/>
              </w:rPr>
            </w:pPr>
            <w:r>
              <w:rPr>
                <w:color w:val="000000"/>
                <w:sz w:val="20"/>
                <w:szCs w:val="20"/>
              </w:rPr>
              <w:t xml:space="preserve">              46 </w:t>
            </w:r>
          </w:p>
        </w:tc>
      </w:tr>
      <w:tr w:rsidR="001257FA" w:rsidTr="001257FA">
        <w:trPr>
          <w:jc w:val="center"/>
        </w:trPr>
        <w:tc>
          <w:tcPr>
            <w:tcW w:w="1440" w:type="dxa"/>
            <w:tcBorders>
              <w:top w:val="nil"/>
              <w:left w:val="nil"/>
              <w:bottom w:val="nil"/>
              <w:right w:val="nil"/>
            </w:tcBorders>
          </w:tcPr>
          <w:p w:rsidR="001257FA" w:rsidRDefault="001257FA" w:rsidP="001257FA">
            <w:pPr>
              <w:pStyle w:val="in1"/>
              <w:ind w:left="0" w:firstLine="0"/>
              <w:jc w:val="both"/>
              <w:rPr>
                <w:color w:val="000000"/>
                <w:sz w:val="20"/>
                <w:szCs w:val="20"/>
              </w:rPr>
            </w:pPr>
            <w:r>
              <w:rPr>
                <w:color w:val="000000"/>
                <w:sz w:val="20"/>
                <w:szCs w:val="20"/>
              </w:rPr>
              <w:t>2019</w:t>
            </w:r>
          </w:p>
        </w:tc>
        <w:tc>
          <w:tcPr>
            <w:tcW w:w="2160" w:type="dxa"/>
            <w:tcBorders>
              <w:top w:val="nil"/>
              <w:left w:val="nil"/>
              <w:bottom w:val="nil"/>
              <w:right w:val="nil"/>
            </w:tcBorders>
          </w:tcPr>
          <w:p w:rsidR="001257FA" w:rsidRDefault="001257FA" w:rsidP="001257FA">
            <w:pPr>
              <w:tabs>
                <w:tab w:val="decimal" w:pos="1187"/>
              </w:tabs>
              <w:jc w:val="both"/>
              <w:rPr>
                <w:color w:val="000000"/>
                <w:sz w:val="20"/>
                <w:szCs w:val="20"/>
              </w:rPr>
            </w:pPr>
            <w:r>
              <w:rPr>
                <w:color w:val="000000"/>
                <w:sz w:val="20"/>
                <w:szCs w:val="20"/>
              </w:rPr>
              <w:t xml:space="preserve">              491 </w:t>
            </w:r>
          </w:p>
        </w:tc>
        <w:tc>
          <w:tcPr>
            <w:tcW w:w="2160" w:type="dxa"/>
            <w:tcBorders>
              <w:top w:val="nil"/>
              <w:left w:val="nil"/>
              <w:bottom w:val="nil"/>
              <w:right w:val="nil"/>
            </w:tcBorders>
          </w:tcPr>
          <w:p w:rsidR="001257FA" w:rsidRDefault="001257FA" w:rsidP="001257FA">
            <w:pPr>
              <w:tabs>
                <w:tab w:val="decimal" w:pos="1088"/>
              </w:tabs>
              <w:jc w:val="both"/>
              <w:rPr>
                <w:color w:val="000000"/>
                <w:sz w:val="20"/>
                <w:szCs w:val="20"/>
              </w:rPr>
            </w:pPr>
            <w:r>
              <w:rPr>
                <w:color w:val="000000"/>
                <w:sz w:val="20"/>
                <w:szCs w:val="20"/>
              </w:rPr>
              <w:t xml:space="preserve">              36 </w:t>
            </w:r>
          </w:p>
        </w:tc>
      </w:tr>
      <w:tr w:rsidR="001257FA" w:rsidTr="001257FA">
        <w:trPr>
          <w:jc w:val="center"/>
        </w:trPr>
        <w:tc>
          <w:tcPr>
            <w:tcW w:w="1440" w:type="dxa"/>
            <w:tcBorders>
              <w:top w:val="nil"/>
              <w:left w:val="nil"/>
              <w:bottom w:val="nil"/>
              <w:right w:val="nil"/>
            </w:tcBorders>
          </w:tcPr>
          <w:p w:rsidR="001257FA" w:rsidRDefault="001257FA" w:rsidP="001257FA">
            <w:pPr>
              <w:pStyle w:val="in1"/>
              <w:ind w:left="0" w:firstLine="0"/>
              <w:jc w:val="both"/>
              <w:rPr>
                <w:color w:val="000000"/>
                <w:sz w:val="20"/>
                <w:szCs w:val="20"/>
              </w:rPr>
            </w:pPr>
            <w:r>
              <w:rPr>
                <w:color w:val="000000"/>
                <w:sz w:val="20"/>
                <w:szCs w:val="20"/>
              </w:rPr>
              <w:t>2020</w:t>
            </w:r>
          </w:p>
        </w:tc>
        <w:tc>
          <w:tcPr>
            <w:tcW w:w="2160" w:type="dxa"/>
            <w:tcBorders>
              <w:top w:val="nil"/>
              <w:left w:val="nil"/>
              <w:bottom w:val="nil"/>
              <w:right w:val="nil"/>
            </w:tcBorders>
          </w:tcPr>
          <w:p w:rsidR="001257FA" w:rsidRDefault="001257FA" w:rsidP="001257FA">
            <w:pPr>
              <w:tabs>
                <w:tab w:val="decimal" w:pos="1187"/>
              </w:tabs>
              <w:jc w:val="both"/>
              <w:rPr>
                <w:color w:val="000000"/>
                <w:sz w:val="20"/>
                <w:szCs w:val="20"/>
              </w:rPr>
            </w:pPr>
            <w:r>
              <w:rPr>
                <w:color w:val="000000"/>
                <w:sz w:val="20"/>
              </w:rPr>
              <w:t>-</w:t>
            </w:r>
          </w:p>
        </w:tc>
        <w:tc>
          <w:tcPr>
            <w:tcW w:w="2160" w:type="dxa"/>
            <w:tcBorders>
              <w:top w:val="nil"/>
              <w:left w:val="nil"/>
              <w:bottom w:val="nil"/>
              <w:right w:val="nil"/>
            </w:tcBorders>
          </w:tcPr>
          <w:p w:rsidR="001257FA" w:rsidRDefault="001257FA" w:rsidP="001257FA">
            <w:pPr>
              <w:tabs>
                <w:tab w:val="decimal" w:pos="1088"/>
              </w:tabs>
              <w:jc w:val="both"/>
              <w:rPr>
                <w:color w:val="000000"/>
                <w:sz w:val="20"/>
                <w:szCs w:val="20"/>
              </w:rPr>
            </w:pPr>
            <w:r>
              <w:rPr>
                <w:color w:val="000000"/>
                <w:sz w:val="20"/>
                <w:szCs w:val="20"/>
              </w:rPr>
              <w:t xml:space="preserve">               -   </w:t>
            </w:r>
          </w:p>
        </w:tc>
      </w:tr>
      <w:tr w:rsidR="001257FA" w:rsidTr="001257FA">
        <w:trPr>
          <w:jc w:val="center"/>
        </w:trPr>
        <w:tc>
          <w:tcPr>
            <w:tcW w:w="1440" w:type="dxa"/>
            <w:tcBorders>
              <w:top w:val="nil"/>
              <w:left w:val="nil"/>
              <w:bottom w:val="nil"/>
              <w:right w:val="nil"/>
            </w:tcBorders>
          </w:tcPr>
          <w:p w:rsidR="001257FA" w:rsidRDefault="001257FA" w:rsidP="001257FA">
            <w:pPr>
              <w:pStyle w:val="in1"/>
              <w:ind w:left="0" w:firstLine="0"/>
              <w:jc w:val="both"/>
              <w:rPr>
                <w:color w:val="000000"/>
                <w:sz w:val="20"/>
                <w:szCs w:val="20"/>
              </w:rPr>
            </w:pPr>
            <w:r>
              <w:rPr>
                <w:color w:val="000000"/>
                <w:sz w:val="20"/>
                <w:szCs w:val="20"/>
              </w:rPr>
              <w:t>2021</w:t>
            </w:r>
          </w:p>
        </w:tc>
        <w:tc>
          <w:tcPr>
            <w:tcW w:w="2160" w:type="dxa"/>
            <w:tcBorders>
              <w:top w:val="nil"/>
              <w:left w:val="nil"/>
              <w:bottom w:val="nil"/>
              <w:right w:val="nil"/>
            </w:tcBorders>
          </w:tcPr>
          <w:p w:rsidR="001257FA" w:rsidRDefault="001257FA" w:rsidP="001257FA">
            <w:pPr>
              <w:tabs>
                <w:tab w:val="decimal" w:pos="1187"/>
              </w:tabs>
              <w:jc w:val="both"/>
              <w:rPr>
                <w:color w:val="000000"/>
                <w:sz w:val="20"/>
                <w:szCs w:val="20"/>
              </w:rPr>
            </w:pPr>
            <w:r>
              <w:rPr>
                <w:color w:val="000000"/>
                <w:sz w:val="20"/>
                <w:szCs w:val="20"/>
              </w:rPr>
              <w:t xml:space="preserve">           1,474 </w:t>
            </w:r>
          </w:p>
        </w:tc>
        <w:tc>
          <w:tcPr>
            <w:tcW w:w="2160" w:type="dxa"/>
            <w:tcBorders>
              <w:top w:val="nil"/>
              <w:left w:val="nil"/>
              <w:bottom w:val="nil"/>
              <w:right w:val="nil"/>
            </w:tcBorders>
          </w:tcPr>
          <w:p w:rsidR="001257FA" w:rsidRDefault="001257FA" w:rsidP="001257FA">
            <w:pPr>
              <w:tabs>
                <w:tab w:val="decimal" w:pos="1088"/>
              </w:tabs>
              <w:jc w:val="both"/>
              <w:rPr>
                <w:color w:val="000000"/>
                <w:sz w:val="20"/>
                <w:szCs w:val="20"/>
              </w:rPr>
            </w:pPr>
            <w:r>
              <w:rPr>
                <w:color w:val="000000"/>
                <w:sz w:val="20"/>
                <w:szCs w:val="20"/>
              </w:rPr>
              <w:t xml:space="preserve">              72 </w:t>
            </w:r>
          </w:p>
        </w:tc>
      </w:tr>
      <w:tr w:rsidR="001257FA" w:rsidTr="001257FA">
        <w:trPr>
          <w:jc w:val="center"/>
        </w:trPr>
        <w:tc>
          <w:tcPr>
            <w:tcW w:w="1440" w:type="dxa"/>
            <w:tcBorders>
              <w:top w:val="nil"/>
              <w:left w:val="nil"/>
              <w:bottom w:val="nil"/>
              <w:right w:val="nil"/>
            </w:tcBorders>
          </w:tcPr>
          <w:p w:rsidR="001257FA" w:rsidRDefault="001257FA" w:rsidP="001257FA">
            <w:pPr>
              <w:pStyle w:val="in1"/>
              <w:ind w:left="0" w:firstLine="0"/>
              <w:jc w:val="both"/>
              <w:rPr>
                <w:color w:val="000000"/>
                <w:sz w:val="20"/>
                <w:szCs w:val="20"/>
              </w:rPr>
            </w:pPr>
            <w:r>
              <w:rPr>
                <w:color w:val="000000"/>
                <w:sz w:val="20"/>
                <w:szCs w:val="20"/>
              </w:rPr>
              <w:t>2022</w:t>
            </w:r>
          </w:p>
        </w:tc>
        <w:tc>
          <w:tcPr>
            <w:tcW w:w="2160" w:type="dxa"/>
            <w:tcBorders>
              <w:top w:val="nil"/>
              <w:left w:val="nil"/>
              <w:bottom w:val="nil"/>
              <w:right w:val="nil"/>
            </w:tcBorders>
          </w:tcPr>
          <w:p w:rsidR="001257FA" w:rsidRDefault="001257FA" w:rsidP="001257FA">
            <w:pPr>
              <w:tabs>
                <w:tab w:val="decimal" w:pos="1187"/>
              </w:tabs>
              <w:jc w:val="both"/>
              <w:rPr>
                <w:color w:val="000000"/>
                <w:sz w:val="20"/>
                <w:szCs w:val="20"/>
              </w:rPr>
            </w:pPr>
            <w:r>
              <w:rPr>
                <w:color w:val="000000"/>
                <w:sz w:val="20"/>
                <w:szCs w:val="20"/>
              </w:rPr>
              <w:t xml:space="preserve">           1,275</w:t>
            </w:r>
          </w:p>
        </w:tc>
        <w:tc>
          <w:tcPr>
            <w:tcW w:w="2160" w:type="dxa"/>
            <w:tcBorders>
              <w:top w:val="nil"/>
              <w:left w:val="nil"/>
              <w:bottom w:val="nil"/>
              <w:right w:val="nil"/>
            </w:tcBorders>
          </w:tcPr>
          <w:p w:rsidR="001257FA" w:rsidRDefault="001257FA" w:rsidP="001257FA">
            <w:pPr>
              <w:tabs>
                <w:tab w:val="decimal" w:pos="1088"/>
              </w:tabs>
              <w:jc w:val="both"/>
              <w:rPr>
                <w:color w:val="000000"/>
                <w:sz w:val="20"/>
                <w:szCs w:val="20"/>
              </w:rPr>
            </w:pPr>
            <w:r>
              <w:rPr>
                <w:color w:val="000000"/>
                <w:sz w:val="20"/>
                <w:szCs w:val="20"/>
              </w:rPr>
              <w:t xml:space="preserve">            116 </w:t>
            </w:r>
          </w:p>
        </w:tc>
      </w:tr>
      <w:tr w:rsidR="001257FA" w:rsidTr="001257FA">
        <w:trPr>
          <w:jc w:val="center"/>
        </w:trPr>
        <w:tc>
          <w:tcPr>
            <w:tcW w:w="1440" w:type="dxa"/>
            <w:tcBorders>
              <w:top w:val="nil"/>
              <w:left w:val="nil"/>
              <w:bottom w:val="nil"/>
              <w:right w:val="nil"/>
            </w:tcBorders>
          </w:tcPr>
          <w:p w:rsidR="001257FA" w:rsidRDefault="001257FA" w:rsidP="001257FA">
            <w:pPr>
              <w:pStyle w:val="in1"/>
              <w:ind w:left="0" w:firstLine="0"/>
              <w:jc w:val="both"/>
              <w:rPr>
                <w:color w:val="000000"/>
                <w:sz w:val="20"/>
                <w:szCs w:val="20"/>
              </w:rPr>
            </w:pPr>
            <w:r>
              <w:rPr>
                <w:color w:val="000000"/>
                <w:sz w:val="20"/>
                <w:szCs w:val="20"/>
              </w:rPr>
              <w:t>2023</w:t>
            </w:r>
          </w:p>
        </w:tc>
        <w:tc>
          <w:tcPr>
            <w:tcW w:w="2160" w:type="dxa"/>
            <w:tcBorders>
              <w:top w:val="nil"/>
              <w:left w:val="nil"/>
              <w:bottom w:val="nil"/>
              <w:right w:val="nil"/>
            </w:tcBorders>
          </w:tcPr>
          <w:p w:rsidR="001257FA" w:rsidRDefault="001257FA" w:rsidP="001257FA">
            <w:pPr>
              <w:tabs>
                <w:tab w:val="decimal" w:pos="1187"/>
              </w:tabs>
              <w:jc w:val="both"/>
              <w:rPr>
                <w:color w:val="000000"/>
                <w:sz w:val="20"/>
                <w:szCs w:val="20"/>
              </w:rPr>
            </w:pPr>
            <w:r>
              <w:rPr>
                <w:color w:val="000000"/>
                <w:sz w:val="20"/>
                <w:szCs w:val="20"/>
              </w:rPr>
              <w:t xml:space="preserve">           9,115 </w:t>
            </w:r>
          </w:p>
        </w:tc>
        <w:tc>
          <w:tcPr>
            <w:tcW w:w="2160" w:type="dxa"/>
            <w:tcBorders>
              <w:top w:val="nil"/>
              <w:left w:val="nil"/>
              <w:bottom w:val="nil"/>
              <w:right w:val="nil"/>
            </w:tcBorders>
          </w:tcPr>
          <w:p w:rsidR="001257FA" w:rsidRDefault="001257FA" w:rsidP="001257FA">
            <w:pPr>
              <w:tabs>
                <w:tab w:val="decimal" w:pos="1088"/>
              </w:tabs>
              <w:jc w:val="both"/>
              <w:rPr>
                <w:color w:val="000000"/>
                <w:sz w:val="20"/>
                <w:szCs w:val="20"/>
              </w:rPr>
            </w:pPr>
            <w:r>
              <w:rPr>
                <w:color w:val="000000"/>
                <w:sz w:val="20"/>
                <w:szCs w:val="20"/>
              </w:rPr>
              <w:t xml:space="preserve">              72 </w:t>
            </w:r>
          </w:p>
        </w:tc>
      </w:tr>
      <w:tr w:rsidR="001257FA" w:rsidTr="001257FA">
        <w:trPr>
          <w:trHeight w:val="135"/>
          <w:jc w:val="center"/>
        </w:trPr>
        <w:tc>
          <w:tcPr>
            <w:tcW w:w="1440" w:type="dxa"/>
            <w:tcBorders>
              <w:top w:val="nil"/>
              <w:left w:val="nil"/>
              <w:bottom w:val="nil"/>
              <w:right w:val="nil"/>
            </w:tcBorders>
          </w:tcPr>
          <w:p w:rsidR="001257FA" w:rsidRDefault="001257FA" w:rsidP="001257FA">
            <w:pPr>
              <w:pStyle w:val="in1"/>
              <w:ind w:left="0" w:firstLine="0"/>
              <w:jc w:val="both"/>
              <w:rPr>
                <w:color w:val="000000"/>
                <w:sz w:val="20"/>
                <w:szCs w:val="20"/>
              </w:rPr>
            </w:pPr>
            <w:r>
              <w:rPr>
                <w:color w:val="000000"/>
                <w:sz w:val="20"/>
                <w:szCs w:val="20"/>
              </w:rPr>
              <w:t>2024</w:t>
            </w:r>
          </w:p>
        </w:tc>
        <w:tc>
          <w:tcPr>
            <w:tcW w:w="2160" w:type="dxa"/>
            <w:tcBorders>
              <w:top w:val="nil"/>
              <w:left w:val="nil"/>
              <w:bottom w:val="nil"/>
              <w:right w:val="nil"/>
            </w:tcBorders>
          </w:tcPr>
          <w:p w:rsidR="001257FA" w:rsidRDefault="001257FA" w:rsidP="001257FA">
            <w:pPr>
              <w:tabs>
                <w:tab w:val="decimal" w:pos="1187"/>
              </w:tabs>
              <w:jc w:val="both"/>
              <w:rPr>
                <w:color w:val="000000"/>
                <w:sz w:val="20"/>
                <w:szCs w:val="20"/>
              </w:rPr>
            </w:pPr>
            <w:r>
              <w:rPr>
                <w:color w:val="000000"/>
                <w:sz w:val="20"/>
              </w:rPr>
              <w:t>-</w:t>
            </w:r>
          </w:p>
        </w:tc>
        <w:tc>
          <w:tcPr>
            <w:tcW w:w="2160" w:type="dxa"/>
            <w:tcBorders>
              <w:top w:val="nil"/>
              <w:left w:val="nil"/>
              <w:bottom w:val="nil"/>
              <w:right w:val="nil"/>
            </w:tcBorders>
          </w:tcPr>
          <w:p w:rsidR="001257FA" w:rsidRDefault="001257FA" w:rsidP="001257FA">
            <w:pPr>
              <w:tabs>
                <w:tab w:val="decimal" w:pos="1088"/>
              </w:tabs>
              <w:jc w:val="both"/>
              <w:rPr>
                <w:color w:val="000000"/>
                <w:sz w:val="20"/>
                <w:szCs w:val="20"/>
              </w:rPr>
            </w:pPr>
            <w:r>
              <w:rPr>
                <w:color w:val="000000"/>
                <w:sz w:val="20"/>
                <w:szCs w:val="20"/>
              </w:rPr>
              <w:t xml:space="preserve">              91 </w:t>
            </w:r>
          </w:p>
        </w:tc>
      </w:tr>
      <w:tr w:rsidR="001257FA" w:rsidTr="001257FA">
        <w:trPr>
          <w:jc w:val="center"/>
        </w:trPr>
        <w:tc>
          <w:tcPr>
            <w:tcW w:w="1440" w:type="dxa"/>
            <w:tcBorders>
              <w:top w:val="nil"/>
              <w:left w:val="nil"/>
              <w:bottom w:val="nil"/>
              <w:right w:val="nil"/>
            </w:tcBorders>
          </w:tcPr>
          <w:p w:rsidR="001257FA" w:rsidRDefault="001257FA" w:rsidP="001257FA">
            <w:pPr>
              <w:pStyle w:val="in1"/>
              <w:ind w:left="0" w:firstLine="0"/>
              <w:jc w:val="both"/>
              <w:rPr>
                <w:color w:val="000000"/>
                <w:sz w:val="20"/>
                <w:szCs w:val="20"/>
              </w:rPr>
            </w:pPr>
            <w:r>
              <w:rPr>
                <w:color w:val="000000"/>
                <w:sz w:val="20"/>
                <w:szCs w:val="20"/>
              </w:rPr>
              <w:t>2025</w:t>
            </w:r>
          </w:p>
        </w:tc>
        <w:tc>
          <w:tcPr>
            <w:tcW w:w="2160" w:type="dxa"/>
            <w:tcBorders>
              <w:top w:val="nil"/>
              <w:left w:val="nil"/>
              <w:bottom w:val="nil"/>
              <w:right w:val="nil"/>
            </w:tcBorders>
          </w:tcPr>
          <w:p w:rsidR="001257FA" w:rsidRDefault="001257FA" w:rsidP="001257FA">
            <w:pPr>
              <w:tabs>
                <w:tab w:val="decimal" w:pos="1187"/>
              </w:tabs>
              <w:jc w:val="both"/>
              <w:rPr>
                <w:sz w:val="20"/>
              </w:rPr>
            </w:pPr>
            <w:r>
              <w:rPr>
                <w:color w:val="000000"/>
                <w:sz w:val="20"/>
              </w:rPr>
              <w:t>-</w:t>
            </w:r>
          </w:p>
        </w:tc>
        <w:tc>
          <w:tcPr>
            <w:tcW w:w="2160" w:type="dxa"/>
            <w:tcBorders>
              <w:top w:val="nil"/>
              <w:left w:val="nil"/>
              <w:bottom w:val="nil"/>
              <w:right w:val="nil"/>
            </w:tcBorders>
          </w:tcPr>
          <w:p w:rsidR="001257FA" w:rsidRDefault="001257FA" w:rsidP="001257FA">
            <w:pPr>
              <w:tabs>
                <w:tab w:val="decimal" w:pos="1088"/>
              </w:tabs>
              <w:jc w:val="both"/>
              <w:rPr>
                <w:color w:val="000000"/>
                <w:sz w:val="20"/>
                <w:szCs w:val="20"/>
              </w:rPr>
            </w:pPr>
            <w:r>
              <w:rPr>
                <w:color w:val="000000"/>
                <w:sz w:val="20"/>
                <w:szCs w:val="20"/>
              </w:rPr>
              <w:t xml:space="preserve">              68 </w:t>
            </w:r>
          </w:p>
        </w:tc>
      </w:tr>
      <w:tr w:rsidR="001257FA" w:rsidTr="001257FA">
        <w:trPr>
          <w:jc w:val="center"/>
        </w:trPr>
        <w:tc>
          <w:tcPr>
            <w:tcW w:w="1440" w:type="dxa"/>
            <w:tcBorders>
              <w:top w:val="nil"/>
              <w:left w:val="nil"/>
              <w:bottom w:val="nil"/>
              <w:right w:val="nil"/>
            </w:tcBorders>
          </w:tcPr>
          <w:p w:rsidR="001257FA" w:rsidRDefault="001257FA" w:rsidP="001257FA">
            <w:pPr>
              <w:pStyle w:val="in1"/>
              <w:ind w:left="0" w:firstLine="0"/>
              <w:jc w:val="both"/>
              <w:rPr>
                <w:color w:val="000000"/>
                <w:sz w:val="20"/>
                <w:szCs w:val="20"/>
              </w:rPr>
            </w:pPr>
            <w:r>
              <w:rPr>
                <w:color w:val="000000"/>
                <w:sz w:val="20"/>
                <w:szCs w:val="20"/>
              </w:rPr>
              <w:t>2026</w:t>
            </w:r>
          </w:p>
        </w:tc>
        <w:tc>
          <w:tcPr>
            <w:tcW w:w="2160" w:type="dxa"/>
            <w:tcBorders>
              <w:top w:val="nil"/>
              <w:left w:val="nil"/>
              <w:bottom w:val="nil"/>
              <w:right w:val="nil"/>
            </w:tcBorders>
          </w:tcPr>
          <w:p w:rsidR="001257FA" w:rsidRDefault="001257FA" w:rsidP="001257FA">
            <w:pPr>
              <w:tabs>
                <w:tab w:val="decimal" w:pos="1187"/>
              </w:tabs>
              <w:jc w:val="both"/>
              <w:rPr>
                <w:sz w:val="20"/>
              </w:rPr>
            </w:pPr>
            <w:r>
              <w:rPr>
                <w:color w:val="000000"/>
                <w:sz w:val="20"/>
              </w:rPr>
              <w:t>-</w:t>
            </w:r>
          </w:p>
        </w:tc>
        <w:tc>
          <w:tcPr>
            <w:tcW w:w="2160" w:type="dxa"/>
            <w:tcBorders>
              <w:top w:val="nil"/>
              <w:left w:val="nil"/>
              <w:bottom w:val="nil"/>
              <w:right w:val="nil"/>
            </w:tcBorders>
          </w:tcPr>
          <w:p w:rsidR="001257FA" w:rsidRDefault="001257FA" w:rsidP="001257FA">
            <w:pPr>
              <w:tabs>
                <w:tab w:val="decimal" w:pos="1088"/>
              </w:tabs>
              <w:jc w:val="both"/>
              <w:rPr>
                <w:color w:val="000000"/>
                <w:sz w:val="20"/>
                <w:szCs w:val="20"/>
              </w:rPr>
            </w:pPr>
            <w:r>
              <w:rPr>
                <w:color w:val="000000"/>
                <w:sz w:val="20"/>
                <w:szCs w:val="20"/>
              </w:rPr>
              <w:t xml:space="preserve">              72 </w:t>
            </w:r>
          </w:p>
        </w:tc>
      </w:tr>
      <w:tr w:rsidR="001257FA" w:rsidTr="001257FA">
        <w:trPr>
          <w:jc w:val="center"/>
        </w:trPr>
        <w:tc>
          <w:tcPr>
            <w:tcW w:w="1440" w:type="dxa"/>
            <w:tcBorders>
              <w:top w:val="nil"/>
              <w:left w:val="nil"/>
              <w:bottom w:val="nil"/>
              <w:right w:val="nil"/>
            </w:tcBorders>
          </w:tcPr>
          <w:p w:rsidR="001257FA" w:rsidRDefault="001257FA" w:rsidP="001257FA">
            <w:pPr>
              <w:pStyle w:val="in1"/>
              <w:ind w:left="0" w:firstLine="0"/>
              <w:jc w:val="both"/>
              <w:rPr>
                <w:color w:val="000000"/>
                <w:sz w:val="20"/>
                <w:szCs w:val="20"/>
              </w:rPr>
            </w:pPr>
            <w:r>
              <w:rPr>
                <w:color w:val="000000"/>
                <w:sz w:val="20"/>
                <w:szCs w:val="20"/>
              </w:rPr>
              <w:t>2027</w:t>
            </w:r>
          </w:p>
        </w:tc>
        <w:tc>
          <w:tcPr>
            <w:tcW w:w="2160" w:type="dxa"/>
            <w:tcBorders>
              <w:top w:val="nil"/>
              <w:left w:val="nil"/>
              <w:bottom w:val="nil"/>
              <w:right w:val="nil"/>
            </w:tcBorders>
          </w:tcPr>
          <w:p w:rsidR="001257FA" w:rsidRDefault="001257FA" w:rsidP="001257FA">
            <w:pPr>
              <w:tabs>
                <w:tab w:val="decimal" w:pos="1187"/>
              </w:tabs>
              <w:jc w:val="both"/>
              <w:rPr>
                <w:sz w:val="20"/>
              </w:rPr>
            </w:pPr>
            <w:r>
              <w:rPr>
                <w:color w:val="000000"/>
                <w:sz w:val="20"/>
              </w:rPr>
              <w:t>-</w:t>
            </w:r>
          </w:p>
        </w:tc>
        <w:tc>
          <w:tcPr>
            <w:tcW w:w="2160" w:type="dxa"/>
            <w:tcBorders>
              <w:top w:val="nil"/>
              <w:left w:val="nil"/>
              <w:bottom w:val="nil"/>
              <w:right w:val="nil"/>
            </w:tcBorders>
          </w:tcPr>
          <w:p w:rsidR="001257FA" w:rsidRDefault="001257FA" w:rsidP="001257FA">
            <w:pPr>
              <w:tabs>
                <w:tab w:val="decimal" w:pos="1088"/>
              </w:tabs>
              <w:jc w:val="both"/>
              <w:rPr>
                <w:color w:val="000000"/>
                <w:sz w:val="20"/>
                <w:szCs w:val="20"/>
              </w:rPr>
            </w:pPr>
            <w:r>
              <w:rPr>
                <w:color w:val="000000"/>
                <w:sz w:val="20"/>
                <w:szCs w:val="20"/>
              </w:rPr>
              <w:t xml:space="preserve">            168 </w:t>
            </w:r>
          </w:p>
        </w:tc>
      </w:tr>
      <w:tr w:rsidR="001257FA" w:rsidTr="001257FA">
        <w:trPr>
          <w:jc w:val="center"/>
        </w:trPr>
        <w:tc>
          <w:tcPr>
            <w:tcW w:w="1440" w:type="dxa"/>
            <w:tcBorders>
              <w:top w:val="nil"/>
              <w:left w:val="nil"/>
              <w:bottom w:val="nil"/>
              <w:right w:val="nil"/>
            </w:tcBorders>
          </w:tcPr>
          <w:p w:rsidR="001257FA" w:rsidRDefault="001257FA" w:rsidP="001257FA">
            <w:pPr>
              <w:pStyle w:val="in1"/>
              <w:ind w:left="0" w:firstLine="0"/>
              <w:jc w:val="both"/>
              <w:rPr>
                <w:color w:val="000000"/>
                <w:sz w:val="20"/>
                <w:szCs w:val="20"/>
              </w:rPr>
            </w:pPr>
            <w:r>
              <w:rPr>
                <w:color w:val="000000"/>
                <w:sz w:val="20"/>
                <w:szCs w:val="20"/>
              </w:rPr>
              <w:t>2028</w:t>
            </w:r>
          </w:p>
        </w:tc>
        <w:tc>
          <w:tcPr>
            <w:tcW w:w="2160" w:type="dxa"/>
            <w:tcBorders>
              <w:top w:val="nil"/>
              <w:left w:val="nil"/>
              <w:bottom w:val="nil"/>
              <w:right w:val="nil"/>
            </w:tcBorders>
          </w:tcPr>
          <w:p w:rsidR="001257FA" w:rsidRDefault="001257FA" w:rsidP="001257FA">
            <w:pPr>
              <w:tabs>
                <w:tab w:val="decimal" w:pos="1187"/>
              </w:tabs>
              <w:jc w:val="both"/>
              <w:rPr>
                <w:color w:val="000000"/>
                <w:sz w:val="20"/>
                <w:szCs w:val="20"/>
              </w:rPr>
            </w:pPr>
            <w:r>
              <w:rPr>
                <w:color w:val="000000"/>
                <w:sz w:val="20"/>
              </w:rPr>
              <w:t>-</w:t>
            </w:r>
          </w:p>
        </w:tc>
        <w:tc>
          <w:tcPr>
            <w:tcW w:w="2160" w:type="dxa"/>
            <w:tcBorders>
              <w:top w:val="nil"/>
              <w:left w:val="nil"/>
              <w:bottom w:val="nil"/>
              <w:right w:val="nil"/>
            </w:tcBorders>
          </w:tcPr>
          <w:p w:rsidR="001257FA" w:rsidRDefault="001257FA" w:rsidP="001257FA">
            <w:pPr>
              <w:tabs>
                <w:tab w:val="decimal" w:pos="1088"/>
              </w:tabs>
              <w:jc w:val="both"/>
              <w:rPr>
                <w:color w:val="000000"/>
                <w:sz w:val="20"/>
                <w:szCs w:val="20"/>
              </w:rPr>
            </w:pPr>
            <w:r>
              <w:rPr>
                <w:color w:val="000000"/>
                <w:sz w:val="20"/>
                <w:szCs w:val="20"/>
              </w:rPr>
              <w:t xml:space="preserve">            101 </w:t>
            </w:r>
          </w:p>
        </w:tc>
      </w:tr>
      <w:tr w:rsidR="001257FA" w:rsidTr="001257FA">
        <w:trPr>
          <w:jc w:val="center"/>
        </w:trPr>
        <w:tc>
          <w:tcPr>
            <w:tcW w:w="1440" w:type="dxa"/>
            <w:tcBorders>
              <w:top w:val="nil"/>
              <w:left w:val="nil"/>
              <w:bottom w:val="nil"/>
              <w:right w:val="nil"/>
            </w:tcBorders>
          </w:tcPr>
          <w:p w:rsidR="001257FA" w:rsidRDefault="001257FA" w:rsidP="001257FA">
            <w:pPr>
              <w:pStyle w:val="in1"/>
              <w:ind w:left="0" w:firstLine="0"/>
              <w:jc w:val="both"/>
              <w:rPr>
                <w:color w:val="000000"/>
                <w:sz w:val="20"/>
                <w:szCs w:val="20"/>
              </w:rPr>
            </w:pPr>
            <w:r>
              <w:rPr>
                <w:color w:val="000000"/>
                <w:sz w:val="20"/>
                <w:szCs w:val="20"/>
              </w:rPr>
              <w:t>2029</w:t>
            </w:r>
          </w:p>
        </w:tc>
        <w:tc>
          <w:tcPr>
            <w:tcW w:w="2160" w:type="dxa"/>
            <w:tcBorders>
              <w:top w:val="nil"/>
              <w:left w:val="nil"/>
              <w:bottom w:val="nil"/>
              <w:right w:val="nil"/>
            </w:tcBorders>
          </w:tcPr>
          <w:p w:rsidR="001257FA" w:rsidRDefault="001257FA" w:rsidP="001257FA">
            <w:pPr>
              <w:tabs>
                <w:tab w:val="decimal" w:pos="1187"/>
              </w:tabs>
              <w:jc w:val="both"/>
              <w:rPr>
                <w:sz w:val="20"/>
              </w:rPr>
            </w:pPr>
            <w:r>
              <w:rPr>
                <w:color w:val="000000"/>
                <w:sz w:val="20"/>
              </w:rPr>
              <w:t>-</w:t>
            </w:r>
          </w:p>
        </w:tc>
        <w:tc>
          <w:tcPr>
            <w:tcW w:w="2160" w:type="dxa"/>
            <w:tcBorders>
              <w:top w:val="nil"/>
              <w:left w:val="nil"/>
              <w:bottom w:val="nil"/>
              <w:right w:val="nil"/>
            </w:tcBorders>
          </w:tcPr>
          <w:p w:rsidR="001257FA" w:rsidRDefault="001257FA" w:rsidP="001257FA">
            <w:pPr>
              <w:tabs>
                <w:tab w:val="decimal" w:pos="1088"/>
              </w:tabs>
              <w:jc w:val="both"/>
              <w:rPr>
                <w:color w:val="000000"/>
                <w:sz w:val="20"/>
                <w:szCs w:val="20"/>
              </w:rPr>
            </w:pPr>
            <w:r>
              <w:rPr>
                <w:color w:val="000000"/>
                <w:sz w:val="20"/>
                <w:szCs w:val="20"/>
              </w:rPr>
              <w:t xml:space="preserve">            100 </w:t>
            </w:r>
          </w:p>
        </w:tc>
      </w:tr>
      <w:tr w:rsidR="001257FA" w:rsidTr="001257FA">
        <w:trPr>
          <w:jc w:val="center"/>
        </w:trPr>
        <w:tc>
          <w:tcPr>
            <w:tcW w:w="1440" w:type="dxa"/>
            <w:tcBorders>
              <w:top w:val="nil"/>
              <w:left w:val="nil"/>
              <w:bottom w:val="nil"/>
              <w:right w:val="nil"/>
            </w:tcBorders>
          </w:tcPr>
          <w:p w:rsidR="001257FA" w:rsidRDefault="001257FA" w:rsidP="001257FA">
            <w:pPr>
              <w:pStyle w:val="in1"/>
              <w:ind w:left="0" w:firstLine="0"/>
              <w:jc w:val="both"/>
              <w:rPr>
                <w:color w:val="000000"/>
                <w:sz w:val="20"/>
                <w:szCs w:val="20"/>
              </w:rPr>
            </w:pPr>
            <w:r>
              <w:rPr>
                <w:color w:val="000000"/>
                <w:sz w:val="20"/>
                <w:szCs w:val="20"/>
              </w:rPr>
              <w:t>2030</w:t>
            </w:r>
          </w:p>
        </w:tc>
        <w:tc>
          <w:tcPr>
            <w:tcW w:w="2160" w:type="dxa"/>
            <w:tcBorders>
              <w:top w:val="nil"/>
              <w:left w:val="nil"/>
              <w:bottom w:val="nil"/>
              <w:right w:val="nil"/>
            </w:tcBorders>
          </w:tcPr>
          <w:p w:rsidR="001257FA" w:rsidRDefault="001257FA" w:rsidP="001257FA">
            <w:pPr>
              <w:tabs>
                <w:tab w:val="decimal" w:pos="1187"/>
              </w:tabs>
              <w:jc w:val="both"/>
              <w:rPr>
                <w:sz w:val="20"/>
              </w:rPr>
            </w:pPr>
            <w:r>
              <w:rPr>
                <w:sz w:val="20"/>
              </w:rPr>
              <w:t>-</w:t>
            </w:r>
          </w:p>
        </w:tc>
        <w:tc>
          <w:tcPr>
            <w:tcW w:w="2160" w:type="dxa"/>
            <w:tcBorders>
              <w:top w:val="nil"/>
              <w:left w:val="nil"/>
              <w:bottom w:val="nil"/>
              <w:right w:val="nil"/>
            </w:tcBorders>
          </w:tcPr>
          <w:p w:rsidR="001257FA" w:rsidRDefault="001257FA" w:rsidP="001257FA">
            <w:pPr>
              <w:tabs>
                <w:tab w:val="decimal" w:pos="1088"/>
              </w:tabs>
              <w:jc w:val="both"/>
              <w:rPr>
                <w:color w:val="000000"/>
                <w:sz w:val="20"/>
                <w:szCs w:val="20"/>
              </w:rPr>
            </w:pPr>
            <w:r>
              <w:rPr>
                <w:color w:val="000000"/>
                <w:sz w:val="20"/>
                <w:szCs w:val="20"/>
              </w:rPr>
              <w:t xml:space="preserve">            169 </w:t>
            </w:r>
          </w:p>
        </w:tc>
      </w:tr>
      <w:tr w:rsidR="001257FA" w:rsidTr="001257FA">
        <w:trPr>
          <w:jc w:val="center"/>
        </w:trPr>
        <w:tc>
          <w:tcPr>
            <w:tcW w:w="1440" w:type="dxa"/>
            <w:tcBorders>
              <w:top w:val="nil"/>
              <w:left w:val="nil"/>
              <w:bottom w:val="nil"/>
              <w:right w:val="nil"/>
            </w:tcBorders>
          </w:tcPr>
          <w:p w:rsidR="001257FA" w:rsidRDefault="001257FA" w:rsidP="001257FA">
            <w:pPr>
              <w:pStyle w:val="in1"/>
              <w:ind w:left="0" w:firstLine="0"/>
              <w:jc w:val="both"/>
              <w:rPr>
                <w:color w:val="000000"/>
                <w:sz w:val="20"/>
                <w:szCs w:val="20"/>
              </w:rPr>
            </w:pPr>
            <w:r>
              <w:rPr>
                <w:color w:val="000000"/>
                <w:sz w:val="20"/>
                <w:szCs w:val="20"/>
              </w:rPr>
              <w:t>2031</w:t>
            </w:r>
          </w:p>
        </w:tc>
        <w:tc>
          <w:tcPr>
            <w:tcW w:w="2160" w:type="dxa"/>
            <w:tcBorders>
              <w:top w:val="nil"/>
              <w:left w:val="nil"/>
              <w:bottom w:val="nil"/>
              <w:right w:val="nil"/>
            </w:tcBorders>
          </w:tcPr>
          <w:p w:rsidR="001257FA" w:rsidRDefault="001257FA" w:rsidP="001257FA">
            <w:pPr>
              <w:tabs>
                <w:tab w:val="decimal" w:pos="1187"/>
              </w:tabs>
              <w:jc w:val="both"/>
              <w:rPr>
                <w:sz w:val="20"/>
              </w:rPr>
            </w:pPr>
            <w:r>
              <w:rPr>
                <w:sz w:val="20"/>
              </w:rPr>
              <w:t>-</w:t>
            </w:r>
          </w:p>
        </w:tc>
        <w:tc>
          <w:tcPr>
            <w:tcW w:w="2160" w:type="dxa"/>
            <w:tcBorders>
              <w:top w:val="nil"/>
              <w:left w:val="nil"/>
              <w:bottom w:val="nil"/>
              <w:right w:val="nil"/>
            </w:tcBorders>
          </w:tcPr>
          <w:p w:rsidR="001257FA" w:rsidRDefault="001257FA" w:rsidP="001257FA">
            <w:pPr>
              <w:tabs>
                <w:tab w:val="decimal" w:pos="1088"/>
              </w:tabs>
              <w:jc w:val="both"/>
              <w:rPr>
                <w:color w:val="000000"/>
                <w:sz w:val="20"/>
                <w:szCs w:val="20"/>
              </w:rPr>
            </w:pPr>
            <w:r>
              <w:rPr>
                <w:color w:val="000000"/>
                <w:sz w:val="20"/>
                <w:szCs w:val="20"/>
              </w:rPr>
              <w:t>169</w:t>
            </w:r>
          </w:p>
        </w:tc>
      </w:tr>
      <w:tr w:rsidR="001257FA" w:rsidTr="001257FA">
        <w:trPr>
          <w:jc w:val="center"/>
        </w:trPr>
        <w:tc>
          <w:tcPr>
            <w:tcW w:w="1440" w:type="dxa"/>
            <w:tcBorders>
              <w:top w:val="nil"/>
              <w:left w:val="nil"/>
              <w:bottom w:val="nil"/>
              <w:right w:val="nil"/>
            </w:tcBorders>
          </w:tcPr>
          <w:p w:rsidR="001257FA" w:rsidRDefault="001257FA" w:rsidP="001257FA">
            <w:pPr>
              <w:pStyle w:val="in1"/>
              <w:ind w:left="0" w:firstLine="0"/>
              <w:jc w:val="both"/>
              <w:rPr>
                <w:color w:val="000000"/>
                <w:sz w:val="20"/>
                <w:szCs w:val="20"/>
              </w:rPr>
            </w:pPr>
          </w:p>
        </w:tc>
        <w:tc>
          <w:tcPr>
            <w:tcW w:w="2160" w:type="dxa"/>
            <w:tcBorders>
              <w:top w:val="single" w:sz="4" w:space="0" w:color="auto"/>
              <w:left w:val="nil"/>
              <w:bottom w:val="double" w:sz="6" w:space="0" w:color="auto"/>
              <w:right w:val="nil"/>
            </w:tcBorders>
          </w:tcPr>
          <w:p w:rsidR="001257FA" w:rsidRDefault="001257FA" w:rsidP="001257FA">
            <w:pPr>
              <w:tabs>
                <w:tab w:val="decimal" w:pos="1187"/>
              </w:tabs>
              <w:jc w:val="both"/>
              <w:rPr>
                <w:color w:val="000000"/>
                <w:sz w:val="20"/>
                <w:szCs w:val="20"/>
              </w:rPr>
            </w:pPr>
            <w:r>
              <w:rPr>
                <w:color w:val="000000"/>
                <w:sz w:val="20"/>
              </w:rPr>
              <w:t xml:space="preserve">$13,915 </w:t>
            </w:r>
          </w:p>
        </w:tc>
        <w:tc>
          <w:tcPr>
            <w:tcW w:w="2160" w:type="dxa"/>
            <w:tcBorders>
              <w:top w:val="single" w:sz="4" w:space="0" w:color="auto"/>
              <w:left w:val="nil"/>
              <w:bottom w:val="double" w:sz="6" w:space="0" w:color="auto"/>
              <w:right w:val="nil"/>
            </w:tcBorders>
          </w:tcPr>
          <w:p w:rsidR="001257FA" w:rsidRDefault="001257FA" w:rsidP="001257FA">
            <w:pPr>
              <w:tabs>
                <w:tab w:val="decimal" w:pos="1088"/>
              </w:tabs>
              <w:jc w:val="both"/>
              <w:rPr>
                <w:color w:val="000000"/>
                <w:sz w:val="20"/>
                <w:szCs w:val="20"/>
              </w:rPr>
            </w:pPr>
            <w:r>
              <w:rPr>
                <w:color w:val="000000"/>
                <w:sz w:val="20"/>
                <w:szCs w:val="20"/>
              </w:rPr>
              <w:t>$1,318</w:t>
            </w:r>
          </w:p>
        </w:tc>
      </w:tr>
    </w:tbl>
    <w:p w:rsidR="001257FA" w:rsidRDefault="001257FA" w:rsidP="001257FA"/>
    <w:p w:rsidR="001257FA" w:rsidRDefault="001257FA" w:rsidP="001257FA">
      <w:pPr>
        <w:shd w:val="clear" w:color="auto" w:fill="FFFFFF"/>
        <w:ind w:firstLine="720"/>
        <w:rPr>
          <w:color w:val="000000"/>
          <w:sz w:val="20"/>
        </w:rPr>
      </w:pPr>
    </w:p>
    <w:p w:rsidR="001257FA" w:rsidRDefault="001257FA" w:rsidP="001257FA">
      <w:pPr>
        <w:shd w:val="clear" w:color="auto" w:fill="FFFFFF"/>
        <w:ind w:firstLine="720"/>
        <w:rPr>
          <w:color w:val="000000"/>
          <w:sz w:val="20"/>
        </w:rPr>
      </w:pPr>
    </w:p>
    <w:p w:rsidR="001257FA" w:rsidRDefault="001257FA" w:rsidP="001257FA">
      <w:pPr>
        <w:shd w:val="clear" w:color="auto" w:fill="FFFFFF"/>
        <w:ind w:firstLine="720"/>
        <w:rPr>
          <w:color w:val="000000"/>
          <w:sz w:val="20"/>
        </w:rPr>
      </w:pPr>
      <w:r>
        <w:rPr>
          <w:color w:val="000000"/>
          <w:sz w:val="20"/>
        </w:rPr>
        <w:t xml:space="preserve">Section 382 of the Internal Revenue Code restricts the annual utilization of NOLs incurred prior to a change in ownership. Such a change in ownership occurred in connection with the Coda reverse merger, thereby potentially restricting the NOLs available.   In 2009, we completed a further Section 382 analysis for the time period since the reverse merger and determined that there are limitations relating to ownership changes. </w:t>
      </w:r>
      <w:r>
        <w:rPr>
          <w:color w:val="000000"/>
          <w:sz w:val="20"/>
          <w:szCs w:val="20"/>
        </w:rPr>
        <w:t xml:space="preserve">The acquisition of additional shares by a greater than 5% shareholder in January 2007 resulted in an “ownership change” under Section 382 </w:t>
      </w:r>
      <w:r>
        <w:rPr>
          <w:color w:val="000000"/>
          <w:sz w:val="20"/>
        </w:rPr>
        <w:t xml:space="preserve">over a three year period resulting in potential future limitations on the utilization of our NOLs.   </w:t>
      </w:r>
    </w:p>
    <w:p w:rsidR="001257FA" w:rsidRDefault="001257FA" w:rsidP="001257FA">
      <w:pPr>
        <w:shd w:val="clear" w:color="auto" w:fill="FFFFFF"/>
        <w:ind w:firstLine="720"/>
        <w:rPr>
          <w:color w:val="000000"/>
          <w:sz w:val="20"/>
        </w:rPr>
      </w:pPr>
    </w:p>
    <w:p w:rsidR="001257FA" w:rsidRDefault="001257FA" w:rsidP="001257FA">
      <w:pPr>
        <w:shd w:val="clear" w:color="auto" w:fill="FFFFFF"/>
        <w:ind w:firstLine="720"/>
        <w:rPr>
          <w:color w:val="000000"/>
          <w:sz w:val="20"/>
        </w:rPr>
      </w:pPr>
      <w:r>
        <w:rPr>
          <w:color w:val="000000"/>
          <w:sz w:val="20"/>
        </w:rPr>
        <w:t xml:space="preserve">An updated Section 382 analysis was recently completed in February 2012.  The results of that analysis indicate that no further “ownership changes” under Section 382 have occurred.  Therefore, the limitation caused by the January 2007 ownership change continues to apply. </w:t>
      </w:r>
      <w:r w:rsidR="00190ADE">
        <w:rPr>
          <w:color w:val="000000"/>
          <w:sz w:val="20"/>
        </w:rPr>
        <w:t>The limitation has not had a material effect on our utilization of our NOLs</w:t>
      </w:r>
      <w:r>
        <w:rPr>
          <w:color w:val="000000"/>
          <w:sz w:val="20"/>
        </w:rPr>
        <w:t xml:space="preserve"> </w:t>
      </w:r>
      <w:r w:rsidR="00190ADE">
        <w:rPr>
          <w:color w:val="000000"/>
          <w:sz w:val="20"/>
        </w:rPr>
        <w:t xml:space="preserve">to date. </w:t>
      </w:r>
    </w:p>
    <w:p w:rsidR="00190ADE" w:rsidRDefault="00190ADE" w:rsidP="001257FA">
      <w:pPr>
        <w:shd w:val="clear" w:color="auto" w:fill="FFFFFF"/>
        <w:ind w:firstLine="720"/>
        <w:rPr>
          <w:color w:val="000000"/>
          <w:sz w:val="20"/>
        </w:rPr>
      </w:pPr>
    </w:p>
    <w:p w:rsidR="00190ADE" w:rsidRDefault="00190ADE" w:rsidP="001257FA">
      <w:pPr>
        <w:shd w:val="clear" w:color="auto" w:fill="FFFFFF"/>
        <w:ind w:firstLine="720"/>
        <w:rPr>
          <w:color w:val="000000"/>
          <w:sz w:val="20"/>
          <w:szCs w:val="20"/>
        </w:rPr>
      </w:pPr>
      <w:r>
        <w:rPr>
          <w:color w:val="000000"/>
          <w:sz w:val="20"/>
        </w:rPr>
        <w:t xml:space="preserve">On February 21, 2012, </w:t>
      </w:r>
      <w:proofErr w:type="spellStart"/>
      <w:r>
        <w:rPr>
          <w:color w:val="000000"/>
          <w:sz w:val="20"/>
        </w:rPr>
        <w:t>MakeMusic’s</w:t>
      </w:r>
      <w:proofErr w:type="spellEnd"/>
      <w:r>
        <w:rPr>
          <w:color w:val="000000"/>
          <w:sz w:val="20"/>
        </w:rPr>
        <w:t xml:space="preserve"> Board of Directors adopted a Tax Asset Protection Plan (the “Plan”) intended to protect its tax assets. See note 12, “Subsequent Events,” for more detailed description of the Plan.</w:t>
      </w:r>
    </w:p>
    <w:p w:rsidR="004851D7" w:rsidRDefault="004851D7">
      <w:pPr>
        <w:shd w:val="clear" w:color="auto" w:fill="FFFFFF"/>
        <w:ind w:firstLine="720"/>
        <w:rPr>
          <w:color w:val="000000"/>
          <w:sz w:val="20"/>
          <w:szCs w:val="20"/>
        </w:rPr>
      </w:pPr>
    </w:p>
    <w:p w:rsidR="00A8615F" w:rsidRDefault="00A8615F">
      <w:pPr>
        <w:rPr>
          <w:b/>
          <w:bCs/>
          <w:color w:val="000000"/>
          <w:sz w:val="20"/>
        </w:rPr>
      </w:pPr>
    </w:p>
    <w:p w:rsidR="004851D7" w:rsidRDefault="004851D7">
      <w:pPr>
        <w:rPr>
          <w:b/>
          <w:bCs/>
          <w:color w:val="000000"/>
          <w:sz w:val="20"/>
        </w:rPr>
      </w:pPr>
      <w:r>
        <w:rPr>
          <w:b/>
          <w:bCs/>
          <w:color w:val="000000"/>
          <w:sz w:val="20"/>
        </w:rPr>
        <w:t>9.  Litigation</w:t>
      </w:r>
    </w:p>
    <w:p w:rsidR="004851D7" w:rsidRDefault="004851D7">
      <w:pPr>
        <w:rPr>
          <w:color w:val="000000"/>
          <w:sz w:val="20"/>
        </w:rPr>
      </w:pPr>
    </w:p>
    <w:p w:rsidR="004851D7" w:rsidRDefault="004851D7">
      <w:pPr>
        <w:rPr>
          <w:color w:val="000000"/>
          <w:sz w:val="20"/>
        </w:rPr>
      </w:pPr>
      <w:r>
        <w:rPr>
          <w:color w:val="000000"/>
          <w:sz w:val="20"/>
        </w:rPr>
        <w:tab/>
      </w:r>
      <w:r w:rsidR="00510AB7">
        <w:rPr>
          <w:color w:val="000000"/>
          <w:sz w:val="20"/>
        </w:rPr>
        <w:t>As previously disclosed, on September 14, 2010, a complaint was filed against us by </w:t>
      </w:r>
      <w:bookmarkStart w:id="22" w:name="HH_1"/>
      <w:bookmarkEnd w:id="22"/>
      <w:proofErr w:type="spellStart"/>
      <w:r w:rsidR="00510AB7">
        <w:rPr>
          <w:color w:val="000000"/>
          <w:sz w:val="20"/>
        </w:rPr>
        <w:t>Uniloc</w:t>
      </w:r>
      <w:proofErr w:type="spellEnd"/>
      <w:r w:rsidR="00510AB7">
        <w:rPr>
          <w:color w:val="000000"/>
          <w:sz w:val="20"/>
        </w:rPr>
        <w:t xml:space="preserve"> USA, Inc. and </w:t>
      </w:r>
      <w:proofErr w:type="spellStart"/>
      <w:r w:rsidR="00510AB7">
        <w:rPr>
          <w:color w:val="000000"/>
          <w:sz w:val="20"/>
        </w:rPr>
        <w:t>Uniloc</w:t>
      </w:r>
      <w:proofErr w:type="spellEnd"/>
      <w:r w:rsidR="00510AB7">
        <w:rPr>
          <w:color w:val="000000"/>
          <w:sz w:val="20"/>
        </w:rPr>
        <w:t> Singapore Private Limited (collectively “</w:t>
      </w:r>
      <w:bookmarkStart w:id="23" w:name="HH_3"/>
      <w:bookmarkEnd w:id="23"/>
      <w:proofErr w:type="spellStart"/>
      <w:r w:rsidR="00510AB7">
        <w:rPr>
          <w:color w:val="000000"/>
          <w:sz w:val="20"/>
        </w:rPr>
        <w:t>Uniloc</w:t>
      </w:r>
      <w:proofErr w:type="spellEnd"/>
      <w:r w:rsidR="00510AB7">
        <w:rPr>
          <w:color w:val="000000"/>
          <w:sz w:val="20"/>
        </w:rPr>
        <w:t>”) in the United States District Court for the Eastern District of Texas. The complaint alleged infringement of</w:t>
      </w:r>
      <w:bookmarkStart w:id="24" w:name="HH_4"/>
      <w:bookmarkEnd w:id="24"/>
      <w:r w:rsidR="00510AB7">
        <w:rPr>
          <w:color w:val="000000"/>
          <w:sz w:val="20"/>
        </w:rPr>
        <w:t xml:space="preserve"> </w:t>
      </w:r>
      <w:proofErr w:type="spellStart"/>
      <w:r w:rsidR="00510AB7">
        <w:rPr>
          <w:color w:val="000000"/>
          <w:sz w:val="20"/>
        </w:rPr>
        <w:t>Uniloc’s</w:t>
      </w:r>
      <w:proofErr w:type="spellEnd"/>
      <w:r w:rsidR="00510AB7">
        <w:rPr>
          <w:color w:val="000000"/>
          <w:sz w:val="20"/>
        </w:rPr>
        <w:t xml:space="preserve"> patent for securely registering software and other digital media to prevent illicit copying and software piracy and seeks a permanent injunction. </w:t>
      </w:r>
      <w:bookmarkStart w:id="25" w:name="HH_5"/>
      <w:bookmarkEnd w:id="25"/>
      <w:r w:rsidR="00510AB7">
        <w:rPr>
          <w:color w:val="000000"/>
          <w:sz w:val="20"/>
        </w:rPr>
        <w:t xml:space="preserve">In addition, </w:t>
      </w:r>
      <w:proofErr w:type="spellStart"/>
      <w:r w:rsidR="00510AB7">
        <w:rPr>
          <w:color w:val="000000"/>
          <w:sz w:val="20"/>
        </w:rPr>
        <w:t>Uniloc</w:t>
      </w:r>
      <w:proofErr w:type="spellEnd"/>
      <w:r w:rsidR="00510AB7">
        <w:rPr>
          <w:color w:val="000000"/>
          <w:sz w:val="20"/>
        </w:rPr>
        <w:t> sought compensatory damages in an unspecified amount, and interest, costs and expenses associated with the litigation. We are one of approximately 120 companies that have been similarly sued by </w:t>
      </w:r>
      <w:bookmarkStart w:id="26" w:name="HH_6"/>
      <w:bookmarkEnd w:id="26"/>
      <w:proofErr w:type="spellStart"/>
      <w:r w:rsidR="00510AB7">
        <w:rPr>
          <w:color w:val="000000"/>
          <w:sz w:val="20"/>
        </w:rPr>
        <w:t>Uniloc</w:t>
      </w:r>
      <w:proofErr w:type="spellEnd"/>
      <w:r w:rsidR="00510AB7">
        <w:rPr>
          <w:color w:val="000000"/>
          <w:sz w:val="20"/>
        </w:rPr>
        <w:t xml:space="preserve">. </w:t>
      </w:r>
      <w:bookmarkStart w:id="27" w:name="HH_7"/>
      <w:bookmarkEnd w:id="27"/>
      <w:r w:rsidR="00510AB7">
        <w:rPr>
          <w:color w:val="000000"/>
          <w:sz w:val="20"/>
        </w:rPr>
        <w:t xml:space="preserve">We entered into a confidential settlement with </w:t>
      </w:r>
      <w:proofErr w:type="spellStart"/>
      <w:r w:rsidR="00510AB7">
        <w:rPr>
          <w:color w:val="000000"/>
          <w:sz w:val="20"/>
        </w:rPr>
        <w:t>Uniloc</w:t>
      </w:r>
      <w:proofErr w:type="spellEnd"/>
      <w:r w:rsidR="00510AB7">
        <w:rPr>
          <w:color w:val="000000"/>
          <w:sz w:val="20"/>
        </w:rPr>
        <w:t xml:space="preserve"> on April 28, 2011, pursuant to which we incurred expenses of approximately $225,000.  As part of the settlement, we received a license to the patent in question. We do not expect the settlement to have a material impact on our business, financial condition, or results of operations.</w:t>
      </w:r>
    </w:p>
    <w:p w:rsidR="004851D7" w:rsidRDefault="004851D7">
      <w:pPr>
        <w:rPr>
          <w:color w:val="000000"/>
          <w:sz w:val="20"/>
        </w:rPr>
      </w:pPr>
    </w:p>
    <w:p w:rsidR="004851D7" w:rsidRDefault="004851D7">
      <w:pPr>
        <w:rPr>
          <w:color w:val="000000"/>
          <w:sz w:val="20"/>
        </w:rPr>
      </w:pPr>
      <w:r>
        <w:rPr>
          <w:color w:val="000000"/>
          <w:sz w:val="20"/>
        </w:rPr>
        <w:tab/>
        <w:t>In the ordinary course of business, we may be party to additional legal actions, proceedings, or claims. Corresponding costs are accrued when it is probable that a loss will be incurred and the amount can be precisely or reasonably estimated. Other than the litigation described above, we are currently not aware of any threatened or actual litigation that would have a material effect on its financial condition or results of operations.</w:t>
      </w:r>
    </w:p>
    <w:p w:rsidR="004851D7" w:rsidRDefault="004851D7">
      <w:pPr>
        <w:rPr>
          <w:b/>
          <w:bCs/>
          <w:color w:val="000000"/>
          <w:sz w:val="20"/>
        </w:rPr>
      </w:pPr>
    </w:p>
    <w:p w:rsidR="004851D7" w:rsidRDefault="004851D7">
      <w:pPr>
        <w:rPr>
          <w:b/>
          <w:bCs/>
          <w:color w:val="000000"/>
          <w:sz w:val="20"/>
        </w:rPr>
      </w:pPr>
      <w:r>
        <w:rPr>
          <w:b/>
          <w:bCs/>
          <w:color w:val="000000"/>
          <w:sz w:val="20"/>
        </w:rPr>
        <w:t>10.  Segment and Geographic Data</w:t>
      </w:r>
    </w:p>
    <w:p w:rsidR="004851D7" w:rsidRDefault="004851D7">
      <w:pPr>
        <w:rPr>
          <w:b/>
          <w:bCs/>
          <w:color w:val="000000"/>
          <w:sz w:val="20"/>
        </w:rPr>
      </w:pPr>
    </w:p>
    <w:p w:rsidR="004851D7" w:rsidRDefault="004851D7">
      <w:pPr>
        <w:tabs>
          <w:tab w:val="left" w:pos="1440"/>
        </w:tabs>
        <w:ind w:firstLine="720"/>
        <w:rPr>
          <w:color w:val="000000"/>
          <w:sz w:val="20"/>
          <w:szCs w:val="20"/>
        </w:rPr>
      </w:pPr>
      <w:proofErr w:type="spellStart"/>
      <w:r>
        <w:rPr>
          <w:color w:val="000000"/>
          <w:sz w:val="20"/>
          <w:szCs w:val="20"/>
        </w:rPr>
        <w:t>MakeMusic</w:t>
      </w:r>
      <w:proofErr w:type="spellEnd"/>
      <w:r>
        <w:rPr>
          <w:color w:val="000000"/>
          <w:sz w:val="20"/>
          <w:szCs w:val="20"/>
        </w:rPr>
        <w:t xml:space="preserve"> reports results of operations by two unique reportable segments, Notation and </w:t>
      </w:r>
      <w:proofErr w:type="spellStart"/>
      <w:r>
        <w:rPr>
          <w:color w:val="000000"/>
          <w:sz w:val="20"/>
          <w:szCs w:val="20"/>
        </w:rPr>
        <w:t>SmartMusic</w:t>
      </w:r>
      <w:proofErr w:type="spellEnd"/>
      <w:r>
        <w:rPr>
          <w:color w:val="000000"/>
          <w:sz w:val="20"/>
          <w:szCs w:val="20"/>
        </w:rPr>
        <w:t xml:space="preserve">. </w:t>
      </w:r>
    </w:p>
    <w:p w:rsidR="004851D7" w:rsidRDefault="004851D7">
      <w:pPr>
        <w:tabs>
          <w:tab w:val="left" w:pos="1440"/>
        </w:tabs>
        <w:ind w:firstLine="720"/>
        <w:rPr>
          <w:color w:val="000000"/>
          <w:sz w:val="20"/>
          <w:szCs w:val="20"/>
        </w:rPr>
      </w:pPr>
    </w:p>
    <w:p w:rsidR="004851D7" w:rsidRDefault="004851D7">
      <w:pPr>
        <w:tabs>
          <w:tab w:val="left" w:pos="1440"/>
        </w:tabs>
        <w:ind w:firstLine="720"/>
        <w:rPr>
          <w:color w:val="000000"/>
          <w:sz w:val="20"/>
          <w:szCs w:val="20"/>
        </w:rPr>
      </w:pPr>
      <w:r>
        <w:rPr>
          <w:color w:val="000000"/>
          <w:sz w:val="20"/>
          <w:szCs w:val="20"/>
        </w:rPr>
        <w:t>The Notation segment includes the design, development, and sales and marketing for the Finale family of music notation software products</w:t>
      </w:r>
      <w:r w:rsidR="00835911">
        <w:rPr>
          <w:color w:val="000000"/>
          <w:sz w:val="20"/>
          <w:szCs w:val="20"/>
        </w:rPr>
        <w:t xml:space="preserve">, </w:t>
      </w:r>
      <w:proofErr w:type="spellStart"/>
      <w:r w:rsidR="00835911">
        <w:rPr>
          <w:color w:val="000000"/>
          <w:sz w:val="20"/>
          <w:szCs w:val="20"/>
        </w:rPr>
        <w:t>MusicXML</w:t>
      </w:r>
      <w:proofErr w:type="spellEnd"/>
      <w:r w:rsidR="00835911">
        <w:rPr>
          <w:color w:val="000000"/>
          <w:sz w:val="20"/>
          <w:szCs w:val="20"/>
        </w:rPr>
        <w:t xml:space="preserve"> and </w:t>
      </w:r>
      <w:proofErr w:type="spellStart"/>
      <w:r w:rsidR="00835911">
        <w:rPr>
          <w:color w:val="000000"/>
          <w:sz w:val="20"/>
          <w:szCs w:val="20"/>
        </w:rPr>
        <w:t>Dolet</w:t>
      </w:r>
      <w:proofErr w:type="spellEnd"/>
      <w:r w:rsidR="00835911">
        <w:rPr>
          <w:color w:val="000000"/>
          <w:sz w:val="20"/>
          <w:szCs w:val="20"/>
        </w:rPr>
        <w:t xml:space="preserve"> software and Garritan sound libraries</w:t>
      </w:r>
      <w:r>
        <w:rPr>
          <w:color w:val="000000"/>
          <w:sz w:val="20"/>
          <w:szCs w:val="20"/>
        </w:rPr>
        <w:t xml:space="preserve">.   </w:t>
      </w:r>
    </w:p>
    <w:p w:rsidR="004851D7" w:rsidRDefault="004851D7">
      <w:pPr>
        <w:tabs>
          <w:tab w:val="left" w:pos="1440"/>
        </w:tabs>
        <w:ind w:firstLine="720"/>
        <w:rPr>
          <w:color w:val="000000"/>
          <w:sz w:val="20"/>
          <w:szCs w:val="20"/>
        </w:rPr>
      </w:pPr>
    </w:p>
    <w:p w:rsidR="004851D7" w:rsidRDefault="004851D7">
      <w:pPr>
        <w:tabs>
          <w:tab w:val="left" w:pos="1440"/>
        </w:tabs>
        <w:ind w:firstLine="720"/>
        <w:rPr>
          <w:color w:val="000000"/>
          <w:sz w:val="20"/>
          <w:szCs w:val="20"/>
        </w:rPr>
      </w:pPr>
      <w:r>
        <w:rPr>
          <w:color w:val="000000"/>
          <w:sz w:val="20"/>
          <w:szCs w:val="20"/>
        </w:rPr>
        <w:t xml:space="preserve">The </w:t>
      </w:r>
      <w:proofErr w:type="spellStart"/>
      <w:r>
        <w:rPr>
          <w:color w:val="000000"/>
          <w:sz w:val="20"/>
          <w:szCs w:val="20"/>
        </w:rPr>
        <w:t>SmartMusic</w:t>
      </w:r>
      <w:proofErr w:type="spellEnd"/>
      <w:r>
        <w:rPr>
          <w:color w:val="000000"/>
          <w:sz w:val="20"/>
          <w:szCs w:val="20"/>
        </w:rPr>
        <w:t xml:space="preserve"> segment includes the design, development, amortization of capitalized song title development, and sales and marketing of the subscription-based </w:t>
      </w:r>
      <w:proofErr w:type="spellStart"/>
      <w:r>
        <w:rPr>
          <w:color w:val="000000"/>
          <w:sz w:val="20"/>
          <w:szCs w:val="20"/>
        </w:rPr>
        <w:t>SmartMusic</w:t>
      </w:r>
      <w:proofErr w:type="spellEnd"/>
      <w:r>
        <w:rPr>
          <w:color w:val="000000"/>
          <w:sz w:val="20"/>
          <w:szCs w:val="20"/>
        </w:rPr>
        <w:t xml:space="preserve"> product line, and related accessories. </w:t>
      </w:r>
    </w:p>
    <w:p w:rsidR="004851D7" w:rsidRDefault="004851D7">
      <w:pPr>
        <w:tabs>
          <w:tab w:val="left" w:pos="1440"/>
        </w:tabs>
        <w:ind w:firstLine="720"/>
        <w:rPr>
          <w:color w:val="000000"/>
          <w:sz w:val="20"/>
          <w:szCs w:val="20"/>
        </w:rPr>
      </w:pPr>
    </w:p>
    <w:p w:rsidR="004851D7" w:rsidRDefault="004851D7">
      <w:pPr>
        <w:tabs>
          <w:tab w:val="left" w:pos="1440"/>
        </w:tabs>
        <w:ind w:firstLine="720"/>
        <w:rPr>
          <w:color w:val="000000"/>
          <w:sz w:val="20"/>
          <w:szCs w:val="20"/>
        </w:rPr>
      </w:pPr>
      <w:r>
        <w:rPr>
          <w:color w:val="000000"/>
          <w:sz w:val="20"/>
        </w:rPr>
        <w:t>The costs included in each of the reportable segments’ operating results include the direct costs of the products sold to customers and operating expenses managed by each of the reportable segments.</w:t>
      </w:r>
      <w:r>
        <w:rPr>
          <w:color w:val="000000"/>
          <w:sz w:val="20"/>
          <w:szCs w:val="20"/>
        </w:rPr>
        <w:t xml:space="preserve"> </w:t>
      </w:r>
    </w:p>
    <w:p w:rsidR="004851D7" w:rsidRDefault="004851D7">
      <w:pPr>
        <w:tabs>
          <w:tab w:val="left" w:pos="1440"/>
        </w:tabs>
        <w:ind w:firstLine="720"/>
        <w:rPr>
          <w:color w:val="000000"/>
          <w:sz w:val="20"/>
          <w:szCs w:val="20"/>
        </w:rPr>
      </w:pPr>
    </w:p>
    <w:p w:rsidR="004851D7" w:rsidRDefault="004851D7">
      <w:pPr>
        <w:tabs>
          <w:tab w:val="left" w:pos="1440"/>
        </w:tabs>
        <w:ind w:firstLine="720"/>
        <w:rPr>
          <w:color w:val="000000"/>
          <w:sz w:val="20"/>
          <w:szCs w:val="20"/>
        </w:rPr>
      </w:pPr>
      <w:r>
        <w:rPr>
          <w:color w:val="000000"/>
          <w:sz w:val="20"/>
          <w:szCs w:val="20"/>
        </w:rPr>
        <w:t xml:space="preserve">The </w:t>
      </w:r>
      <w:r>
        <w:rPr>
          <w:color w:val="000000"/>
          <w:sz w:val="20"/>
        </w:rPr>
        <w:t>remaining activities are included in “Other.” These are unallocated expenses which include costs related to selling and corporate functions, including general and administrative and business systems functions that are not directly attributable to a particular segment. Unallocated expenses are reported in the reconciliation of the segment totals to consolidated totals as “Other” items. As a result, reportable segment results of operations are not representative of the operating profit of the products in these reportable segments</w:t>
      </w:r>
      <w:r w:rsidR="00FD0755">
        <w:rPr>
          <w:color w:val="000000"/>
          <w:sz w:val="20"/>
        </w:rPr>
        <w:t>.</w:t>
      </w:r>
      <w:r>
        <w:rPr>
          <w:color w:val="000000"/>
          <w:sz w:val="20"/>
          <w:szCs w:val="20"/>
        </w:rPr>
        <w:t xml:space="preserve">  </w:t>
      </w:r>
    </w:p>
    <w:p w:rsidR="004851D7" w:rsidRDefault="004851D7">
      <w:pPr>
        <w:tabs>
          <w:tab w:val="left" w:pos="1440"/>
        </w:tabs>
        <w:ind w:firstLine="720"/>
        <w:rPr>
          <w:color w:val="000000"/>
          <w:sz w:val="20"/>
          <w:szCs w:val="20"/>
        </w:rPr>
      </w:pPr>
    </w:p>
    <w:p w:rsidR="00EA2385" w:rsidRDefault="00EA2385">
      <w:pPr>
        <w:tabs>
          <w:tab w:val="left" w:pos="1440"/>
        </w:tabs>
        <w:ind w:firstLine="720"/>
        <w:rPr>
          <w:color w:val="000000"/>
          <w:sz w:val="20"/>
          <w:szCs w:val="20"/>
        </w:rPr>
      </w:pPr>
    </w:p>
    <w:p w:rsidR="00EA2385" w:rsidRDefault="00EA2385">
      <w:pPr>
        <w:tabs>
          <w:tab w:val="left" w:pos="1440"/>
        </w:tabs>
        <w:ind w:firstLine="720"/>
        <w:rPr>
          <w:color w:val="000000"/>
          <w:sz w:val="20"/>
          <w:szCs w:val="20"/>
        </w:rPr>
      </w:pPr>
    </w:p>
    <w:p w:rsidR="00EA2385" w:rsidRDefault="00EA2385">
      <w:pPr>
        <w:tabs>
          <w:tab w:val="left" w:pos="1440"/>
        </w:tabs>
        <w:ind w:firstLine="720"/>
        <w:rPr>
          <w:color w:val="000000"/>
          <w:sz w:val="20"/>
          <w:szCs w:val="20"/>
        </w:rPr>
      </w:pPr>
    </w:p>
    <w:p w:rsidR="00EA2385" w:rsidRDefault="00EA2385">
      <w:pPr>
        <w:tabs>
          <w:tab w:val="left" w:pos="1440"/>
        </w:tabs>
        <w:ind w:firstLine="720"/>
        <w:rPr>
          <w:color w:val="000000"/>
          <w:sz w:val="20"/>
          <w:szCs w:val="20"/>
        </w:rPr>
      </w:pPr>
    </w:p>
    <w:p w:rsidR="00EA2385" w:rsidRDefault="00EA2385">
      <w:pPr>
        <w:tabs>
          <w:tab w:val="left" w:pos="1440"/>
        </w:tabs>
        <w:ind w:firstLine="720"/>
        <w:rPr>
          <w:color w:val="000000"/>
          <w:sz w:val="20"/>
          <w:szCs w:val="20"/>
        </w:rPr>
      </w:pPr>
    </w:p>
    <w:p w:rsidR="00EA2385" w:rsidRDefault="00EA2385">
      <w:pPr>
        <w:tabs>
          <w:tab w:val="left" w:pos="1440"/>
        </w:tabs>
        <w:ind w:firstLine="720"/>
        <w:rPr>
          <w:color w:val="000000"/>
          <w:sz w:val="20"/>
          <w:szCs w:val="20"/>
        </w:rPr>
      </w:pPr>
    </w:p>
    <w:p w:rsidR="00266986" w:rsidRDefault="00266986">
      <w:pPr>
        <w:tabs>
          <w:tab w:val="left" w:pos="1440"/>
        </w:tabs>
        <w:ind w:firstLine="720"/>
        <w:rPr>
          <w:color w:val="000000"/>
          <w:sz w:val="20"/>
          <w:szCs w:val="20"/>
        </w:rPr>
      </w:pPr>
    </w:p>
    <w:p w:rsidR="00B538F9" w:rsidRDefault="00B538F9">
      <w:pPr>
        <w:tabs>
          <w:tab w:val="left" w:pos="1440"/>
        </w:tabs>
        <w:ind w:firstLine="720"/>
        <w:rPr>
          <w:color w:val="000000"/>
          <w:sz w:val="20"/>
          <w:szCs w:val="20"/>
        </w:rPr>
      </w:pPr>
    </w:p>
    <w:p w:rsidR="00266986" w:rsidRDefault="00266986">
      <w:pPr>
        <w:tabs>
          <w:tab w:val="left" w:pos="1440"/>
        </w:tabs>
        <w:ind w:firstLine="720"/>
        <w:rPr>
          <w:color w:val="000000"/>
          <w:sz w:val="20"/>
          <w:szCs w:val="20"/>
        </w:rPr>
      </w:pPr>
    </w:p>
    <w:p w:rsidR="00EA2385" w:rsidRDefault="00EA2385">
      <w:pPr>
        <w:tabs>
          <w:tab w:val="left" w:pos="1440"/>
        </w:tabs>
        <w:ind w:firstLine="720"/>
        <w:rPr>
          <w:color w:val="000000"/>
          <w:sz w:val="20"/>
          <w:szCs w:val="20"/>
        </w:rPr>
      </w:pPr>
    </w:p>
    <w:p w:rsidR="00EA2385" w:rsidRDefault="00EA2385" w:rsidP="00EA2385">
      <w:pPr>
        <w:rPr>
          <w:b/>
          <w:bCs/>
          <w:color w:val="000000"/>
          <w:sz w:val="20"/>
        </w:rPr>
      </w:pPr>
      <w:r>
        <w:rPr>
          <w:b/>
          <w:bCs/>
          <w:color w:val="000000"/>
          <w:sz w:val="20"/>
        </w:rPr>
        <w:t>10.  Segment and Geographic Data (Continued)</w:t>
      </w:r>
    </w:p>
    <w:p w:rsidR="00EA2385" w:rsidRDefault="00EA2385">
      <w:pPr>
        <w:tabs>
          <w:tab w:val="left" w:pos="1440"/>
        </w:tabs>
        <w:ind w:firstLine="720"/>
        <w:rPr>
          <w:color w:val="000000"/>
          <w:sz w:val="20"/>
          <w:szCs w:val="20"/>
        </w:rPr>
      </w:pPr>
    </w:p>
    <w:p w:rsidR="004851D7" w:rsidRDefault="004851D7">
      <w:pPr>
        <w:tabs>
          <w:tab w:val="left" w:pos="1440"/>
        </w:tabs>
        <w:ind w:firstLine="720"/>
        <w:rPr>
          <w:color w:val="000000"/>
          <w:sz w:val="20"/>
          <w:szCs w:val="20"/>
        </w:rPr>
      </w:pPr>
      <w:proofErr w:type="spellStart"/>
      <w:r>
        <w:rPr>
          <w:color w:val="000000"/>
          <w:sz w:val="20"/>
          <w:szCs w:val="20"/>
        </w:rPr>
        <w:t>MakeMusic</w:t>
      </w:r>
      <w:proofErr w:type="spellEnd"/>
      <w:r>
        <w:rPr>
          <w:color w:val="000000"/>
          <w:sz w:val="20"/>
          <w:szCs w:val="20"/>
        </w:rPr>
        <w:t xml:space="preserve"> does not allocate its balance sheet assets by segment because such information is not available nor is it used by the chief operating decision maker. Therefore, information relating to segment assets is not presented. The following table presents results of operations by reportable segment (in thousands): </w:t>
      </w:r>
    </w:p>
    <w:p w:rsidR="00DF35A7" w:rsidRDefault="00DF35A7">
      <w:pPr>
        <w:tabs>
          <w:tab w:val="left" w:pos="1440"/>
        </w:tabs>
        <w:ind w:firstLine="720"/>
        <w:rPr>
          <w:color w:val="000000"/>
          <w:sz w:val="20"/>
          <w:szCs w:val="20"/>
        </w:rPr>
      </w:pPr>
    </w:p>
    <w:tbl>
      <w:tblPr>
        <w:tblW w:w="11612" w:type="dxa"/>
        <w:tblInd w:w="-977" w:type="dxa"/>
        <w:tblLook w:val="04A0" w:firstRow="1" w:lastRow="0" w:firstColumn="1" w:lastColumn="0" w:noHBand="0" w:noVBand="1"/>
      </w:tblPr>
      <w:tblGrid>
        <w:gridCol w:w="2936"/>
        <w:gridCol w:w="885"/>
        <w:gridCol w:w="222"/>
        <w:gridCol w:w="1053"/>
        <w:gridCol w:w="222"/>
        <w:gridCol w:w="804"/>
        <w:gridCol w:w="222"/>
        <w:gridCol w:w="752"/>
        <w:gridCol w:w="396"/>
        <w:gridCol w:w="829"/>
        <w:gridCol w:w="222"/>
        <w:gridCol w:w="999"/>
        <w:gridCol w:w="222"/>
        <w:gridCol w:w="821"/>
        <w:gridCol w:w="222"/>
        <w:gridCol w:w="805"/>
      </w:tblGrid>
      <w:tr w:rsidR="00DF35A7" w:rsidTr="006E1512">
        <w:trPr>
          <w:trHeight w:val="270"/>
        </w:trPr>
        <w:tc>
          <w:tcPr>
            <w:tcW w:w="2936" w:type="dxa"/>
            <w:tcBorders>
              <w:top w:val="nil"/>
              <w:left w:val="nil"/>
              <w:bottom w:val="nil"/>
              <w:right w:val="nil"/>
            </w:tcBorders>
            <w:shd w:val="clear" w:color="auto" w:fill="auto"/>
            <w:noWrap/>
            <w:vAlign w:val="bottom"/>
            <w:hideMark/>
          </w:tcPr>
          <w:p w:rsidR="00DF35A7" w:rsidRDefault="00DF35A7">
            <w:pPr>
              <w:rPr>
                <w:color w:val="000000"/>
                <w:sz w:val="16"/>
                <w:szCs w:val="16"/>
              </w:rPr>
            </w:pPr>
          </w:p>
        </w:tc>
        <w:tc>
          <w:tcPr>
            <w:tcW w:w="4160" w:type="dxa"/>
            <w:gridSpan w:val="7"/>
            <w:tcBorders>
              <w:top w:val="nil"/>
              <w:left w:val="nil"/>
              <w:bottom w:val="single" w:sz="8" w:space="0" w:color="auto"/>
              <w:right w:val="nil"/>
            </w:tcBorders>
            <w:shd w:val="clear" w:color="auto" w:fill="auto"/>
            <w:noWrap/>
            <w:vAlign w:val="bottom"/>
            <w:hideMark/>
          </w:tcPr>
          <w:p w:rsidR="00DF35A7" w:rsidRDefault="00DF35A7">
            <w:pPr>
              <w:jc w:val="center"/>
              <w:rPr>
                <w:color w:val="000000"/>
                <w:sz w:val="16"/>
                <w:szCs w:val="16"/>
              </w:rPr>
            </w:pPr>
            <w:r>
              <w:rPr>
                <w:color w:val="000000"/>
                <w:sz w:val="16"/>
                <w:szCs w:val="16"/>
              </w:rPr>
              <w:t>For the Year Ended December 31, 2011</w:t>
            </w:r>
          </w:p>
        </w:tc>
        <w:tc>
          <w:tcPr>
            <w:tcW w:w="396" w:type="dxa"/>
            <w:tcBorders>
              <w:top w:val="nil"/>
              <w:left w:val="nil"/>
              <w:bottom w:val="nil"/>
              <w:right w:val="nil"/>
            </w:tcBorders>
            <w:shd w:val="clear" w:color="auto" w:fill="auto"/>
            <w:noWrap/>
            <w:vAlign w:val="bottom"/>
            <w:hideMark/>
          </w:tcPr>
          <w:p w:rsidR="00DF35A7" w:rsidRDefault="00DF35A7">
            <w:pPr>
              <w:rPr>
                <w:sz w:val="20"/>
                <w:szCs w:val="20"/>
              </w:rPr>
            </w:pPr>
          </w:p>
        </w:tc>
        <w:tc>
          <w:tcPr>
            <w:tcW w:w="4120" w:type="dxa"/>
            <w:gridSpan w:val="7"/>
            <w:tcBorders>
              <w:top w:val="nil"/>
              <w:left w:val="nil"/>
              <w:bottom w:val="single" w:sz="8" w:space="0" w:color="auto"/>
              <w:right w:val="nil"/>
            </w:tcBorders>
            <w:shd w:val="clear" w:color="auto" w:fill="auto"/>
            <w:noWrap/>
            <w:vAlign w:val="bottom"/>
            <w:hideMark/>
          </w:tcPr>
          <w:p w:rsidR="00DF35A7" w:rsidRDefault="00DF35A7">
            <w:pPr>
              <w:jc w:val="center"/>
              <w:rPr>
                <w:color w:val="000000"/>
                <w:sz w:val="16"/>
                <w:szCs w:val="16"/>
              </w:rPr>
            </w:pPr>
            <w:r>
              <w:rPr>
                <w:color w:val="000000"/>
                <w:sz w:val="16"/>
                <w:szCs w:val="16"/>
              </w:rPr>
              <w:t>For the Year Ended December 31, 2010</w:t>
            </w:r>
          </w:p>
        </w:tc>
      </w:tr>
      <w:tr w:rsidR="00DF35A7" w:rsidTr="006E1512">
        <w:trPr>
          <w:trHeight w:val="255"/>
        </w:trPr>
        <w:tc>
          <w:tcPr>
            <w:tcW w:w="2936" w:type="dxa"/>
            <w:tcBorders>
              <w:top w:val="nil"/>
              <w:left w:val="nil"/>
              <w:bottom w:val="nil"/>
              <w:right w:val="nil"/>
            </w:tcBorders>
            <w:shd w:val="clear" w:color="auto" w:fill="auto"/>
            <w:noWrap/>
            <w:vAlign w:val="bottom"/>
            <w:hideMark/>
          </w:tcPr>
          <w:p w:rsidR="00DF35A7" w:rsidRDefault="00DF35A7">
            <w:pPr>
              <w:rPr>
                <w:color w:val="000000"/>
                <w:sz w:val="16"/>
                <w:szCs w:val="16"/>
              </w:rPr>
            </w:pPr>
          </w:p>
        </w:tc>
        <w:tc>
          <w:tcPr>
            <w:tcW w:w="885" w:type="dxa"/>
            <w:tcBorders>
              <w:top w:val="nil"/>
              <w:left w:val="nil"/>
              <w:bottom w:val="nil"/>
              <w:right w:val="nil"/>
            </w:tcBorders>
            <w:shd w:val="clear" w:color="auto" w:fill="auto"/>
            <w:noWrap/>
            <w:vAlign w:val="bottom"/>
            <w:hideMark/>
          </w:tcPr>
          <w:p w:rsidR="00DF35A7" w:rsidRDefault="00DF35A7">
            <w:pPr>
              <w:rPr>
                <w:color w:val="000000"/>
                <w:sz w:val="16"/>
                <w:szCs w:val="16"/>
              </w:rPr>
            </w:pPr>
          </w:p>
        </w:tc>
        <w:tc>
          <w:tcPr>
            <w:tcW w:w="222" w:type="dxa"/>
            <w:tcBorders>
              <w:top w:val="nil"/>
              <w:left w:val="nil"/>
              <w:bottom w:val="nil"/>
              <w:right w:val="nil"/>
            </w:tcBorders>
            <w:shd w:val="clear" w:color="auto" w:fill="auto"/>
            <w:noWrap/>
            <w:vAlign w:val="bottom"/>
            <w:hideMark/>
          </w:tcPr>
          <w:p w:rsidR="00DF35A7" w:rsidRDefault="00DF35A7">
            <w:pPr>
              <w:rPr>
                <w:color w:val="000000"/>
                <w:sz w:val="16"/>
                <w:szCs w:val="16"/>
              </w:rPr>
            </w:pPr>
          </w:p>
        </w:tc>
        <w:tc>
          <w:tcPr>
            <w:tcW w:w="1053" w:type="dxa"/>
            <w:tcBorders>
              <w:top w:val="nil"/>
              <w:left w:val="nil"/>
              <w:bottom w:val="nil"/>
              <w:right w:val="nil"/>
            </w:tcBorders>
            <w:shd w:val="clear" w:color="auto" w:fill="auto"/>
            <w:noWrap/>
            <w:vAlign w:val="bottom"/>
            <w:hideMark/>
          </w:tcPr>
          <w:p w:rsidR="00DF35A7" w:rsidRDefault="00DF35A7">
            <w:pPr>
              <w:rPr>
                <w:color w:val="000000"/>
                <w:sz w:val="16"/>
                <w:szCs w:val="16"/>
              </w:rPr>
            </w:pPr>
          </w:p>
        </w:tc>
        <w:tc>
          <w:tcPr>
            <w:tcW w:w="222" w:type="dxa"/>
            <w:tcBorders>
              <w:top w:val="nil"/>
              <w:left w:val="nil"/>
              <w:bottom w:val="nil"/>
              <w:right w:val="nil"/>
            </w:tcBorders>
            <w:shd w:val="clear" w:color="auto" w:fill="auto"/>
            <w:noWrap/>
            <w:vAlign w:val="bottom"/>
            <w:hideMark/>
          </w:tcPr>
          <w:p w:rsidR="00DF35A7" w:rsidRDefault="00DF35A7">
            <w:pPr>
              <w:rPr>
                <w:color w:val="000000"/>
                <w:sz w:val="16"/>
                <w:szCs w:val="16"/>
              </w:rPr>
            </w:pPr>
          </w:p>
        </w:tc>
        <w:tc>
          <w:tcPr>
            <w:tcW w:w="804" w:type="dxa"/>
            <w:tcBorders>
              <w:top w:val="nil"/>
              <w:left w:val="nil"/>
              <w:bottom w:val="nil"/>
              <w:right w:val="nil"/>
            </w:tcBorders>
            <w:shd w:val="clear" w:color="auto" w:fill="auto"/>
            <w:noWrap/>
            <w:vAlign w:val="bottom"/>
            <w:hideMark/>
          </w:tcPr>
          <w:p w:rsidR="00DF35A7" w:rsidRDefault="00DF35A7">
            <w:pPr>
              <w:rPr>
                <w:color w:val="000000"/>
                <w:sz w:val="16"/>
                <w:szCs w:val="16"/>
              </w:rPr>
            </w:pPr>
          </w:p>
        </w:tc>
        <w:tc>
          <w:tcPr>
            <w:tcW w:w="222" w:type="dxa"/>
            <w:tcBorders>
              <w:top w:val="nil"/>
              <w:left w:val="nil"/>
              <w:bottom w:val="nil"/>
              <w:right w:val="nil"/>
            </w:tcBorders>
            <w:shd w:val="clear" w:color="auto" w:fill="auto"/>
            <w:noWrap/>
            <w:vAlign w:val="bottom"/>
            <w:hideMark/>
          </w:tcPr>
          <w:p w:rsidR="00DF35A7" w:rsidRDefault="00DF35A7">
            <w:pPr>
              <w:rPr>
                <w:color w:val="000000"/>
                <w:sz w:val="16"/>
                <w:szCs w:val="16"/>
              </w:rPr>
            </w:pPr>
          </w:p>
        </w:tc>
        <w:tc>
          <w:tcPr>
            <w:tcW w:w="752" w:type="dxa"/>
            <w:tcBorders>
              <w:top w:val="nil"/>
              <w:left w:val="nil"/>
              <w:bottom w:val="nil"/>
              <w:right w:val="nil"/>
            </w:tcBorders>
            <w:shd w:val="clear" w:color="auto" w:fill="auto"/>
            <w:noWrap/>
            <w:vAlign w:val="bottom"/>
            <w:hideMark/>
          </w:tcPr>
          <w:p w:rsidR="00DF35A7" w:rsidRDefault="00DF35A7">
            <w:pPr>
              <w:rPr>
                <w:color w:val="000000"/>
                <w:sz w:val="16"/>
                <w:szCs w:val="16"/>
              </w:rPr>
            </w:pPr>
          </w:p>
        </w:tc>
        <w:tc>
          <w:tcPr>
            <w:tcW w:w="396" w:type="dxa"/>
            <w:tcBorders>
              <w:top w:val="nil"/>
              <w:left w:val="nil"/>
              <w:bottom w:val="nil"/>
              <w:right w:val="nil"/>
            </w:tcBorders>
            <w:shd w:val="clear" w:color="auto" w:fill="auto"/>
            <w:noWrap/>
            <w:vAlign w:val="bottom"/>
            <w:hideMark/>
          </w:tcPr>
          <w:p w:rsidR="00DF35A7" w:rsidRDefault="00DF35A7">
            <w:pPr>
              <w:rPr>
                <w:sz w:val="20"/>
                <w:szCs w:val="20"/>
              </w:rPr>
            </w:pPr>
          </w:p>
        </w:tc>
        <w:tc>
          <w:tcPr>
            <w:tcW w:w="829" w:type="dxa"/>
            <w:tcBorders>
              <w:top w:val="nil"/>
              <w:left w:val="nil"/>
              <w:bottom w:val="nil"/>
              <w:right w:val="nil"/>
            </w:tcBorders>
            <w:shd w:val="clear" w:color="auto" w:fill="auto"/>
            <w:noWrap/>
            <w:vAlign w:val="bottom"/>
            <w:hideMark/>
          </w:tcPr>
          <w:p w:rsidR="00DF35A7" w:rsidRDefault="00DF35A7">
            <w:pPr>
              <w:rPr>
                <w:color w:val="000000"/>
                <w:sz w:val="16"/>
                <w:szCs w:val="16"/>
              </w:rPr>
            </w:pPr>
          </w:p>
        </w:tc>
        <w:tc>
          <w:tcPr>
            <w:tcW w:w="222" w:type="dxa"/>
            <w:tcBorders>
              <w:top w:val="nil"/>
              <w:left w:val="nil"/>
              <w:bottom w:val="nil"/>
              <w:right w:val="nil"/>
            </w:tcBorders>
            <w:shd w:val="clear" w:color="auto" w:fill="auto"/>
            <w:noWrap/>
            <w:vAlign w:val="bottom"/>
            <w:hideMark/>
          </w:tcPr>
          <w:p w:rsidR="00DF35A7" w:rsidRDefault="00DF35A7">
            <w:pPr>
              <w:rPr>
                <w:color w:val="000000"/>
                <w:sz w:val="16"/>
                <w:szCs w:val="16"/>
              </w:rPr>
            </w:pPr>
          </w:p>
        </w:tc>
        <w:tc>
          <w:tcPr>
            <w:tcW w:w="999" w:type="dxa"/>
            <w:tcBorders>
              <w:top w:val="nil"/>
              <w:left w:val="nil"/>
              <w:bottom w:val="nil"/>
              <w:right w:val="nil"/>
            </w:tcBorders>
            <w:shd w:val="clear" w:color="auto" w:fill="auto"/>
            <w:noWrap/>
            <w:vAlign w:val="bottom"/>
            <w:hideMark/>
          </w:tcPr>
          <w:p w:rsidR="00DF35A7" w:rsidRDefault="00DF35A7">
            <w:pPr>
              <w:rPr>
                <w:color w:val="000000"/>
                <w:sz w:val="16"/>
                <w:szCs w:val="16"/>
              </w:rPr>
            </w:pPr>
          </w:p>
        </w:tc>
        <w:tc>
          <w:tcPr>
            <w:tcW w:w="222" w:type="dxa"/>
            <w:tcBorders>
              <w:top w:val="nil"/>
              <w:left w:val="nil"/>
              <w:bottom w:val="nil"/>
              <w:right w:val="nil"/>
            </w:tcBorders>
            <w:shd w:val="clear" w:color="auto" w:fill="auto"/>
            <w:noWrap/>
            <w:vAlign w:val="bottom"/>
            <w:hideMark/>
          </w:tcPr>
          <w:p w:rsidR="00DF35A7" w:rsidRDefault="00DF35A7">
            <w:pPr>
              <w:rPr>
                <w:color w:val="000000"/>
                <w:sz w:val="16"/>
                <w:szCs w:val="16"/>
              </w:rPr>
            </w:pPr>
          </w:p>
        </w:tc>
        <w:tc>
          <w:tcPr>
            <w:tcW w:w="821" w:type="dxa"/>
            <w:tcBorders>
              <w:top w:val="nil"/>
              <w:left w:val="nil"/>
              <w:bottom w:val="nil"/>
              <w:right w:val="nil"/>
            </w:tcBorders>
            <w:shd w:val="clear" w:color="auto" w:fill="auto"/>
            <w:noWrap/>
            <w:vAlign w:val="bottom"/>
            <w:hideMark/>
          </w:tcPr>
          <w:p w:rsidR="00DF35A7" w:rsidRDefault="00DF35A7">
            <w:pPr>
              <w:rPr>
                <w:color w:val="000000"/>
                <w:sz w:val="16"/>
                <w:szCs w:val="16"/>
              </w:rPr>
            </w:pPr>
          </w:p>
        </w:tc>
        <w:tc>
          <w:tcPr>
            <w:tcW w:w="222" w:type="dxa"/>
            <w:tcBorders>
              <w:top w:val="nil"/>
              <w:left w:val="nil"/>
              <w:bottom w:val="nil"/>
              <w:right w:val="nil"/>
            </w:tcBorders>
            <w:shd w:val="clear" w:color="auto" w:fill="auto"/>
            <w:noWrap/>
            <w:vAlign w:val="bottom"/>
            <w:hideMark/>
          </w:tcPr>
          <w:p w:rsidR="00DF35A7" w:rsidRDefault="00DF35A7">
            <w:pPr>
              <w:rPr>
                <w:color w:val="000000"/>
                <w:sz w:val="16"/>
                <w:szCs w:val="16"/>
              </w:rPr>
            </w:pPr>
          </w:p>
        </w:tc>
        <w:tc>
          <w:tcPr>
            <w:tcW w:w="805" w:type="dxa"/>
            <w:tcBorders>
              <w:top w:val="nil"/>
              <w:left w:val="nil"/>
              <w:bottom w:val="nil"/>
              <w:right w:val="nil"/>
            </w:tcBorders>
            <w:shd w:val="clear" w:color="auto" w:fill="auto"/>
            <w:noWrap/>
            <w:vAlign w:val="bottom"/>
            <w:hideMark/>
          </w:tcPr>
          <w:p w:rsidR="00DF35A7" w:rsidRDefault="00DF35A7">
            <w:pPr>
              <w:rPr>
                <w:color w:val="000000"/>
                <w:sz w:val="16"/>
                <w:szCs w:val="16"/>
              </w:rPr>
            </w:pPr>
          </w:p>
        </w:tc>
      </w:tr>
      <w:tr w:rsidR="00DF35A7" w:rsidTr="006E1512">
        <w:trPr>
          <w:trHeight w:val="255"/>
        </w:trPr>
        <w:tc>
          <w:tcPr>
            <w:tcW w:w="2936" w:type="dxa"/>
            <w:tcBorders>
              <w:top w:val="nil"/>
              <w:left w:val="nil"/>
              <w:bottom w:val="nil"/>
              <w:right w:val="nil"/>
            </w:tcBorders>
            <w:shd w:val="clear" w:color="auto" w:fill="auto"/>
            <w:noWrap/>
            <w:vAlign w:val="bottom"/>
            <w:hideMark/>
          </w:tcPr>
          <w:p w:rsidR="00DF35A7" w:rsidRDefault="00DF35A7">
            <w:pPr>
              <w:rPr>
                <w:color w:val="000000"/>
                <w:sz w:val="16"/>
                <w:szCs w:val="16"/>
              </w:rPr>
            </w:pPr>
          </w:p>
        </w:tc>
        <w:tc>
          <w:tcPr>
            <w:tcW w:w="885" w:type="dxa"/>
            <w:tcBorders>
              <w:top w:val="nil"/>
              <w:left w:val="nil"/>
              <w:bottom w:val="nil"/>
              <w:right w:val="nil"/>
            </w:tcBorders>
            <w:shd w:val="clear" w:color="auto" w:fill="auto"/>
            <w:noWrap/>
            <w:vAlign w:val="bottom"/>
            <w:hideMark/>
          </w:tcPr>
          <w:p w:rsidR="00DF35A7" w:rsidRDefault="00DF35A7">
            <w:pPr>
              <w:jc w:val="center"/>
              <w:rPr>
                <w:color w:val="000000"/>
                <w:sz w:val="16"/>
                <w:szCs w:val="16"/>
                <w:u w:val="single"/>
              </w:rPr>
            </w:pPr>
            <w:r>
              <w:rPr>
                <w:color w:val="000000"/>
                <w:sz w:val="16"/>
                <w:szCs w:val="16"/>
                <w:u w:val="single"/>
              </w:rPr>
              <w:t>Notation</w:t>
            </w:r>
          </w:p>
        </w:tc>
        <w:tc>
          <w:tcPr>
            <w:tcW w:w="222" w:type="dxa"/>
            <w:tcBorders>
              <w:top w:val="nil"/>
              <w:left w:val="nil"/>
              <w:bottom w:val="nil"/>
              <w:right w:val="nil"/>
            </w:tcBorders>
            <w:shd w:val="clear" w:color="auto" w:fill="auto"/>
            <w:noWrap/>
            <w:vAlign w:val="bottom"/>
            <w:hideMark/>
          </w:tcPr>
          <w:p w:rsidR="00DF35A7" w:rsidRDefault="00DF35A7">
            <w:pPr>
              <w:jc w:val="center"/>
              <w:rPr>
                <w:color w:val="000000"/>
                <w:sz w:val="16"/>
                <w:szCs w:val="16"/>
              </w:rPr>
            </w:pPr>
          </w:p>
        </w:tc>
        <w:tc>
          <w:tcPr>
            <w:tcW w:w="1053" w:type="dxa"/>
            <w:tcBorders>
              <w:top w:val="nil"/>
              <w:left w:val="nil"/>
              <w:bottom w:val="nil"/>
              <w:right w:val="nil"/>
            </w:tcBorders>
            <w:shd w:val="clear" w:color="auto" w:fill="auto"/>
            <w:noWrap/>
            <w:vAlign w:val="bottom"/>
            <w:hideMark/>
          </w:tcPr>
          <w:p w:rsidR="00DF35A7" w:rsidRDefault="00DF35A7">
            <w:pPr>
              <w:jc w:val="center"/>
              <w:rPr>
                <w:color w:val="000000"/>
                <w:sz w:val="16"/>
                <w:szCs w:val="16"/>
                <w:u w:val="single"/>
              </w:rPr>
            </w:pPr>
            <w:proofErr w:type="spellStart"/>
            <w:r>
              <w:rPr>
                <w:color w:val="000000"/>
                <w:sz w:val="16"/>
                <w:szCs w:val="16"/>
                <w:u w:val="single"/>
              </w:rPr>
              <w:t>SmartMusic</w:t>
            </w:r>
            <w:proofErr w:type="spellEnd"/>
          </w:p>
        </w:tc>
        <w:tc>
          <w:tcPr>
            <w:tcW w:w="222" w:type="dxa"/>
            <w:tcBorders>
              <w:top w:val="nil"/>
              <w:left w:val="nil"/>
              <w:bottom w:val="nil"/>
              <w:right w:val="nil"/>
            </w:tcBorders>
            <w:shd w:val="clear" w:color="auto" w:fill="auto"/>
            <w:noWrap/>
            <w:vAlign w:val="bottom"/>
            <w:hideMark/>
          </w:tcPr>
          <w:p w:rsidR="00DF35A7" w:rsidRDefault="00DF35A7">
            <w:pPr>
              <w:jc w:val="center"/>
              <w:rPr>
                <w:color w:val="000000"/>
                <w:sz w:val="16"/>
                <w:szCs w:val="16"/>
              </w:rPr>
            </w:pPr>
          </w:p>
        </w:tc>
        <w:tc>
          <w:tcPr>
            <w:tcW w:w="804" w:type="dxa"/>
            <w:tcBorders>
              <w:top w:val="nil"/>
              <w:left w:val="nil"/>
              <w:bottom w:val="nil"/>
              <w:right w:val="nil"/>
            </w:tcBorders>
            <w:shd w:val="clear" w:color="auto" w:fill="auto"/>
            <w:noWrap/>
            <w:vAlign w:val="bottom"/>
            <w:hideMark/>
          </w:tcPr>
          <w:p w:rsidR="00DF35A7" w:rsidRDefault="00DF35A7">
            <w:pPr>
              <w:jc w:val="center"/>
              <w:rPr>
                <w:color w:val="000000"/>
                <w:sz w:val="16"/>
                <w:szCs w:val="16"/>
                <w:u w:val="single"/>
              </w:rPr>
            </w:pPr>
            <w:r>
              <w:rPr>
                <w:color w:val="000000"/>
                <w:sz w:val="16"/>
                <w:szCs w:val="16"/>
                <w:u w:val="single"/>
              </w:rPr>
              <w:t>Other</w:t>
            </w:r>
          </w:p>
        </w:tc>
        <w:tc>
          <w:tcPr>
            <w:tcW w:w="222" w:type="dxa"/>
            <w:tcBorders>
              <w:top w:val="nil"/>
              <w:left w:val="nil"/>
              <w:bottom w:val="nil"/>
              <w:right w:val="nil"/>
            </w:tcBorders>
            <w:shd w:val="clear" w:color="auto" w:fill="auto"/>
            <w:noWrap/>
            <w:vAlign w:val="bottom"/>
            <w:hideMark/>
          </w:tcPr>
          <w:p w:rsidR="00DF35A7" w:rsidRDefault="00DF35A7">
            <w:pPr>
              <w:jc w:val="center"/>
              <w:rPr>
                <w:color w:val="000000"/>
                <w:sz w:val="16"/>
                <w:szCs w:val="16"/>
              </w:rPr>
            </w:pPr>
          </w:p>
        </w:tc>
        <w:tc>
          <w:tcPr>
            <w:tcW w:w="752" w:type="dxa"/>
            <w:tcBorders>
              <w:top w:val="nil"/>
              <w:left w:val="nil"/>
              <w:bottom w:val="nil"/>
              <w:right w:val="nil"/>
            </w:tcBorders>
            <w:shd w:val="clear" w:color="auto" w:fill="auto"/>
            <w:noWrap/>
            <w:vAlign w:val="bottom"/>
            <w:hideMark/>
          </w:tcPr>
          <w:p w:rsidR="00DF35A7" w:rsidRDefault="00DF35A7">
            <w:pPr>
              <w:jc w:val="center"/>
              <w:rPr>
                <w:color w:val="000000"/>
                <w:sz w:val="16"/>
                <w:szCs w:val="16"/>
                <w:u w:val="single"/>
              </w:rPr>
            </w:pPr>
            <w:r>
              <w:rPr>
                <w:color w:val="000000"/>
                <w:sz w:val="16"/>
                <w:szCs w:val="16"/>
                <w:u w:val="single"/>
              </w:rPr>
              <w:t>Total</w:t>
            </w:r>
          </w:p>
        </w:tc>
        <w:tc>
          <w:tcPr>
            <w:tcW w:w="396" w:type="dxa"/>
            <w:tcBorders>
              <w:top w:val="nil"/>
              <w:left w:val="nil"/>
              <w:bottom w:val="nil"/>
              <w:right w:val="nil"/>
            </w:tcBorders>
            <w:shd w:val="clear" w:color="auto" w:fill="auto"/>
            <w:noWrap/>
            <w:vAlign w:val="bottom"/>
            <w:hideMark/>
          </w:tcPr>
          <w:p w:rsidR="00DF35A7" w:rsidRDefault="00DF35A7">
            <w:pPr>
              <w:rPr>
                <w:sz w:val="20"/>
                <w:szCs w:val="20"/>
              </w:rPr>
            </w:pPr>
          </w:p>
        </w:tc>
        <w:tc>
          <w:tcPr>
            <w:tcW w:w="829" w:type="dxa"/>
            <w:tcBorders>
              <w:top w:val="nil"/>
              <w:left w:val="nil"/>
              <w:bottom w:val="nil"/>
              <w:right w:val="nil"/>
            </w:tcBorders>
            <w:shd w:val="clear" w:color="auto" w:fill="auto"/>
            <w:noWrap/>
            <w:vAlign w:val="bottom"/>
            <w:hideMark/>
          </w:tcPr>
          <w:p w:rsidR="00DF35A7" w:rsidRDefault="00DF35A7">
            <w:pPr>
              <w:jc w:val="center"/>
              <w:rPr>
                <w:color w:val="000000"/>
                <w:sz w:val="16"/>
                <w:szCs w:val="16"/>
                <w:u w:val="single"/>
              </w:rPr>
            </w:pPr>
            <w:r>
              <w:rPr>
                <w:color w:val="000000"/>
                <w:sz w:val="16"/>
                <w:szCs w:val="16"/>
                <w:u w:val="single"/>
              </w:rPr>
              <w:t>Notation</w:t>
            </w:r>
          </w:p>
        </w:tc>
        <w:tc>
          <w:tcPr>
            <w:tcW w:w="222" w:type="dxa"/>
            <w:tcBorders>
              <w:top w:val="nil"/>
              <w:left w:val="nil"/>
              <w:bottom w:val="nil"/>
              <w:right w:val="nil"/>
            </w:tcBorders>
            <w:shd w:val="clear" w:color="auto" w:fill="auto"/>
            <w:noWrap/>
            <w:vAlign w:val="bottom"/>
            <w:hideMark/>
          </w:tcPr>
          <w:p w:rsidR="00DF35A7" w:rsidRDefault="00DF35A7">
            <w:pPr>
              <w:jc w:val="center"/>
              <w:rPr>
                <w:color w:val="000000"/>
                <w:sz w:val="16"/>
                <w:szCs w:val="16"/>
              </w:rPr>
            </w:pPr>
          </w:p>
        </w:tc>
        <w:tc>
          <w:tcPr>
            <w:tcW w:w="999" w:type="dxa"/>
            <w:tcBorders>
              <w:top w:val="nil"/>
              <w:left w:val="nil"/>
              <w:bottom w:val="nil"/>
              <w:right w:val="nil"/>
            </w:tcBorders>
            <w:shd w:val="clear" w:color="auto" w:fill="auto"/>
            <w:noWrap/>
            <w:vAlign w:val="bottom"/>
            <w:hideMark/>
          </w:tcPr>
          <w:p w:rsidR="00DF35A7" w:rsidRDefault="00DF35A7">
            <w:pPr>
              <w:jc w:val="center"/>
              <w:rPr>
                <w:color w:val="000000"/>
                <w:sz w:val="16"/>
                <w:szCs w:val="16"/>
                <w:u w:val="single"/>
              </w:rPr>
            </w:pPr>
            <w:proofErr w:type="spellStart"/>
            <w:r>
              <w:rPr>
                <w:color w:val="000000"/>
                <w:sz w:val="16"/>
                <w:szCs w:val="16"/>
                <w:u w:val="single"/>
              </w:rPr>
              <w:t>SmartMusic</w:t>
            </w:r>
            <w:proofErr w:type="spellEnd"/>
          </w:p>
        </w:tc>
        <w:tc>
          <w:tcPr>
            <w:tcW w:w="222" w:type="dxa"/>
            <w:tcBorders>
              <w:top w:val="nil"/>
              <w:left w:val="nil"/>
              <w:bottom w:val="nil"/>
              <w:right w:val="nil"/>
            </w:tcBorders>
            <w:shd w:val="clear" w:color="auto" w:fill="auto"/>
            <w:noWrap/>
            <w:vAlign w:val="bottom"/>
            <w:hideMark/>
          </w:tcPr>
          <w:p w:rsidR="00DF35A7" w:rsidRDefault="00DF35A7">
            <w:pPr>
              <w:jc w:val="center"/>
              <w:rPr>
                <w:color w:val="000000"/>
                <w:sz w:val="16"/>
                <w:szCs w:val="16"/>
              </w:rPr>
            </w:pPr>
          </w:p>
        </w:tc>
        <w:tc>
          <w:tcPr>
            <w:tcW w:w="821" w:type="dxa"/>
            <w:tcBorders>
              <w:top w:val="nil"/>
              <w:left w:val="nil"/>
              <w:bottom w:val="nil"/>
              <w:right w:val="nil"/>
            </w:tcBorders>
            <w:shd w:val="clear" w:color="auto" w:fill="auto"/>
            <w:noWrap/>
            <w:vAlign w:val="bottom"/>
            <w:hideMark/>
          </w:tcPr>
          <w:p w:rsidR="00DF35A7" w:rsidRDefault="00DF35A7">
            <w:pPr>
              <w:jc w:val="center"/>
              <w:rPr>
                <w:color w:val="000000"/>
                <w:sz w:val="16"/>
                <w:szCs w:val="16"/>
                <w:u w:val="single"/>
              </w:rPr>
            </w:pPr>
            <w:r>
              <w:rPr>
                <w:color w:val="000000"/>
                <w:sz w:val="16"/>
                <w:szCs w:val="16"/>
                <w:u w:val="single"/>
              </w:rPr>
              <w:t>Other</w:t>
            </w:r>
          </w:p>
        </w:tc>
        <w:tc>
          <w:tcPr>
            <w:tcW w:w="222" w:type="dxa"/>
            <w:tcBorders>
              <w:top w:val="nil"/>
              <w:left w:val="nil"/>
              <w:bottom w:val="nil"/>
              <w:right w:val="nil"/>
            </w:tcBorders>
            <w:shd w:val="clear" w:color="auto" w:fill="auto"/>
            <w:noWrap/>
            <w:vAlign w:val="bottom"/>
            <w:hideMark/>
          </w:tcPr>
          <w:p w:rsidR="00DF35A7" w:rsidRDefault="00DF35A7">
            <w:pPr>
              <w:jc w:val="center"/>
              <w:rPr>
                <w:color w:val="000000"/>
                <w:sz w:val="16"/>
                <w:szCs w:val="16"/>
              </w:rPr>
            </w:pPr>
          </w:p>
        </w:tc>
        <w:tc>
          <w:tcPr>
            <w:tcW w:w="805" w:type="dxa"/>
            <w:tcBorders>
              <w:top w:val="nil"/>
              <w:left w:val="nil"/>
              <w:bottom w:val="nil"/>
              <w:right w:val="nil"/>
            </w:tcBorders>
            <w:shd w:val="clear" w:color="auto" w:fill="auto"/>
            <w:noWrap/>
            <w:vAlign w:val="bottom"/>
            <w:hideMark/>
          </w:tcPr>
          <w:p w:rsidR="00DF35A7" w:rsidRDefault="00DF35A7">
            <w:pPr>
              <w:jc w:val="center"/>
              <w:rPr>
                <w:color w:val="000000"/>
                <w:sz w:val="16"/>
                <w:szCs w:val="16"/>
                <w:u w:val="single"/>
              </w:rPr>
            </w:pPr>
            <w:r>
              <w:rPr>
                <w:color w:val="000000"/>
                <w:sz w:val="16"/>
                <w:szCs w:val="16"/>
                <w:u w:val="single"/>
              </w:rPr>
              <w:t>Total</w:t>
            </w:r>
          </w:p>
        </w:tc>
      </w:tr>
      <w:tr w:rsidR="00DF35A7" w:rsidTr="006E1512">
        <w:trPr>
          <w:trHeight w:val="255"/>
        </w:trPr>
        <w:tc>
          <w:tcPr>
            <w:tcW w:w="2936" w:type="dxa"/>
            <w:tcBorders>
              <w:top w:val="nil"/>
              <w:left w:val="nil"/>
              <w:bottom w:val="nil"/>
              <w:right w:val="nil"/>
            </w:tcBorders>
            <w:shd w:val="clear" w:color="auto" w:fill="auto"/>
            <w:noWrap/>
            <w:vAlign w:val="bottom"/>
            <w:hideMark/>
          </w:tcPr>
          <w:p w:rsidR="00DF35A7" w:rsidRDefault="00DF35A7">
            <w:pPr>
              <w:rPr>
                <w:color w:val="000000"/>
                <w:sz w:val="16"/>
                <w:szCs w:val="16"/>
              </w:rPr>
            </w:pPr>
            <w:r>
              <w:rPr>
                <w:color w:val="000000"/>
                <w:sz w:val="16"/>
                <w:szCs w:val="16"/>
              </w:rPr>
              <w:t>NET REVENUE</w:t>
            </w:r>
          </w:p>
        </w:tc>
        <w:tc>
          <w:tcPr>
            <w:tcW w:w="885"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r>
              <w:rPr>
                <w:color w:val="000000"/>
                <w:sz w:val="16"/>
                <w:szCs w:val="16"/>
              </w:rPr>
              <w:t xml:space="preserve">$9,467 </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1053"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r>
              <w:rPr>
                <w:color w:val="000000"/>
                <w:sz w:val="16"/>
                <w:szCs w:val="16"/>
              </w:rPr>
              <w:t xml:space="preserve">$7,527 </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804" w:type="dxa"/>
            <w:tcBorders>
              <w:top w:val="nil"/>
              <w:left w:val="nil"/>
              <w:bottom w:val="nil"/>
              <w:right w:val="nil"/>
            </w:tcBorders>
            <w:shd w:val="clear" w:color="auto" w:fill="auto"/>
            <w:vAlign w:val="bottom"/>
            <w:hideMark/>
          </w:tcPr>
          <w:p w:rsidR="00DF35A7" w:rsidRDefault="00DF35A7" w:rsidP="004A7EDE">
            <w:pPr>
              <w:jc w:val="right"/>
              <w:rPr>
                <w:color w:val="000000"/>
                <w:sz w:val="16"/>
                <w:szCs w:val="16"/>
              </w:rPr>
            </w:pPr>
            <w:r>
              <w:rPr>
                <w:color w:val="000000"/>
                <w:sz w:val="16"/>
                <w:szCs w:val="16"/>
              </w:rPr>
              <w:t>$</w:t>
            </w:r>
            <w:r w:rsidR="004A7EDE">
              <w:rPr>
                <w:color w:val="000000"/>
                <w:sz w:val="16"/>
                <w:szCs w:val="16"/>
              </w:rPr>
              <w:t xml:space="preserve">- </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75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r>
              <w:rPr>
                <w:color w:val="000000"/>
                <w:sz w:val="16"/>
                <w:szCs w:val="16"/>
              </w:rPr>
              <w:t xml:space="preserve">$16,994 </w:t>
            </w:r>
          </w:p>
        </w:tc>
        <w:tc>
          <w:tcPr>
            <w:tcW w:w="396" w:type="dxa"/>
            <w:tcBorders>
              <w:top w:val="nil"/>
              <w:left w:val="nil"/>
              <w:bottom w:val="nil"/>
              <w:right w:val="nil"/>
            </w:tcBorders>
            <w:shd w:val="clear" w:color="auto" w:fill="auto"/>
            <w:noWrap/>
            <w:vAlign w:val="bottom"/>
            <w:hideMark/>
          </w:tcPr>
          <w:p w:rsidR="00DF35A7" w:rsidRDefault="00DF35A7" w:rsidP="006E1512">
            <w:pPr>
              <w:jc w:val="right"/>
              <w:rPr>
                <w:sz w:val="20"/>
                <w:szCs w:val="20"/>
              </w:rPr>
            </w:pPr>
          </w:p>
        </w:tc>
        <w:tc>
          <w:tcPr>
            <w:tcW w:w="829"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r>
              <w:rPr>
                <w:color w:val="000000"/>
                <w:sz w:val="16"/>
                <w:szCs w:val="16"/>
              </w:rPr>
              <w:t xml:space="preserve">$10,712 </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999"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r>
              <w:rPr>
                <w:color w:val="000000"/>
                <w:sz w:val="16"/>
                <w:szCs w:val="16"/>
              </w:rPr>
              <w:t xml:space="preserve">$6,436 </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821" w:type="dxa"/>
            <w:tcBorders>
              <w:top w:val="nil"/>
              <w:left w:val="nil"/>
              <w:bottom w:val="nil"/>
              <w:right w:val="nil"/>
            </w:tcBorders>
            <w:shd w:val="clear" w:color="auto" w:fill="auto"/>
            <w:vAlign w:val="bottom"/>
            <w:hideMark/>
          </w:tcPr>
          <w:p w:rsidR="00DF35A7" w:rsidRDefault="00DF35A7" w:rsidP="004A7EDE">
            <w:pPr>
              <w:jc w:val="right"/>
              <w:rPr>
                <w:color w:val="000000"/>
                <w:sz w:val="16"/>
                <w:szCs w:val="16"/>
              </w:rPr>
            </w:pPr>
            <w:r>
              <w:rPr>
                <w:color w:val="000000"/>
                <w:sz w:val="16"/>
                <w:szCs w:val="16"/>
              </w:rPr>
              <w:t>$</w:t>
            </w:r>
            <w:r w:rsidR="004A7EDE">
              <w:rPr>
                <w:color w:val="000000"/>
                <w:sz w:val="16"/>
                <w:szCs w:val="16"/>
              </w:rPr>
              <w:t xml:space="preserve">- </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805"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r>
              <w:rPr>
                <w:color w:val="000000"/>
                <w:sz w:val="16"/>
                <w:szCs w:val="16"/>
              </w:rPr>
              <w:t xml:space="preserve">$17,148 </w:t>
            </w:r>
          </w:p>
        </w:tc>
      </w:tr>
      <w:tr w:rsidR="00DF35A7" w:rsidTr="006E1512">
        <w:trPr>
          <w:trHeight w:val="120"/>
        </w:trPr>
        <w:tc>
          <w:tcPr>
            <w:tcW w:w="2936" w:type="dxa"/>
            <w:tcBorders>
              <w:top w:val="nil"/>
              <w:left w:val="nil"/>
              <w:bottom w:val="nil"/>
              <w:right w:val="nil"/>
            </w:tcBorders>
            <w:shd w:val="clear" w:color="auto" w:fill="auto"/>
            <w:noWrap/>
            <w:vAlign w:val="bottom"/>
            <w:hideMark/>
          </w:tcPr>
          <w:p w:rsidR="00DF35A7" w:rsidRDefault="00DF35A7">
            <w:pPr>
              <w:rPr>
                <w:color w:val="000000"/>
                <w:sz w:val="16"/>
                <w:szCs w:val="16"/>
              </w:rPr>
            </w:pPr>
          </w:p>
        </w:tc>
        <w:tc>
          <w:tcPr>
            <w:tcW w:w="885"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p>
        </w:tc>
        <w:tc>
          <w:tcPr>
            <w:tcW w:w="222"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p>
        </w:tc>
        <w:tc>
          <w:tcPr>
            <w:tcW w:w="1053"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p>
        </w:tc>
        <w:tc>
          <w:tcPr>
            <w:tcW w:w="222"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p>
        </w:tc>
        <w:tc>
          <w:tcPr>
            <w:tcW w:w="804"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p>
        </w:tc>
        <w:tc>
          <w:tcPr>
            <w:tcW w:w="222"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p>
        </w:tc>
        <w:tc>
          <w:tcPr>
            <w:tcW w:w="752"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p>
        </w:tc>
        <w:tc>
          <w:tcPr>
            <w:tcW w:w="396" w:type="dxa"/>
            <w:tcBorders>
              <w:top w:val="nil"/>
              <w:left w:val="nil"/>
              <w:bottom w:val="nil"/>
              <w:right w:val="nil"/>
            </w:tcBorders>
            <w:shd w:val="clear" w:color="auto" w:fill="auto"/>
            <w:noWrap/>
            <w:vAlign w:val="bottom"/>
            <w:hideMark/>
          </w:tcPr>
          <w:p w:rsidR="00DF35A7" w:rsidRDefault="00DF35A7" w:rsidP="006E1512">
            <w:pPr>
              <w:jc w:val="right"/>
              <w:rPr>
                <w:sz w:val="20"/>
                <w:szCs w:val="20"/>
              </w:rPr>
            </w:pPr>
          </w:p>
        </w:tc>
        <w:tc>
          <w:tcPr>
            <w:tcW w:w="829"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p>
        </w:tc>
        <w:tc>
          <w:tcPr>
            <w:tcW w:w="222"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p>
        </w:tc>
        <w:tc>
          <w:tcPr>
            <w:tcW w:w="999"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p>
        </w:tc>
        <w:tc>
          <w:tcPr>
            <w:tcW w:w="222"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p>
        </w:tc>
        <w:tc>
          <w:tcPr>
            <w:tcW w:w="821"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p>
        </w:tc>
        <w:tc>
          <w:tcPr>
            <w:tcW w:w="222"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p>
        </w:tc>
        <w:tc>
          <w:tcPr>
            <w:tcW w:w="805"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p>
        </w:tc>
      </w:tr>
      <w:tr w:rsidR="00DF35A7" w:rsidTr="006E1512">
        <w:trPr>
          <w:trHeight w:val="270"/>
        </w:trPr>
        <w:tc>
          <w:tcPr>
            <w:tcW w:w="2936" w:type="dxa"/>
            <w:tcBorders>
              <w:top w:val="nil"/>
              <w:left w:val="nil"/>
              <w:bottom w:val="nil"/>
              <w:right w:val="nil"/>
            </w:tcBorders>
            <w:shd w:val="clear" w:color="auto" w:fill="auto"/>
            <w:noWrap/>
            <w:vAlign w:val="bottom"/>
            <w:hideMark/>
          </w:tcPr>
          <w:p w:rsidR="00DF35A7" w:rsidRDefault="00DF35A7">
            <w:pPr>
              <w:rPr>
                <w:color w:val="000000"/>
                <w:sz w:val="16"/>
                <w:szCs w:val="16"/>
              </w:rPr>
            </w:pPr>
            <w:r>
              <w:rPr>
                <w:color w:val="000000"/>
                <w:sz w:val="16"/>
                <w:szCs w:val="16"/>
              </w:rPr>
              <w:t>COST OF REVENUES</w:t>
            </w:r>
          </w:p>
        </w:tc>
        <w:tc>
          <w:tcPr>
            <w:tcW w:w="885" w:type="dxa"/>
            <w:tcBorders>
              <w:top w:val="nil"/>
              <w:left w:val="nil"/>
              <w:bottom w:val="single" w:sz="8" w:space="0" w:color="auto"/>
              <w:right w:val="nil"/>
            </w:tcBorders>
            <w:shd w:val="clear" w:color="auto" w:fill="auto"/>
            <w:vAlign w:val="bottom"/>
            <w:hideMark/>
          </w:tcPr>
          <w:p w:rsidR="00DF35A7" w:rsidRDefault="00DF35A7" w:rsidP="006E1512">
            <w:pPr>
              <w:jc w:val="right"/>
              <w:rPr>
                <w:color w:val="000000"/>
                <w:sz w:val="16"/>
                <w:szCs w:val="16"/>
              </w:rPr>
            </w:pPr>
            <w:r>
              <w:rPr>
                <w:color w:val="000000"/>
                <w:sz w:val="16"/>
                <w:szCs w:val="16"/>
              </w:rPr>
              <w:t xml:space="preserve">615 </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1053" w:type="dxa"/>
            <w:tcBorders>
              <w:top w:val="nil"/>
              <w:left w:val="nil"/>
              <w:bottom w:val="single" w:sz="8" w:space="0" w:color="auto"/>
              <w:right w:val="nil"/>
            </w:tcBorders>
            <w:shd w:val="clear" w:color="auto" w:fill="auto"/>
            <w:vAlign w:val="bottom"/>
            <w:hideMark/>
          </w:tcPr>
          <w:p w:rsidR="00DF35A7" w:rsidRDefault="00DF35A7" w:rsidP="006E1512">
            <w:pPr>
              <w:jc w:val="right"/>
              <w:rPr>
                <w:color w:val="000000"/>
                <w:sz w:val="16"/>
                <w:szCs w:val="16"/>
              </w:rPr>
            </w:pPr>
            <w:r>
              <w:rPr>
                <w:color w:val="000000"/>
                <w:sz w:val="16"/>
                <w:szCs w:val="16"/>
              </w:rPr>
              <w:t xml:space="preserve">2,142 </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804" w:type="dxa"/>
            <w:tcBorders>
              <w:top w:val="nil"/>
              <w:left w:val="nil"/>
              <w:bottom w:val="single" w:sz="8" w:space="0" w:color="auto"/>
              <w:right w:val="nil"/>
            </w:tcBorders>
            <w:shd w:val="clear" w:color="auto" w:fill="auto"/>
            <w:vAlign w:val="bottom"/>
            <w:hideMark/>
          </w:tcPr>
          <w:p w:rsidR="00DF35A7" w:rsidRDefault="004A7EDE" w:rsidP="006E1512">
            <w:pPr>
              <w:jc w:val="right"/>
              <w:rPr>
                <w:color w:val="000000"/>
                <w:sz w:val="16"/>
                <w:szCs w:val="16"/>
              </w:rPr>
            </w:pPr>
            <w:r>
              <w:rPr>
                <w:color w:val="000000"/>
                <w:sz w:val="16"/>
                <w:szCs w:val="16"/>
              </w:rPr>
              <w:t xml:space="preserve">- </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752" w:type="dxa"/>
            <w:tcBorders>
              <w:top w:val="nil"/>
              <w:left w:val="nil"/>
              <w:bottom w:val="single" w:sz="8" w:space="0" w:color="auto"/>
              <w:right w:val="nil"/>
            </w:tcBorders>
            <w:shd w:val="clear" w:color="auto" w:fill="auto"/>
            <w:vAlign w:val="bottom"/>
            <w:hideMark/>
          </w:tcPr>
          <w:p w:rsidR="00DF35A7" w:rsidRDefault="00DF35A7" w:rsidP="006E1512">
            <w:pPr>
              <w:jc w:val="right"/>
              <w:rPr>
                <w:color w:val="000000"/>
                <w:sz w:val="16"/>
                <w:szCs w:val="16"/>
              </w:rPr>
            </w:pPr>
            <w:r>
              <w:rPr>
                <w:color w:val="000000"/>
                <w:sz w:val="16"/>
                <w:szCs w:val="16"/>
              </w:rPr>
              <w:t xml:space="preserve">2,757 </w:t>
            </w:r>
          </w:p>
        </w:tc>
        <w:tc>
          <w:tcPr>
            <w:tcW w:w="396" w:type="dxa"/>
            <w:tcBorders>
              <w:top w:val="nil"/>
              <w:left w:val="nil"/>
              <w:bottom w:val="nil"/>
              <w:right w:val="nil"/>
            </w:tcBorders>
            <w:shd w:val="clear" w:color="auto" w:fill="auto"/>
            <w:noWrap/>
            <w:vAlign w:val="bottom"/>
            <w:hideMark/>
          </w:tcPr>
          <w:p w:rsidR="00DF35A7" w:rsidRDefault="00DF35A7" w:rsidP="006E1512">
            <w:pPr>
              <w:jc w:val="right"/>
              <w:rPr>
                <w:sz w:val="20"/>
                <w:szCs w:val="20"/>
              </w:rPr>
            </w:pPr>
          </w:p>
        </w:tc>
        <w:tc>
          <w:tcPr>
            <w:tcW w:w="829" w:type="dxa"/>
            <w:tcBorders>
              <w:top w:val="nil"/>
              <w:left w:val="nil"/>
              <w:bottom w:val="single" w:sz="8" w:space="0" w:color="auto"/>
              <w:right w:val="nil"/>
            </w:tcBorders>
            <w:shd w:val="clear" w:color="auto" w:fill="auto"/>
            <w:vAlign w:val="bottom"/>
            <w:hideMark/>
          </w:tcPr>
          <w:p w:rsidR="00DF35A7" w:rsidRDefault="00DF35A7" w:rsidP="006E1512">
            <w:pPr>
              <w:jc w:val="right"/>
              <w:rPr>
                <w:color w:val="000000"/>
                <w:sz w:val="16"/>
                <w:szCs w:val="16"/>
              </w:rPr>
            </w:pPr>
            <w:r>
              <w:rPr>
                <w:color w:val="000000"/>
                <w:sz w:val="16"/>
                <w:szCs w:val="16"/>
              </w:rPr>
              <w:t xml:space="preserve">838 </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999" w:type="dxa"/>
            <w:tcBorders>
              <w:top w:val="nil"/>
              <w:left w:val="nil"/>
              <w:bottom w:val="single" w:sz="8" w:space="0" w:color="auto"/>
              <w:right w:val="nil"/>
            </w:tcBorders>
            <w:shd w:val="clear" w:color="auto" w:fill="auto"/>
            <w:vAlign w:val="bottom"/>
            <w:hideMark/>
          </w:tcPr>
          <w:p w:rsidR="00DF35A7" w:rsidRDefault="00DF35A7" w:rsidP="006E1512">
            <w:pPr>
              <w:jc w:val="right"/>
              <w:rPr>
                <w:color w:val="000000"/>
                <w:sz w:val="16"/>
                <w:szCs w:val="16"/>
              </w:rPr>
            </w:pPr>
            <w:r>
              <w:rPr>
                <w:color w:val="000000"/>
                <w:sz w:val="16"/>
                <w:szCs w:val="16"/>
              </w:rPr>
              <w:t xml:space="preserve">1,995 </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821" w:type="dxa"/>
            <w:tcBorders>
              <w:top w:val="nil"/>
              <w:left w:val="nil"/>
              <w:bottom w:val="single" w:sz="8" w:space="0" w:color="auto"/>
              <w:right w:val="nil"/>
            </w:tcBorders>
            <w:shd w:val="clear" w:color="auto" w:fill="auto"/>
            <w:vAlign w:val="bottom"/>
            <w:hideMark/>
          </w:tcPr>
          <w:p w:rsidR="00DF35A7" w:rsidRDefault="004A7EDE" w:rsidP="006E1512">
            <w:pPr>
              <w:jc w:val="right"/>
              <w:rPr>
                <w:color w:val="000000"/>
                <w:sz w:val="16"/>
                <w:szCs w:val="16"/>
              </w:rPr>
            </w:pPr>
            <w:r>
              <w:rPr>
                <w:color w:val="000000"/>
                <w:sz w:val="16"/>
                <w:szCs w:val="16"/>
              </w:rPr>
              <w:t xml:space="preserve">- </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805" w:type="dxa"/>
            <w:tcBorders>
              <w:top w:val="nil"/>
              <w:left w:val="nil"/>
              <w:bottom w:val="single" w:sz="8" w:space="0" w:color="auto"/>
              <w:right w:val="nil"/>
            </w:tcBorders>
            <w:shd w:val="clear" w:color="auto" w:fill="auto"/>
            <w:vAlign w:val="bottom"/>
            <w:hideMark/>
          </w:tcPr>
          <w:p w:rsidR="00DF35A7" w:rsidRDefault="00DF35A7" w:rsidP="006E1512">
            <w:pPr>
              <w:jc w:val="right"/>
              <w:rPr>
                <w:color w:val="000000"/>
                <w:sz w:val="16"/>
                <w:szCs w:val="16"/>
              </w:rPr>
            </w:pPr>
            <w:r>
              <w:rPr>
                <w:color w:val="000000"/>
                <w:sz w:val="16"/>
                <w:szCs w:val="16"/>
              </w:rPr>
              <w:t xml:space="preserve">2,833 </w:t>
            </w:r>
          </w:p>
        </w:tc>
      </w:tr>
      <w:tr w:rsidR="00DF35A7" w:rsidTr="006E1512">
        <w:trPr>
          <w:trHeight w:val="120"/>
        </w:trPr>
        <w:tc>
          <w:tcPr>
            <w:tcW w:w="2936" w:type="dxa"/>
            <w:tcBorders>
              <w:top w:val="nil"/>
              <w:left w:val="nil"/>
              <w:bottom w:val="nil"/>
              <w:right w:val="nil"/>
            </w:tcBorders>
            <w:shd w:val="clear" w:color="auto" w:fill="auto"/>
            <w:noWrap/>
            <w:vAlign w:val="bottom"/>
            <w:hideMark/>
          </w:tcPr>
          <w:p w:rsidR="00DF35A7" w:rsidRDefault="00DF35A7">
            <w:pPr>
              <w:rPr>
                <w:color w:val="000000"/>
                <w:sz w:val="16"/>
                <w:szCs w:val="16"/>
              </w:rPr>
            </w:pPr>
          </w:p>
        </w:tc>
        <w:tc>
          <w:tcPr>
            <w:tcW w:w="885"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1053"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804"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75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396" w:type="dxa"/>
            <w:tcBorders>
              <w:top w:val="nil"/>
              <w:left w:val="nil"/>
              <w:bottom w:val="nil"/>
              <w:right w:val="nil"/>
            </w:tcBorders>
            <w:shd w:val="clear" w:color="auto" w:fill="auto"/>
            <w:noWrap/>
            <w:vAlign w:val="bottom"/>
            <w:hideMark/>
          </w:tcPr>
          <w:p w:rsidR="00DF35A7" w:rsidRDefault="00DF35A7" w:rsidP="006E1512">
            <w:pPr>
              <w:jc w:val="right"/>
              <w:rPr>
                <w:sz w:val="20"/>
                <w:szCs w:val="20"/>
              </w:rPr>
            </w:pPr>
          </w:p>
        </w:tc>
        <w:tc>
          <w:tcPr>
            <w:tcW w:w="829"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999"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821"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805"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r>
      <w:tr w:rsidR="00DF35A7" w:rsidTr="006E1512">
        <w:trPr>
          <w:trHeight w:val="255"/>
        </w:trPr>
        <w:tc>
          <w:tcPr>
            <w:tcW w:w="2936" w:type="dxa"/>
            <w:tcBorders>
              <w:top w:val="nil"/>
              <w:left w:val="nil"/>
              <w:bottom w:val="nil"/>
              <w:right w:val="nil"/>
            </w:tcBorders>
            <w:shd w:val="clear" w:color="auto" w:fill="auto"/>
            <w:noWrap/>
            <w:vAlign w:val="bottom"/>
            <w:hideMark/>
          </w:tcPr>
          <w:p w:rsidR="00DF35A7" w:rsidRDefault="00DF35A7">
            <w:pPr>
              <w:rPr>
                <w:color w:val="000000"/>
                <w:sz w:val="16"/>
                <w:szCs w:val="16"/>
              </w:rPr>
            </w:pPr>
            <w:r>
              <w:rPr>
                <w:color w:val="000000"/>
                <w:sz w:val="16"/>
                <w:szCs w:val="16"/>
              </w:rPr>
              <w:t>GROSS PROFIT</w:t>
            </w:r>
          </w:p>
        </w:tc>
        <w:tc>
          <w:tcPr>
            <w:tcW w:w="885"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r>
              <w:rPr>
                <w:color w:val="000000"/>
                <w:sz w:val="16"/>
                <w:szCs w:val="16"/>
              </w:rPr>
              <w:t>8,852</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1053"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r>
              <w:rPr>
                <w:color w:val="000000"/>
                <w:sz w:val="16"/>
                <w:szCs w:val="16"/>
              </w:rPr>
              <w:t>5,385</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804" w:type="dxa"/>
            <w:tcBorders>
              <w:top w:val="nil"/>
              <w:left w:val="nil"/>
              <w:bottom w:val="nil"/>
              <w:right w:val="nil"/>
            </w:tcBorders>
            <w:shd w:val="clear" w:color="auto" w:fill="auto"/>
            <w:vAlign w:val="bottom"/>
            <w:hideMark/>
          </w:tcPr>
          <w:p w:rsidR="00DF35A7" w:rsidRDefault="004A7EDE" w:rsidP="006E1512">
            <w:pPr>
              <w:jc w:val="right"/>
              <w:rPr>
                <w:color w:val="000000"/>
                <w:sz w:val="16"/>
                <w:szCs w:val="16"/>
              </w:rPr>
            </w:pPr>
            <w:r>
              <w:rPr>
                <w:color w:val="000000"/>
                <w:sz w:val="16"/>
                <w:szCs w:val="16"/>
              </w:rPr>
              <w:t>-</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75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r>
              <w:rPr>
                <w:color w:val="000000"/>
                <w:sz w:val="16"/>
                <w:szCs w:val="16"/>
              </w:rPr>
              <w:t>14,237</w:t>
            </w:r>
          </w:p>
        </w:tc>
        <w:tc>
          <w:tcPr>
            <w:tcW w:w="396" w:type="dxa"/>
            <w:tcBorders>
              <w:top w:val="nil"/>
              <w:left w:val="nil"/>
              <w:bottom w:val="nil"/>
              <w:right w:val="nil"/>
            </w:tcBorders>
            <w:shd w:val="clear" w:color="auto" w:fill="auto"/>
            <w:noWrap/>
            <w:vAlign w:val="bottom"/>
            <w:hideMark/>
          </w:tcPr>
          <w:p w:rsidR="00DF35A7" w:rsidRDefault="00DF35A7" w:rsidP="006E1512">
            <w:pPr>
              <w:jc w:val="right"/>
              <w:rPr>
                <w:sz w:val="20"/>
                <w:szCs w:val="20"/>
              </w:rPr>
            </w:pPr>
          </w:p>
        </w:tc>
        <w:tc>
          <w:tcPr>
            <w:tcW w:w="829"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r>
              <w:rPr>
                <w:color w:val="000000"/>
                <w:sz w:val="16"/>
                <w:szCs w:val="16"/>
              </w:rPr>
              <w:t>9,874</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999"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r>
              <w:rPr>
                <w:color w:val="000000"/>
                <w:sz w:val="16"/>
                <w:szCs w:val="16"/>
              </w:rPr>
              <w:t>4,441</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821" w:type="dxa"/>
            <w:tcBorders>
              <w:top w:val="nil"/>
              <w:left w:val="nil"/>
              <w:bottom w:val="nil"/>
              <w:right w:val="nil"/>
            </w:tcBorders>
            <w:shd w:val="clear" w:color="auto" w:fill="auto"/>
            <w:vAlign w:val="bottom"/>
            <w:hideMark/>
          </w:tcPr>
          <w:p w:rsidR="00DF35A7" w:rsidRDefault="004A7EDE" w:rsidP="006E1512">
            <w:pPr>
              <w:jc w:val="right"/>
              <w:rPr>
                <w:color w:val="000000"/>
                <w:sz w:val="16"/>
                <w:szCs w:val="16"/>
              </w:rPr>
            </w:pPr>
            <w:r>
              <w:rPr>
                <w:color w:val="000000"/>
                <w:sz w:val="16"/>
                <w:szCs w:val="16"/>
              </w:rPr>
              <w:t>-</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805"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r>
              <w:rPr>
                <w:color w:val="000000"/>
                <w:sz w:val="16"/>
                <w:szCs w:val="16"/>
              </w:rPr>
              <w:t>14,315</w:t>
            </w:r>
          </w:p>
        </w:tc>
      </w:tr>
      <w:tr w:rsidR="00DF35A7" w:rsidTr="006E1512">
        <w:trPr>
          <w:trHeight w:val="255"/>
        </w:trPr>
        <w:tc>
          <w:tcPr>
            <w:tcW w:w="2936" w:type="dxa"/>
            <w:tcBorders>
              <w:top w:val="nil"/>
              <w:left w:val="nil"/>
              <w:bottom w:val="nil"/>
              <w:right w:val="nil"/>
            </w:tcBorders>
            <w:shd w:val="clear" w:color="auto" w:fill="auto"/>
            <w:noWrap/>
            <w:vAlign w:val="bottom"/>
            <w:hideMark/>
          </w:tcPr>
          <w:p w:rsidR="00DF35A7" w:rsidRDefault="00DF35A7">
            <w:pPr>
              <w:rPr>
                <w:color w:val="000000"/>
                <w:sz w:val="16"/>
                <w:szCs w:val="16"/>
              </w:rPr>
            </w:pPr>
            <w:r>
              <w:rPr>
                <w:color w:val="000000"/>
                <w:sz w:val="16"/>
                <w:szCs w:val="16"/>
              </w:rPr>
              <w:t>Percentage of Net Revenue</w:t>
            </w:r>
          </w:p>
        </w:tc>
        <w:tc>
          <w:tcPr>
            <w:tcW w:w="885"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r>
              <w:rPr>
                <w:color w:val="000000"/>
                <w:sz w:val="16"/>
                <w:szCs w:val="16"/>
              </w:rPr>
              <w:t>94%</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1053"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r>
              <w:rPr>
                <w:color w:val="000000"/>
                <w:sz w:val="16"/>
                <w:szCs w:val="16"/>
              </w:rPr>
              <w:t>72%</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804" w:type="dxa"/>
            <w:tcBorders>
              <w:top w:val="nil"/>
              <w:left w:val="nil"/>
              <w:bottom w:val="nil"/>
              <w:right w:val="nil"/>
            </w:tcBorders>
            <w:shd w:val="clear" w:color="auto" w:fill="auto"/>
            <w:vAlign w:val="bottom"/>
            <w:hideMark/>
          </w:tcPr>
          <w:p w:rsidR="00DF35A7" w:rsidRDefault="004A7EDE" w:rsidP="006E1512">
            <w:pPr>
              <w:jc w:val="right"/>
              <w:rPr>
                <w:color w:val="000000"/>
                <w:sz w:val="16"/>
                <w:szCs w:val="16"/>
              </w:rPr>
            </w:pPr>
            <w:r>
              <w:rPr>
                <w:color w:val="000000"/>
                <w:sz w:val="16"/>
                <w:szCs w:val="16"/>
              </w:rPr>
              <w:t>-</w:t>
            </w:r>
            <w:r w:rsidR="00DF35A7">
              <w:rPr>
                <w:color w:val="000000"/>
                <w:sz w:val="16"/>
                <w:szCs w:val="16"/>
              </w:rPr>
              <w:t>%</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75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r>
              <w:rPr>
                <w:color w:val="000000"/>
                <w:sz w:val="16"/>
                <w:szCs w:val="16"/>
              </w:rPr>
              <w:t>84%</w:t>
            </w:r>
          </w:p>
        </w:tc>
        <w:tc>
          <w:tcPr>
            <w:tcW w:w="396" w:type="dxa"/>
            <w:tcBorders>
              <w:top w:val="nil"/>
              <w:left w:val="nil"/>
              <w:bottom w:val="nil"/>
              <w:right w:val="nil"/>
            </w:tcBorders>
            <w:shd w:val="clear" w:color="auto" w:fill="auto"/>
            <w:noWrap/>
            <w:vAlign w:val="bottom"/>
            <w:hideMark/>
          </w:tcPr>
          <w:p w:rsidR="00DF35A7" w:rsidRDefault="00DF35A7" w:rsidP="006E1512">
            <w:pPr>
              <w:jc w:val="right"/>
              <w:rPr>
                <w:sz w:val="20"/>
                <w:szCs w:val="20"/>
              </w:rPr>
            </w:pPr>
          </w:p>
        </w:tc>
        <w:tc>
          <w:tcPr>
            <w:tcW w:w="829"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r>
              <w:rPr>
                <w:color w:val="000000"/>
                <w:sz w:val="16"/>
                <w:szCs w:val="16"/>
              </w:rPr>
              <w:t>92%</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999"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r>
              <w:rPr>
                <w:color w:val="000000"/>
                <w:sz w:val="16"/>
                <w:szCs w:val="16"/>
              </w:rPr>
              <w:t>69%</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821" w:type="dxa"/>
            <w:tcBorders>
              <w:top w:val="nil"/>
              <w:left w:val="nil"/>
              <w:bottom w:val="nil"/>
              <w:right w:val="nil"/>
            </w:tcBorders>
            <w:shd w:val="clear" w:color="auto" w:fill="auto"/>
            <w:vAlign w:val="bottom"/>
            <w:hideMark/>
          </w:tcPr>
          <w:p w:rsidR="00DF35A7" w:rsidRDefault="004A7EDE" w:rsidP="006E1512">
            <w:pPr>
              <w:jc w:val="right"/>
              <w:rPr>
                <w:color w:val="000000"/>
                <w:sz w:val="16"/>
                <w:szCs w:val="16"/>
              </w:rPr>
            </w:pPr>
            <w:r>
              <w:rPr>
                <w:color w:val="000000"/>
                <w:sz w:val="16"/>
                <w:szCs w:val="16"/>
              </w:rPr>
              <w:t>-</w:t>
            </w:r>
            <w:r w:rsidR="00DF35A7">
              <w:rPr>
                <w:color w:val="000000"/>
                <w:sz w:val="16"/>
                <w:szCs w:val="16"/>
              </w:rPr>
              <w:t>%</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805"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r>
              <w:rPr>
                <w:color w:val="000000"/>
                <w:sz w:val="16"/>
                <w:szCs w:val="16"/>
              </w:rPr>
              <w:t>83%</w:t>
            </w:r>
          </w:p>
        </w:tc>
      </w:tr>
      <w:tr w:rsidR="00DF35A7" w:rsidTr="006E1512">
        <w:trPr>
          <w:trHeight w:val="120"/>
        </w:trPr>
        <w:tc>
          <w:tcPr>
            <w:tcW w:w="2936" w:type="dxa"/>
            <w:tcBorders>
              <w:top w:val="nil"/>
              <w:left w:val="nil"/>
              <w:bottom w:val="nil"/>
              <w:right w:val="nil"/>
            </w:tcBorders>
            <w:shd w:val="clear" w:color="auto" w:fill="auto"/>
            <w:noWrap/>
            <w:vAlign w:val="bottom"/>
            <w:hideMark/>
          </w:tcPr>
          <w:p w:rsidR="00DF35A7" w:rsidRDefault="00DF35A7">
            <w:pPr>
              <w:rPr>
                <w:color w:val="000000"/>
                <w:sz w:val="16"/>
                <w:szCs w:val="16"/>
              </w:rPr>
            </w:pPr>
          </w:p>
        </w:tc>
        <w:tc>
          <w:tcPr>
            <w:tcW w:w="885"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1053"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804"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75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396" w:type="dxa"/>
            <w:tcBorders>
              <w:top w:val="nil"/>
              <w:left w:val="nil"/>
              <w:bottom w:val="nil"/>
              <w:right w:val="nil"/>
            </w:tcBorders>
            <w:shd w:val="clear" w:color="auto" w:fill="auto"/>
            <w:noWrap/>
            <w:vAlign w:val="bottom"/>
            <w:hideMark/>
          </w:tcPr>
          <w:p w:rsidR="00DF35A7" w:rsidRDefault="00DF35A7" w:rsidP="006E1512">
            <w:pPr>
              <w:jc w:val="right"/>
              <w:rPr>
                <w:sz w:val="20"/>
                <w:szCs w:val="20"/>
              </w:rPr>
            </w:pPr>
          </w:p>
        </w:tc>
        <w:tc>
          <w:tcPr>
            <w:tcW w:w="829"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999"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821"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805"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r>
      <w:tr w:rsidR="00DF35A7" w:rsidTr="006E1512">
        <w:trPr>
          <w:trHeight w:val="255"/>
        </w:trPr>
        <w:tc>
          <w:tcPr>
            <w:tcW w:w="2936" w:type="dxa"/>
            <w:tcBorders>
              <w:top w:val="nil"/>
              <w:left w:val="nil"/>
              <w:bottom w:val="nil"/>
              <w:right w:val="nil"/>
            </w:tcBorders>
            <w:shd w:val="clear" w:color="auto" w:fill="auto"/>
            <w:noWrap/>
            <w:vAlign w:val="bottom"/>
            <w:hideMark/>
          </w:tcPr>
          <w:p w:rsidR="00DF35A7" w:rsidRDefault="00DF35A7">
            <w:pPr>
              <w:rPr>
                <w:color w:val="000000"/>
                <w:sz w:val="16"/>
                <w:szCs w:val="16"/>
              </w:rPr>
            </w:pPr>
            <w:r>
              <w:rPr>
                <w:color w:val="000000"/>
                <w:sz w:val="16"/>
                <w:szCs w:val="16"/>
              </w:rPr>
              <w:t>OPERATING EXPENSES:</w:t>
            </w:r>
          </w:p>
        </w:tc>
        <w:tc>
          <w:tcPr>
            <w:tcW w:w="885"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1053"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804"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75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396" w:type="dxa"/>
            <w:tcBorders>
              <w:top w:val="nil"/>
              <w:left w:val="nil"/>
              <w:bottom w:val="nil"/>
              <w:right w:val="nil"/>
            </w:tcBorders>
            <w:shd w:val="clear" w:color="auto" w:fill="auto"/>
            <w:noWrap/>
            <w:vAlign w:val="bottom"/>
            <w:hideMark/>
          </w:tcPr>
          <w:p w:rsidR="00DF35A7" w:rsidRDefault="00DF35A7" w:rsidP="006E1512">
            <w:pPr>
              <w:jc w:val="right"/>
              <w:rPr>
                <w:sz w:val="20"/>
                <w:szCs w:val="20"/>
              </w:rPr>
            </w:pPr>
          </w:p>
        </w:tc>
        <w:tc>
          <w:tcPr>
            <w:tcW w:w="829"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999"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821"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805"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r>
      <w:tr w:rsidR="00DF35A7" w:rsidTr="006E1512">
        <w:trPr>
          <w:trHeight w:val="255"/>
        </w:trPr>
        <w:tc>
          <w:tcPr>
            <w:tcW w:w="2936" w:type="dxa"/>
            <w:tcBorders>
              <w:top w:val="nil"/>
              <w:left w:val="nil"/>
              <w:bottom w:val="nil"/>
              <w:right w:val="nil"/>
            </w:tcBorders>
            <w:shd w:val="clear" w:color="auto" w:fill="auto"/>
            <w:noWrap/>
            <w:vAlign w:val="bottom"/>
            <w:hideMark/>
          </w:tcPr>
          <w:p w:rsidR="00DF35A7" w:rsidRDefault="00DF35A7">
            <w:pPr>
              <w:rPr>
                <w:color w:val="000000"/>
                <w:sz w:val="16"/>
                <w:szCs w:val="16"/>
              </w:rPr>
            </w:pPr>
            <w:r>
              <w:rPr>
                <w:color w:val="000000"/>
                <w:sz w:val="16"/>
                <w:szCs w:val="16"/>
              </w:rPr>
              <w:t>Development expenses</w:t>
            </w:r>
          </w:p>
        </w:tc>
        <w:tc>
          <w:tcPr>
            <w:tcW w:w="885"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r>
              <w:rPr>
                <w:color w:val="000000"/>
                <w:sz w:val="16"/>
                <w:szCs w:val="16"/>
              </w:rPr>
              <w:t xml:space="preserve">1,985 </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1053"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r>
              <w:rPr>
                <w:color w:val="000000"/>
                <w:sz w:val="16"/>
                <w:szCs w:val="16"/>
              </w:rPr>
              <w:t xml:space="preserve">1,549 </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804"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r>
              <w:rPr>
                <w:color w:val="000000"/>
                <w:sz w:val="16"/>
                <w:szCs w:val="16"/>
              </w:rPr>
              <w:t xml:space="preserve">1,104 </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752"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r>
              <w:rPr>
                <w:color w:val="000000"/>
                <w:sz w:val="16"/>
                <w:szCs w:val="16"/>
              </w:rPr>
              <w:t xml:space="preserve">4,638 </w:t>
            </w:r>
          </w:p>
        </w:tc>
        <w:tc>
          <w:tcPr>
            <w:tcW w:w="396" w:type="dxa"/>
            <w:tcBorders>
              <w:top w:val="nil"/>
              <w:left w:val="nil"/>
              <w:bottom w:val="nil"/>
              <w:right w:val="nil"/>
            </w:tcBorders>
            <w:shd w:val="clear" w:color="auto" w:fill="auto"/>
            <w:noWrap/>
            <w:vAlign w:val="bottom"/>
            <w:hideMark/>
          </w:tcPr>
          <w:p w:rsidR="00DF35A7" w:rsidRDefault="00DF35A7" w:rsidP="006E1512">
            <w:pPr>
              <w:jc w:val="right"/>
              <w:rPr>
                <w:sz w:val="20"/>
                <w:szCs w:val="20"/>
              </w:rPr>
            </w:pPr>
          </w:p>
        </w:tc>
        <w:tc>
          <w:tcPr>
            <w:tcW w:w="829"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r>
              <w:rPr>
                <w:color w:val="000000"/>
                <w:sz w:val="16"/>
                <w:szCs w:val="16"/>
              </w:rPr>
              <w:t xml:space="preserve">2,531 </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999"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r>
              <w:rPr>
                <w:color w:val="000000"/>
                <w:sz w:val="16"/>
                <w:szCs w:val="16"/>
              </w:rPr>
              <w:t xml:space="preserve">1,957 </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821"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r>
              <w:rPr>
                <w:color w:val="000000"/>
                <w:sz w:val="16"/>
                <w:szCs w:val="16"/>
              </w:rPr>
              <w:t xml:space="preserve">1,036 </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805"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r>
              <w:rPr>
                <w:color w:val="000000"/>
                <w:sz w:val="16"/>
                <w:szCs w:val="16"/>
              </w:rPr>
              <w:t xml:space="preserve">5,524 </w:t>
            </w:r>
          </w:p>
        </w:tc>
      </w:tr>
      <w:tr w:rsidR="00DF35A7" w:rsidTr="006E1512">
        <w:trPr>
          <w:trHeight w:val="255"/>
        </w:trPr>
        <w:tc>
          <w:tcPr>
            <w:tcW w:w="2936" w:type="dxa"/>
            <w:tcBorders>
              <w:top w:val="nil"/>
              <w:left w:val="nil"/>
              <w:bottom w:val="nil"/>
              <w:right w:val="nil"/>
            </w:tcBorders>
            <w:shd w:val="clear" w:color="auto" w:fill="auto"/>
            <w:noWrap/>
            <w:vAlign w:val="bottom"/>
            <w:hideMark/>
          </w:tcPr>
          <w:p w:rsidR="00DF35A7" w:rsidRDefault="00DF35A7">
            <w:pPr>
              <w:rPr>
                <w:color w:val="000000"/>
                <w:sz w:val="16"/>
                <w:szCs w:val="16"/>
              </w:rPr>
            </w:pPr>
            <w:r>
              <w:rPr>
                <w:color w:val="000000"/>
                <w:sz w:val="16"/>
                <w:szCs w:val="16"/>
              </w:rPr>
              <w:t>Selling and marketing expenses</w:t>
            </w:r>
          </w:p>
        </w:tc>
        <w:tc>
          <w:tcPr>
            <w:tcW w:w="885"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r>
              <w:rPr>
                <w:color w:val="000000"/>
                <w:sz w:val="16"/>
                <w:szCs w:val="16"/>
              </w:rPr>
              <w:t xml:space="preserve">1,726 </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1053"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r>
              <w:rPr>
                <w:color w:val="000000"/>
                <w:sz w:val="16"/>
                <w:szCs w:val="16"/>
              </w:rPr>
              <w:t xml:space="preserve">2,266 </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804"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r>
              <w:rPr>
                <w:color w:val="000000"/>
                <w:sz w:val="16"/>
                <w:szCs w:val="16"/>
              </w:rPr>
              <w:t xml:space="preserve">1,190 </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752"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r>
              <w:rPr>
                <w:color w:val="000000"/>
                <w:sz w:val="16"/>
                <w:szCs w:val="16"/>
              </w:rPr>
              <w:t xml:space="preserve">5,182 </w:t>
            </w:r>
          </w:p>
        </w:tc>
        <w:tc>
          <w:tcPr>
            <w:tcW w:w="396" w:type="dxa"/>
            <w:tcBorders>
              <w:top w:val="nil"/>
              <w:left w:val="nil"/>
              <w:bottom w:val="nil"/>
              <w:right w:val="nil"/>
            </w:tcBorders>
            <w:shd w:val="clear" w:color="auto" w:fill="auto"/>
            <w:noWrap/>
            <w:vAlign w:val="bottom"/>
            <w:hideMark/>
          </w:tcPr>
          <w:p w:rsidR="00DF35A7" w:rsidRDefault="00DF35A7" w:rsidP="006E1512">
            <w:pPr>
              <w:jc w:val="right"/>
              <w:rPr>
                <w:sz w:val="20"/>
                <w:szCs w:val="20"/>
              </w:rPr>
            </w:pPr>
          </w:p>
        </w:tc>
        <w:tc>
          <w:tcPr>
            <w:tcW w:w="829"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r>
              <w:rPr>
                <w:color w:val="000000"/>
                <w:sz w:val="16"/>
                <w:szCs w:val="16"/>
              </w:rPr>
              <w:t xml:space="preserve">1,778 </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999"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r>
              <w:rPr>
                <w:color w:val="000000"/>
                <w:sz w:val="16"/>
                <w:szCs w:val="16"/>
              </w:rPr>
              <w:t xml:space="preserve">1,728 </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821"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r>
              <w:rPr>
                <w:color w:val="000000"/>
                <w:sz w:val="16"/>
                <w:szCs w:val="16"/>
              </w:rPr>
              <w:t xml:space="preserve">1,068 </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805"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r>
              <w:rPr>
                <w:color w:val="000000"/>
                <w:sz w:val="16"/>
                <w:szCs w:val="16"/>
              </w:rPr>
              <w:t xml:space="preserve">4,574 </w:t>
            </w:r>
          </w:p>
        </w:tc>
      </w:tr>
      <w:tr w:rsidR="00DF35A7" w:rsidTr="006E1512">
        <w:trPr>
          <w:trHeight w:val="255"/>
        </w:trPr>
        <w:tc>
          <w:tcPr>
            <w:tcW w:w="2936" w:type="dxa"/>
            <w:tcBorders>
              <w:top w:val="nil"/>
              <w:left w:val="nil"/>
              <w:bottom w:val="nil"/>
              <w:right w:val="nil"/>
            </w:tcBorders>
            <w:shd w:val="clear" w:color="auto" w:fill="auto"/>
            <w:noWrap/>
            <w:vAlign w:val="bottom"/>
            <w:hideMark/>
          </w:tcPr>
          <w:p w:rsidR="00DF35A7" w:rsidRDefault="00DF35A7">
            <w:pPr>
              <w:rPr>
                <w:color w:val="000000"/>
                <w:sz w:val="16"/>
                <w:szCs w:val="16"/>
              </w:rPr>
            </w:pPr>
            <w:r>
              <w:rPr>
                <w:color w:val="000000"/>
                <w:sz w:val="16"/>
                <w:szCs w:val="16"/>
              </w:rPr>
              <w:t>General and administrative expenses</w:t>
            </w:r>
          </w:p>
        </w:tc>
        <w:tc>
          <w:tcPr>
            <w:tcW w:w="885"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r>
              <w:rPr>
                <w:color w:val="000000"/>
                <w:sz w:val="16"/>
                <w:szCs w:val="16"/>
              </w:rPr>
              <w:t xml:space="preserve">75 </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1053"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r>
              <w:rPr>
                <w:color w:val="000000"/>
                <w:sz w:val="16"/>
                <w:szCs w:val="16"/>
              </w:rPr>
              <w:t xml:space="preserve">78 </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804"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r>
              <w:rPr>
                <w:color w:val="000000"/>
                <w:sz w:val="16"/>
                <w:szCs w:val="16"/>
              </w:rPr>
              <w:t xml:space="preserve">3,900 </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752"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r>
              <w:rPr>
                <w:color w:val="000000"/>
                <w:sz w:val="16"/>
                <w:szCs w:val="16"/>
              </w:rPr>
              <w:t xml:space="preserve">4,053 </w:t>
            </w:r>
          </w:p>
        </w:tc>
        <w:tc>
          <w:tcPr>
            <w:tcW w:w="396" w:type="dxa"/>
            <w:tcBorders>
              <w:top w:val="nil"/>
              <w:left w:val="nil"/>
              <w:bottom w:val="nil"/>
              <w:right w:val="nil"/>
            </w:tcBorders>
            <w:shd w:val="clear" w:color="auto" w:fill="auto"/>
            <w:noWrap/>
            <w:vAlign w:val="bottom"/>
            <w:hideMark/>
          </w:tcPr>
          <w:p w:rsidR="00DF35A7" w:rsidRDefault="00DF35A7" w:rsidP="006E1512">
            <w:pPr>
              <w:jc w:val="right"/>
              <w:rPr>
                <w:sz w:val="20"/>
                <w:szCs w:val="20"/>
              </w:rPr>
            </w:pPr>
          </w:p>
        </w:tc>
        <w:tc>
          <w:tcPr>
            <w:tcW w:w="829"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r>
              <w:rPr>
                <w:color w:val="000000"/>
                <w:sz w:val="16"/>
                <w:szCs w:val="16"/>
              </w:rPr>
              <w:t xml:space="preserve">81 </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999"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r>
              <w:rPr>
                <w:color w:val="000000"/>
                <w:sz w:val="16"/>
                <w:szCs w:val="16"/>
              </w:rPr>
              <w:t xml:space="preserve">71 </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821"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r>
              <w:rPr>
                <w:color w:val="000000"/>
                <w:sz w:val="16"/>
                <w:szCs w:val="16"/>
              </w:rPr>
              <w:t xml:space="preserve">3,589 </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805"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r>
              <w:rPr>
                <w:color w:val="000000"/>
                <w:sz w:val="16"/>
                <w:szCs w:val="16"/>
              </w:rPr>
              <w:t xml:space="preserve">3,741 </w:t>
            </w:r>
          </w:p>
        </w:tc>
      </w:tr>
      <w:tr w:rsidR="00DF35A7" w:rsidTr="006E1512">
        <w:trPr>
          <w:trHeight w:val="270"/>
        </w:trPr>
        <w:tc>
          <w:tcPr>
            <w:tcW w:w="2936" w:type="dxa"/>
            <w:tcBorders>
              <w:top w:val="nil"/>
              <w:left w:val="nil"/>
              <w:bottom w:val="nil"/>
              <w:right w:val="nil"/>
            </w:tcBorders>
            <w:shd w:val="clear" w:color="auto" w:fill="auto"/>
            <w:noWrap/>
            <w:vAlign w:val="bottom"/>
            <w:hideMark/>
          </w:tcPr>
          <w:p w:rsidR="00DF35A7" w:rsidRDefault="00DF35A7">
            <w:pPr>
              <w:rPr>
                <w:color w:val="000000"/>
                <w:sz w:val="16"/>
                <w:szCs w:val="16"/>
              </w:rPr>
            </w:pPr>
            <w:r>
              <w:rPr>
                <w:color w:val="000000"/>
                <w:sz w:val="16"/>
                <w:szCs w:val="16"/>
              </w:rPr>
              <w:t>Patent litigation expense</w:t>
            </w:r>
          </w:p>
        </w:tc>
        <w:tc>
          <w:tcPr>
            <w:tcW w:w="885" w:type="dxa"/>
            <w:tcBorders>
              <w:top w:val="nil"/>
              <w:left w:val="nil"/>
              <w:bottom w:val="single" w:sz="8" w:space="0" w:color="auto"/>
              <w:right w:val="nil"/>
            </w:tcBorders>
            <w:shd w:val="clear" w:color="auto" w:fill="auto"/>
            <w:vAlign w:val="bottom"/>
            <w:hideMark/>
          </w:tcPr>
          <w:p w:rsidR="00DF35A7" w:rsidRDefault="004A7EDE" w:rsidP="006E1512">
            <w:pPr>
              <w:jc w:val="right"/>
              <w:rPr>
                <w:color w:val="000000"/>
                <w:sz w:val="16"/>
                <w:szCs w:val="16"/>
              </w:rPr>
            </w:pPr>
            <w:r>
              <w:rPr>
                <w:color w:val="000000"/>
                <w:sz w:val="16"/>
                <w:szCs w:val="16"/>
              </w:rPr>
              <w:t xml:space="preserve">- </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1053" w:type="dxa"/>
            <w:tcBorders>
              <w:top w:val="nil"/>
              <w:left w:val="nil"/>
              <w:bottom w:val="single" w:sz="8" w:space="0" w:color="auto"/>
              <w:right w:val="nil"/>
            </w:tcBorders>
            <w:shd w:val="clear" w:color="auto" w:fill="auto"/>
            <w:vAlign w:val="bottom"/>
            <w:hideMark/>
          </w:tcPr>
          <w:p w:rsidR="00DF35A7" w:rsidRDefault="004A7EDE" w:rsidP="006E1512">
            <w:pPr>
              <w:jc w:val="right"/>
              <w:rPr>
                <w:color w:val="000000"/>
                <w:sz w:val="16"/>
                <w:szCs w:val="16"/>
              </w:rPr>
            </w:pPr>
            <w:r>
              <w:rPr>
                <w:color w:val="000000"/>
                <w:sz w:val="16"/>
                <w:szCs w:val="16"/>
              </w:rPr>
              <w:t xml:space="preserve">- </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804" w:type="dxa"/>
            <w:tcBorders>
              <w:top w:val="nil"/>
              <w:left w:val="nil"/>
              <w:bottom w:val="single" w:sz="8" w:space="0" w:color="auto"/>
              <w:right w:val="nil"/>
            </w:tcBorders>
            <w:shd w:val="clear" w:color="auto" w:fill="auto"/>
            <w:vAlign w:val="bottom"/>
            <w:hideMark/>
          </w:tcPr>
          <w:p w:rsidR="00DF35A7" w:rsidRDefault="00DF35A7" w:rsidP="006E1512">
            <w:pPr>
              <w:jc w:val="right"/>
              <w:rPr>
                <w:color w:val="000000"/>
                <w:sz w:val="16"/>
                <w:szCs w:val="16"/>
              </w:rPr>
            </w:pPr>
            <w:r>
              <w:rPr>
                <w:color w:val="000000"/>
                <w:sz w:val="16"/>
                <w:szCs w:val="16"/>
              </w:rPr>
              <w:t xml:space="preserve">225 </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752" w:type="dxa"/>
            <w:tcBorders>
              <w:top w:val="nil"/>
              <w:left w:val="nil"/>
              <w:bottom w:val="single" w:sz="8" w:space="0" w:color="auto"/>
              <w:right w:val="nil"/>
            </w:tcBorders>
            <w:shd w:val="clear" w:color="auto" w:fill="auto"/>
            <w:noWrap/>
            <w:vAlign w:val="bottom"/>
            <w:hideMark/>
          </w:tcPr>
          <w:p w:rsidR="00DF35A7" w:rsidRDefault="00DF35A7" w:rsidP="006E1512">
            <w:pPr>
              <w:jc w:val="right"/>
              <w:rPr>
                <w:color w:val="000000"/>
                <w:sz w:val="16"/>
                <w:szCs w:val="16"/>
              </w:rPr>
            </w:pPr>
            <w:r>
              <w:rPr>
                <w:color w:val="000000"/>
                <w:sz w:val="16"/>
                <w:szCs w:val="16"/>
              </w:rPr>
              <w:t xml:space="preserve">225 </w:t>
            </w:r>
          </w:p>
        </w:tc>
        <w:tc>
          <w:tcPr>
            <w:tcW w:w="396" w:type="dxa"/>
            <w:tcBorders>
              <w:top w:val="nil"/>
              <w:left w:val="nil"/>
              <w:bottom w:val="nil"/>
              <w:right w:val="nil"/>
            </w:tcBorders>
            <w:shd w:val="clear" w:color="auto" w:fill="auto"/>
            <w:noWrap/>
            <w:vAlign w:val="bottom"/>
            <w:hideMark/>
          </w:tcPr>
          <w:p w:rsidR="00DF35A7" w:rsidRDefault="00DF35A7" w:rsidP="006E1512">
            <w:pPr>
              <w:jc w:val="right"/>
              <w:rPr>
                <w:sz w:val="20"/>
                <w:szCs w:val="20"/>
              </w:rPr>
            </w:pPr>
          </w:p>
        </w:tc>
        <w:tc>
          <w:tcPr>
            <w:tcW w:w="829" w:type="dxa"/>
            <w:tcBorders>
              <w:top w:val="nil"/>
              <w:left w:val="nil"/>
              <w:bottom w:val="single" w:sz="8" w:space="0" w:color="auto"/>
              <w:right w:val="nil"/>
            </w:tcBorders>
            <w:shd w:val="clear" w:color="auto" w:fill="auto"/>
            <w:noWrap/>
            <w:vAlign w:val="bottom"/>
            <w:hideMark/>
          </w:tcPr>
          <w:p w:rsidR="00DF35A7" w:rsidRDefault="004A7EDE" w:rsidP="006E1512">
            <w:pPr>
              <w:jc w:val="right"/>
              <w:rPr>
                <w:color w:val="000000"/>
                <w:sz w:val="16"/>
                <w:szCs w:val="16"/>
              </w:rPr>
            </w:pPr>
            <w:r>
              <w:rPr>
                <w:color w:val="000000"/>
                <w:sz w:val="16"/>
                <w:szCs w:val="16"/>
              </w:rPr>
              <w:t xml:space="preserve">- </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999" w:type="dxa"/>
            <w:tcBorders>
              <w:top w:val="nil"/>
              <w:left w:val="nil"/>
              <w:bottom w:val="single" w:sz="8" w:space="0" w:color="auto"/>
              <w:right w:val="nil"/>
            </w:tcBorders>
            <w:shd w:val="clear" w:color="auto" w:fill="auto"/>
            <w:noWrap/>
            <w:vAlign w:val="bottom"/>
            <w:hideMark/>
          </w:tcPr>
          <w:p w:rsidR="00DF35A7" w:rsidRDefault="004A7EDE" w:rsidP="006E1512">
            <w:pPr>
              <w:jc w:val="right"/>
              <w:rPr>
                <w:color w:val="000000"/>
                <w:sz w:val="16"/>
                <w:szCs w:val="16"/>
              </w:rPr>
            </w:pPr>
            <w:r>
              <w:rPr>
                <w:color w:val="000000"/>
                <w:sz w:val="16"/>
                <w:szCs w:val="16"/>
              </w:rPr>
              <w:t xml:space="preserve">- </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821" w:type="dxa"/>
            <w:tcBorders>
              <w:top w:val="nil"/>
              <w:left w:val="nil"/>
              <w:bottom w:val="single" w:sz="8" w:space="0" w:color="auto"/>
              <w:right w:val="nil"/>
            </w:tcBorders>
            <w:shd w:val="clear" w:color="auto" w:fill="auto"/>
            <w:noWrap/>
            <w:vAlign w:val="bottom"/>
            <w:hideMark/>
          </w:tcPr>
          <w:p w:rsidR="00DF35A7" w:rsidRDefault="004A7EDE" w:rsidP="006E1512">
            <w:pPr>
              <w:jc w:val="right"/>
              <w:rPr>
                <w:color w:val="000000"/>
                <w:sz w:val="16"/>
                <w:szCs w:val="16"/>
              </w:rPr>
            </w:pPr>
            <w:r>
              <w:rPr>
                <w:color w:val="000000"/>
                <w:sz w:val="16"/>
                <w:szCs w:val="16"/>
              </w:rPr>
              <w:t xml:space="preserve">- </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805" w:type="dxa"/>
            <w:tcBorders>
              <w:top w:val="nil"/>
              <w:left w:val="nil"/>
              <w:bottom w:val="single" w:sz="8" w:space="0" w:color="auto"/>
              <w:right w:val="nil"/>
            </w:tcBorders>
            <w:shd w:val="clear" w:color="auto" w:fill="auto"/>
            <w:noWrap/>
            <w:vAlign w:val="bottom"/>
            <w:hideMark/>
          </w:tcPr>
          <w:p w:rsidR="00DF35A7" w:rsidRDefault="004A7EDE" w:rsidP="006E1512">
            <w:pPr>
              <w:jc w:val="right"/>
              <w:rPr>
                <w:color w:val="000000"/>
                <w:sz w:val="16"/>
                <w:szCs w:val="16"/>
              </w:rPr>
            </w:pPr>
            <w:r>
              <w:rPr>
                <w:color w:val="000000"/>
                <w:sz w:val="16"/>
                <w:szCs w:val="16"/>
              </w:rPr>
              <w:t xml:space="preserve">- </w:t>
            </w:r>
          </w:p>
        </w:tc>
      </w:tr>
      <w:tr w:rsidR="00DF35A7" w:rsidTr="006E1512">
        <w:trPr>
          <w:trHeight w:val="270"/>
        </w:trPr>
        <w:tc>
          <w:tcPr>
            <w:tcW w:w="2936" w:type="dxa"/>
            <w:tcBorders>
              <w:top w:val="nil"/>
              <w:left w:val="nil"/>
              <w:bottom w:val="nil"/>
              <w:right w:val="nil"/>
            </w:tcBorders>
            <w:shd w:val="clear" w:color="auto" w:fill="auto"/>
            <w:noWrap/>
            <w:vAlign w:val="bottom"/>
            <w:hideMark/>
          </w:tcPr>
          <w:p w:rsidR="00DF35A7" w:rsidRDefault="00DF35A7">
            <w:pPr>
              <w:rPr>
                <w:color w:val="000000"/>
                <w:sz w:val="16"/>
                <w:szCs w:val="16"/>
              </w:rPr>
            </w:pPr>
            <w:r>
              <w:rPr>
                <w:color w:val="000000"/>
                <w:sz w:val="16"/>
                <w:szCs w:val="16"/>
              </w:rPr>
              <w:t>Total Operating Expenses</w:t>
            </w:r>
          </w:p>
        </w:tc>
        <w:tc>
          <w:tcPr>
            <w:tcW w:w="885" w:type="dxa"/>
            <w:tcBorders>
              <w:top w:val="nil"/>
              <w:left w:val="nil"/>
              <w:bottom w:val="single" w:sz="8" w:space="0" w:color="auto"/>
              <w:right w:val="nil"/>
            </w:tcBorders>
            <w:shd w:val="clear" w:color="auto" w:fill="auto"/>
            <w:noWrap/>
            <w:vAlign w:val="bottom"/>
            <w:hideMark/>
          </w:tcPr>
          <w:p w:rsidR="00DF35A7" w:rsidRDefault="00DF35A7" w:rsidP="006E1512">
            <w:pPr>
              <w:jc w:val="right"/>
              <w:rPr>
                <w:color w:val="000000"/>
                <w:sz w:val="16"/>
                <w:szCs w:val="16"/>
              </w:rPr>
            </w:pPr>
            <w:r>
              <w:rPr>
                <w:color w:val="000000"/>
                <w:sz w:val="16"/>
                <w:szCs w:val="16"/>
              </w:rPr>
              <w:t xml:space="preserve">3,786 </w:t>
            </w:r>
          </w:p>
        </w:tc>
        <w:tc>
          <w:tcPr>
            <w:tcW w:w="222"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p>
        </w:tc>
        <w:tc>
          <w:tcPr>
            <w:tcW w:w="1053" w:type="dxa"/>
            <w:tcBorders>
              <w:top w:val="nil"/>
              <w:left w:val="nil"/>
              <w:bottom w:val="single" w:sz="8" w:space="0" w:color="auto"/>
              <w:right w:val="nil"/>
            </w:tcBorders>
            <w:shd w:val="clear" w:color="auto" w:fill="auto"/>
            <w:noWrap/>
            <w:vAlign w:val="bottom"/>
            <w:hideMark/>
          </w:tcPr>
          <w:p w:rsidR="00DF35A7" w:rsidRDefault="00DF35A7" w:rsidP="006E1512">
            <w:pPr>
              <w:jc w:val="right"/>
              <w:rPr>
                <w:color w:val="000000"/>
                <w:sz w:val="16"/>
                <w:szCs w:val="16"/>
              </w:rPr>
            </w:pPr>
            <w:r>
              <w:rPr>
                <w:color w:val="000000"/>
                <w:sz w:val="16"/>
                <w:szCs w:val="16"/>
              </w:rPr>
              <w:t xml:space="preserve">3,893 </w:t>
            </w:r>
          </w:p>
        </w:tc>
        <w:tc>
          <w:tcPr>
            <w:tcW w:w="222"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p>
        </w:tc>
        <w:tc>
          <w:tcPr>
            <w:tcW w:w="804" w:type="dxa"/>
            <w:tcBorders>
              <w:top w:val="nil"/>
              <w:left w:val="nil"/>
              <w:bottom w:val="single" w:sz="8" w:space="0" w:color="auto"/>
              <w:right w:val="nil"/>
            </w:tcBorders>
            <w:shd w:val="clear" w:color="auto" w:fill="auto"/>
            <w:noWrap/>
            <w:vAlign w:val="bottom"/>
            <w:hideMark/>
          </w:tcPr>
          <w:p w:rsidR="00DF35A7" w:rsidRDefault="00DF35A7" w:rsidP="006E1512">
            <w:pPr>
              <w:jc w:val="right"/>
              <w:rPr>
                <w:color w:val="000000"/>
                <w:sz w:val="16"/>
                <w:szCs w:val="16"/>
              </w:rPr>
            </w:pPr>
            <w:r>
              <w:rPr>
                <w:color w:val="000000"/>
                <w:sz w:val="16"/>
                <w:szCs w:val="16"/>
              </w:rPr>
              <w:t xml:space="preserve">6,419 </w:t>
            </w:r>
          </w:p>
        </w:tc>
        <w:tc>
          <w:tcPr>
            <w:tcW w:w="222"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p>
        </w:tc>
        <w:tc>
          <w:tcPr>
            <w:tcW w:w="752" w:type="dxa"/>
            <w:tcBorders>
              <w:top w:val="nil"/>
              <w:left w:val="nil"/>
              <w:bottom w:val="single" w:sz="8" w:space="0" w:color="auto"/>
              <w:right w:val="nil"/>
            </w:tcBorders>
            <w:shd w:val="clear" w:color="auto" w:fill="auto"/>
            <w:noWrap/>
            <w:vAlign w:val="bottom"/>
            <w:hideMark/>
          </w:tcPr>
          <w:p w:rsidR="00DF35A7" w:rsidRDefault="00DF35A7" w:rsidP="006E1512">
            <w:pPr>
              <w:jc w:val="right"/>
              <w:rPr>
                <w:color w:val="000000"/>
                <w:sz w:val="16"/>
                <w:szCs w:val="16"/>
              </w:rPr>
            </w:pPr>
            <w:r>
              <w:rPr>
                <w:color w:val="000000"/>
                <w:sz w:val="16"/>
                <w:szCs w:val="16"/>
              </w:rPr>
              <w:t xml:space="preserve">14,098 </w:t>
            </w:r>
          </w:p>
        </w:tc>
        <w:tc>
          <w:tcPr>
            <w:tcW w:w="396" w:type="dxa"/>
            <w:tcBorders>
              <w:top w:val="nil"/>
              <w:left w:val="nil"/>
              <w:bottom w:val="nil"/>
              <w:right w:val="nil"/>
            </w:tcBorders>
            <w:shd w:val="clear" w:color="auto" w:fill="auto"/>
            <w:noWrap/>
            <w:vAlign w:val="bottom"/>
            <w:hideMark/>
          </w:tcPr>
          <w:p w:rsidR="00DF35A7" w:rsidRDefault="00DF35A7" w:rsidP="006E1512">
            <w:pPr>
              <w:jc w:val="right"/>
              <w:rPr>
                <w:sz w:val="20"/>
                <w:szCs w:val="20"/>
              </w:rPr>
            </w:pPr>
          </w:p>
        </w:tc>
        <w:tc>
          <w:tcPr>
            <w:tcW w:w="829" w:type="dxa"/>
            <w:tcBorders>
              <w:top w:val="nil"/>
              <w:left w:val="nil"/>
              <w:bottom w:val="single" w:sz="8" w:space="0" w:color="auto"/>
              <w:right w:val="nil"/>
            </w:tcBorders>
            <w:shd w:val="clear" w:color="auto" w:fill="auto"/>
            <w:noWrap/>
            <w:vAlign w:val="bottom"/>
            <w:hideMark/>
          </w:tcPr>
          <w:p w:rsidR="00DF35A7" w:rsidRDefault="00DF35A7" w:rsidP="006E1512">
            <w:pPr>
              <w:jc w:val="right"/>
              <w:rPr>
                <w:color w:val="000000"/>
                <w:sz w:val="16"/>
                <w:szCs w:val="16"/>
              </w:rPr>
            </w:pPr>
            <w:r>
              <w:rPr>
                <w:color w:val="000000"/>
                <w:sz w:val="16"/>
                <w:szCs w:val="16"/>
              </w:rPr>
              <w:t xml:space="preserve">4,390 </w:t>
            </w:r>
          </w:p>
        </w:tc>
        <w:tc>
          <w:tcPr>
            <w:tcW w:w="222"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p>
        </w:tc>
        <w:tc>
          <w:tcPr>
            <w:tcW w:w="999" w:type="dxa"/>
            <w:tcBorders>
              <w:top w:val="nil"/>
              <w:left w:val="nil"/>
              <w:bottom w:val="single" w:sz="8" w:space="0" w:color="auto"/>
              <w:right w:val="nil"/>
            </w:tcBorders>
            <w:shd w:val="clear" w:color="auto" w:fill="auto"/>
            <w:noWrap/>
            <w:vAlign w:val="bottom"/>
            <w:hideMark/>
          </w:tcPr>
          <w:p w:rsidR="00DF35A7" w:rsidRDefault="00DF35A7" w:rsidP="006E1512">
            <w:pPr>
              <w:jc w:val="right"/>
              <w:rPr>
                <w:color w:val="000000"/>
                <w:sz w:val="16"/>
                <w:szCs w:val="16"/>
              </w:rPr>
            </w:pPr>
            <w:r>
              <w:rPr>
                <w:color w:val="000000"/>
                <w:sz w:val="16"/>
                <w:szCs w:val="16"/>
              </w:rPr>
              <w:t xml:space="preserve">3,756 </w:t>
            </w:r>
          </w:p>
        </w:tc>
        <w:tc>
          <w:tcPr>
            <w:tcW w:w="222"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p>
        </w:tc>
        <w:tc>
          <w:tcPr>
            <w:tcW w:w="821" w:type="dxa"/>
            <w:tcBorders>
              <w:top w:val="nil"/>
              <w:left w:val="nil"/>
              <w:bottom w:val="single" w:sz="8" w:space="0" w:color="auto"/>
              <w:right w:val="nil"/>
            </w:tcBorders>
            <w:shd w:val="clear" w:color="auto" w:fill="auto"/>
            <w:noWrap/>
            <w:vAlign w:val="bottom"/>
            <w:hideMark/>
          </w:tcPr>
          <w:p w:rsidR="00DF35A7" w:rsidRDefault="00DF35A7" w:rsidP="006E1512">
            <w:pPr>
              <w:jc w:val="right"/>
              <w:rPr>
                <w:color w:val="000000"/>
                <w:sz w:val="16"/>
                <w:szCs w:val="16"/>
              </w:rPr>
            </w:pPr>
            <w:r>
              <w:rPr>
                <w:color w:val="000000"/>
                <w:sz w:val="16"/>
                <w:szCs w:val="16"/>
              </w:rPr>
              <w:t xml:space="preserve">5,693 </w:t>
            </w:r>
          </w:p>
        </w:tc>
        <w:tc>
          <w:tcPr>
            <w:tcW w:w="222"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p>
        </w:tc>
        <w:tc>
          <w:tcPr>
            <w:tcW w:w="805" w:type="dxa"/>
            <w:tcBorders>
              <w:top w:val="nil"/>
              <w:left w:val="nil"/>
              <w:bottom w:val="single" w:sz="8" w:space="0" w:color="auto"/>
              <w:right w:val="nil"/>
            </w:tcBorders>
            <w:shd w:val="clear" w:color="auto" w:fill="auto"/>
            <w:noWrap/>
            <w:vAlign w:val="bottom"/>
            <w:hideMark/>
          </w:tcPr>
          <w:p w:rsidR="00DF35A7" w:rsidRDefault="00DF35A7" w:rsidP="006E1512">
            <w:pPr>
              <w:jc w:val="right"/>
              <w:rPr>
                <w:color w:val="000000"/>
                <w:sz w:val="16"/>
                <w:szCs w:val="16"/>
              </w:rPr>
            </w:pPr>
            <w:r>
              <w:rPr>
                <w:color w:val="000000"/>
                <w:sz w:val="16"/>
                <w:szCs w:val="16"/>
              </w:rPr>
              <w:t xml:space="preserve">13,839 </w:t>
            </w:r>
          </w:p>
        </w:tc>
      </w:tr>
      <w:tr w:rsidR="00DF35A7" w:rsidTr="006E1512">
        <w:trPr>
          <w:trHeight w:val="120"/>
        </w:trPr>
        <w:tc>
          <w:tcPr>
            <w:tcW w:w="2936" w:type="dxa"/>
            <w:tcBorders>
              <w:top w:val="nil"/>
              <w:left w:val="nil"/>
              <w:bottom w:val="nil"/>
              <w:right w:val="nil"/>
            </w:tcBorders>
            <w:shd w:val="clear" w:color="auto" w:fill="auto"/>
            <w:noWrap/>
            <w:vAlign w:val="bottom"/>
            <w:hideMark/>
          </w:tcPr>
          <w:p w:rsidR="00DF35A7" w:rsidRDefault="00DF35A7">
            <w:pPr>
              <w:rPr>
                <w:color w:val="000000"/>
                <w:sz w:val="16"/>
                <w:szCs w:val="16"/>
              </w:rPr>
            </w:pPr>
          </w:p>
        </w:tc>
        <w:tc>
          <w:tcPr>
            <w:tcW w:w="885"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1053"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804"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75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396" w:type="dxa"/>
            <w:tcBorders>
              <w:top w:val="nil"/>
              <w:left w:val="nil"/>
              <w:bottom w:val="nil"/>
              <w:right w:val="nil"/>
            </w:tcBorders>
            <w:shd w:val="clear" w:color="auto" w:fill="auto"/>
            <w:noWrap/>
            <w:vAlign w:val="bottom"/>
            <w:hideMark/>
          </w:tcPr>
          <w:p w:rsidR="00DF35A7" w:rsidRDefault="00DF35A7" w:rsidP="006E1512">
            <w:pPr>
              <w:jc w:val="right"/>
              <w:rPr>
                <w:sz w:val="20"/>
                <w:szCs w:val="20"/>
              </w:rPr>
            </w:pPr>
          </w:p>
        </w:tc>
        <w:tc>
          <w:tcPr>
            <w:tcW w:w="829"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999"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821"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805"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r>
      <w:tr w:rsidR="00DF35A7" w:rsidTr="006E1512">
        <w:trPr>
          <w:trHeight w:val="255"/>
        </w:trPr>
        <w:tc>
          <w:tcPr>
            <w:tcW w:w="2936" w:type="dxa"/>
            <w:tcBorders>
              <w:top w:val="nil"/>
              <w:left w:val="nil"/>
              <w:bottom w:val="nil"/>
              <w:right w:val="nil"/>
            </w:tcBorders>
            <w:shd w:val="clear" w:color="auto" w:fill="auto"/>
            <w:noWrap/>
            <w:vAlign w:val="bottom"/>
            <w:hideMark/>
          </w:tcPr>
          <w:p w:rsidR="00DF35A7" w:rsidRDefault="00DF35A7">
            <w:pPr>
              <w:rPr>
                <w:color w:val="000000"/>
                <w:sz w:val="16"/>
                <w:szCs w:val="16"/>
              </w:rPr>
            </w:pPr>
            <w:r>
              <w:rPr>
                <w:color w:val="000000"/>
                <w:sz w:val="16"/>
                <w:szCs w:val="16"/>
              </w:rPr>
              <w:t>Income/(Loss) from Operations</w:t>
            </w:r>
          </w:p>
        </w:tc>
        <w:tc>
          <w:tcPr>
            <w:tcW w:w="885"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r>
              <w:rPr>
                <w:color w:val="000000"/>
                <w:sz w:val="16"/>
                <w:szCs w:val="16"/>
              </w:rPr>
              <w:t>5,066</w:t>
            </w:r>
          </w:p>
        </w:tc>
        <w:tc>
          <w:tcPr>
            <w:tcW w:w="222"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p>
        </w:tc>
        <w:tc>
          <w:tcPr>
            <w:tcW w:w="1053"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r>
              <w:rPr>
                <w:color w:val="000000"/>
                <w:sz w:val="16"/>
                <w:szCs w:val="16"/>
              </w:rPr>
              <w:t>1,492</w:t>
            </w:r>
          </w:p>
        </w:tc>
        <w:tc>
          <w:tcPr>
            <w:tcW w:w="222"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p>
        </w:tc>
        <w:tc>
          <w:tcPr>
            <w:tcW w:w="804"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r>
              <w:rPr>
                <w:color w:val="FF0000"/>
                <w:sz w:val="16"/>
                <w:szCs w:val="16"/>
              </w:rPr>
              <w:t>(6,419)</w:t>
            </w:r>
          </w:p>
        </w:tc>
        <w:tc>
          <w:tcPr>
            <w:tcW w:w="222"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p>
        </w:tc>
        <w:tc>
          <w:tcPr>
            <w:tcW w:w="752"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r>
              <w:rPr>
                <w:color w:val="000000"/>
                <w:sz w:val="16"/>
                <w:szCs w:val="16"/>
              </w:rPr>
              <w:t xml:space="preserve">139 </w:t>
            </w:r>
          </w:p>
        </w:tc>
        <w:tc>
          <w:tcPr>
            <w:tcW w:w="396" w:type="dxa"/>
            <w:tcBorders>
              <w:top w:val="nil"/>
              <w:left w:val="nil"/>
              <w:bottom w:val="nil"/>
              <w:right w:val="nil"/>
            </w:tcBorders>
            <w:shd w:val="clear" w:color="auto" w:fill="auto"/>
            <w:noWrap/>
            <w:vAlign w:val="bottom"/>
            <w:hideMark/>
          </w:tcPr>
          <w:p w:rsidR="00DF35A7" w:rsidRDefault="00DF35A7" w:rsidP="006E1512">
            <w:pPr>
              <w:jc w:val="right"/>
              <w:rPr>
                <w:sz w:val="20"/>
                <w:szCs w:val="20"/>
              </w:rPr>
            </w:pPr>
          </w:p>
        </w:tc>
        <w:tc>
          <w:tcPr>
            <w:tcW w:w="829"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r>
              <w:rPr>
                <w:color w:val="000000"/>
                <w:sz w:val="16"/>
                <w:szCs w:val="16"/>
              </w:rPr>
              <w:t>5,484</w:t>
            </w:r>
          </w:p>
        </w:tc>
        <w:tc>
          <w:tcPr>
            <w:tcW w:w="222"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p>
        </w:tc>
        <w:tc>
          <w:tcPr>
            <w:tcW w:w="999"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r>
              <w:rPr>
                <w:color w:val="000000"/>
                <w:sz w:val="16"/>
                <w:szCs w:val="16"/>
              </w:rPr>
              <w:t xml:space="preserve">685 </w:t>
            </w:r>
          </w:p>
        </w:tc>
        <w:tc>
          <w:tcPr>
            <w:tcW w:w="222"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p>
        </w:tc>
        <w:tc>
          <w:tcPr>
            <w:tcW w:w="821"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r>
              <w:rPr>
                <w:color w:val="FF0000"/>
                <w:sz w:val="16"/>
                <w:szCs w:val="16"/>
              </w:rPr>
              <w:t>(5,693)</w:t>
            </w:r>
          </w:p>
        </w:tc>
        <w:tc>
          <w:tcPr>
            <w:tcW w:w="222"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p>
        </w:tc>
        <w:tc>
          <w:tcPr>
            <w:tcW w:w="805"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r>
              <w:rPr>
                <w:color w:val="000000"/>
                <w:sz w:val="16"/>
                <w:szCs w:val="16"/>
              </w:rPr>
              <w:t xml:space="preserve">476 </w:t>
            </w:r>
          </w:p>
        </w:tc>
      </w:tr>
      <w:tr w:rsidR="00DF35A7" w:rsidTr="006E1512">
        <w:trPr>
          <w:trHeight w:val="120"/>
        </w:trPr>
        <w:tc>
          <w:tcPr>
            <w:tcW w:w="2936" w:type="dxa"/>
            <w:tcBorders>
              <w:top w:val="nil"/>
              <w:left w:val="nil"/>
              <w:bottom w:val="nil"/>
              <w:right w:val="nil"/>
            </w:tcBorders>
            <w:shd w:val="clear" w:color="auto" w:fill="auto"/>
            <w:noWrap/>
            <w:vAlign w:val="bottom"/>
            <w:hideMark/>
          </w:tcPr>
          <w:p w:rsidR="00DF35A7" w:rsidRDefault="00DF35A7">
            <w:pPr>
              <w:rPr>
                <w:color w:val="000000"/>
                <w:sz w:val="16"/>
                <w:szCs w:val="16"/>
              </w:rPr>
            </w:pPr>
          </w:p>
        </w:tc>
        <w:tc>
          <w:tcPr>
            <w:tcW w:w="885"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p>
        </w:tc>
        <w:tc>
          <w:tcPr>
            <w:tcW w:w="222"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p>
        </w:tc>
        <w:tc>
          <w:tcPr>
            <w:tcW w:w="1053"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p>
        </w:tc>
        <w:tc>
          <w:tcPr>
            <w:tcW w:w="222"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p>
        </w:tc>
        <w:tc>
          <w:tcPr>
            <w:tcW w:w="804" w:type="dxa"/>
            <w:tcBorders>
              <w:top w:val="nil"/>
              <w:left w:val="nil"/>
              <w:bottom w:val="nil"/>
              <w:right w:val="nil"/>
            </w:tcBorders>
            <w:shd w:val="clear" w:color="auto" w:fill="auto"/>
            <w:noWrap/>
            <w:vAlign w:val="bottom"/>
            <w:hideMark/>
          </w:tcPr>
          <w:p w:rsidR="00DF35A7" w:rsidRDefault="00DF35A7" w:rsidP="006E1512">
            <w:pPr>
              <w:jc w:val="right"/>
              <w:rPr>
                <w:color w:val="FF0000"/>
                <w:sz w:val="16"/>
                <w:szCs w:val="16"/>
              </w:rPr>
            </w:pPr>
          </w:p>
        </w:tc>
        <w:tc>
          <w:tcPr>
            <w:tcW w:w="222"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p>
        </w:tc>
        <w:tc>
          <w:tcPr>
            <w:tcW w:w="752" w:type="dxa"/>
            <w:tcBorders>
              <w:top w:val="nil"/>
              <w:left w:val="nil"/>
              <w:bottom w:val="nil"/>
              <w:right w:val="nil"/>
            </w:tcBorders>
            <w:shd w:val="clear" w:color="auto" w:fill="auto"/>
            <w:noWrap/>
            <w:vAlign w:val="bottom"/>
            <w:hideMark/>
          </w:tcPr>
          <w:p w:rsidR="00DF35A7" w:rsidRDefault="00DF35A7" w:rsidP="006E1512">
            <w:pPr>
              <w:jc w:val="right"/>
              <w:rPr>
                <w:color w:val="FF0000"/>
                <w:sz w:val="16"/>
                <w:szCs w:val="16"/>
              </w:rPr>
            </w:pPr>
          </w:p>
        </w:tc>
        <w:tc>
          <w:tcPr>
            <w:tcW w:w="396" w:type="dxa"/>
            <w:tcBorders>
              <w:top w:val="nil"/>
              <w:left w:val="nil"/>
              <w:bottom w:val="nil"/>
              <w:right w:val="nil"/>
            </w:tcBorders>
            <w:shd w:val="clear" w:color="auto" w:fill="auto"/>
            <w:noWrap/>
            <w:vAlign w:val="bottom"/>
            <w:hideMark/>
          </w:tcPr>
          <w:p w:rsidR="00DF35A7" w:rsidRDefault="00DF35A7" w:rsidP="006E1512">
            <w:pPr>
              <w:jc w:val="right"/>
              <w:rPr>
                <w:sz w:val="20"/>
                <w:szCs w:val="20"/>
              </w:rPr>
            </w:pPr>
          </w:p>
        </w:tc>
        <w:tc>
          <w:tcPr>
            <w:tcW w:w="829"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p>
        </w:tc>
        <w:tc>
          <w:tcPr>
            <w:tcW w:w="222"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p>
        </w:tc>
        <w:tc>
          <w:tcPr>
            <w:tcW w:w="999"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p>
        </w:tc>
        <w:tc>
          <w:tcPr>
            <w:tcW w:w="222"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p>
        </w:tc>
        <w:tc>
          <w:tcPr>
            <w:tcW w:w="821" w:type="dxa"/>
            <w:tcBorders>
              <w:top w:val="nil"/>
              <w:left w:val="nil"/>
              <w:bottom w:val="nil"/>
              <w:right w:val="nil"/>
            </w:tcBorders>
            <w:shd w:val="clear" w:color="auto" w:fill="auto"/>
            <w:noWrap/>
            <w:vAlign w:val="bottom"/>
            <w:hideMark/>
          </w:tcPr>
          <w:p w:rsidR="00DF35A7" w:rsidRDefault="00DF35A7" w:rsidP="006E1512">
            <w:pPr>
              <w:jc w:val="right"/>
              <w:rPr>
                <w:color w:val="FF0000"/>
                <w:sz w:val="16"/>
                <w:szCs w:val="16"/>
              </w:rPr>
            </w:pPr>
          </w:p>
        </w:tc>
        <w:tc>
          <w:tcPr>
            <w:tcW w:w="222"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p>
        </w:tc>
        <w:tc>
          <w:tcPr>
            <w:tcW w:w="805" w:type="dxa"/>
            <w:tcBorders>
              <w:top w:val="nil"/>
              <w:left w:val="nil"/>
              <w:bottom w:val="nil"/>
              <w:right w:val="nil"/>
            </w:tcBorders>
            <w:shd w:val="clear" w:color="auto" w:fill="auto"/>
            <w:noWrap/>
            <w:vAlign w:val="bottom"/>
            <w:hideMark/>
          </w:tcPr>
          <w:p w:rsidR="00DF35A7" w:rsidRDefault="00DF35A7" w:rsidP="006E1512">
            <w:pPr>
              <w:jc w:val="right"/>
              <w:rPr>
                <w:color w:val="FF0000"/>
                <w:sz w:val="16"/>
                <w:szCs w:val="16"/>
              </w:rPr>
            </w:pPr>
          </w:p>
        </w:tc>
      </w:tr>
      <w:tr w:rsidR="00DF35A7" w:rsidTr="006E1512">
        <w:trPr>
          <w:trHeight w:val="270"/>
        </w:trPr>
        <w:tc>
          <w:tcPr>
            <w:tcW w:w="2936" w:type="dxa"/>
            <w:tcBorders>
              <w:top w:val="nil"/>
              <w:left w:val="nil"/>
              <w:bottom w:val="nil"/>
              <w:right w:val="nil"/>
            </w:tcBorders>
            <w:shd w:val="clear" w:color="auto" w:fill="auto"/>
            <w:noWrap/>
            <w:vAlign w:val="bottom"/>
            <w:hideMark/>
          </w:tcPr>
          <w:p w:rsidR="00DF35A7" w:rsidRDefault="00DF35A7">
            <w:pPr>
              <w:rPr>
                <w:color w:val="000000"/>
                <w:sz w:val="16"/>
                <w:szCs w:val="16"/>
              </w:rPr>
            </w:pPr>
            <w:r w:rsidRPr="00F2275B">
              <w:rPr>
                <w:color w:val="000000"/>
                <w:sz w:val="16"/>
                <w:szCs w:val="16"/>
              </w:rPr>
              <w:t>Other Income/(Expense)</w:t>
            </w:r>
          </w:p>
        </w:tc>
        <w:tc>
          <w:tcPr>
            <w:tcW w:w="885" w:type="dxa"/>
            <w:tcBorders>
              <w:top w:val="nil"/>
              <w:left w:val="nil"/>
              <w:bottom w:val="single" w:sz="8" w:space="0" w:color="auto"/>
              <w:right w:val="nil"/>
            </w:tcBorders>
            <w:shd w:val="clear" w:color="auto" w:fill="auto"/>
            <w:vAlign w:val="bottom"/>
            <w:hideMark/>
          </w:tcPr>
          <w:p w:rsidR="00DF35A7" w:rsidRDefault="004A7EDE" w:rsidP="006E1512">
            <w:pPr>
              <w:jc w:val="right"/>
              <w:rPr>
                <w:color w:val="000000"/>
                <w:sz w:val="16"/>
                <w:szCs w:val="16"/>
              </w:rPr>
            </w:pPr>
            <w:r>
              <w:rPr>
                <w:color w:val="000000"/>
                <w:sz w:val="16"/>
                <w:szCs w:val="16"/>
              </w:rPr>
              <w:t xml:space="preserve">- </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1053" w:type="dxa"/>
            <w:tcBorders>
              <w:top w:val="nil"/>
              <w:left w:val="nil"/>
              <w:bottom w:val="single" w:sz="8" w:space="0" w:color="auto"/>
              <w:right w:val="nil"/>
            </w:tcBorders>
            <w:shd w:val="clear" w:color="auto" w:fill="auto"/>
            <w:vAlign w:val="bottom"/>
            <w:hideMark/>
          </w:tcPr>
          <w:p w:rsidR="00DF35A7" w:rsidRDefault="004A7EDE" w:rsidP="006E1512">
            <w:pPr>
              <w:jc w:val="right"/>
              <w:rPr>
                <w:color w:val="000000"/>
                <w:sz w:val="16"/>
                <w:szCs w:val="16"/>
              </w:rPr>
            </w:pPr>
            <w:r>
              <w:rPr>
                <w:color w:val="000000"/>
                <w:sz w:val="16"/>
                <w:szCs w:val="16"/>
              </w:rPr>
              <w:t xml:space="preserve">- </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804" w:type="dxa"/>
            <w:tcBorders>
              <w:top w:val="nil"/>
              <w:left w:val="nil"/>
              <w:bottom w:val="single" w:sz="8" w:space="0" w:color="auto"/>
              <w:right w:val="nil"/>
            </w:tcBorders>
            <w:shd w:val="clear" w:color="auto" w:fill="auto"/>
            <w:noWrap/>
            <w:vAlign w:val="bottom"/>
            <w:hideMark/>
          </w:tcPr>
          <w:p w:rsidR="00DF35A7" w:rsidRPr="00F2275B" w:rsidRDefault="000C7BEA" w:rsidP="00E349D9">
            <w:pPr>
              <w:jc w:val="right"/>
              <w:rPr>
                <w:color w:val="000000"/>
                <w:sz w:val="16"/>
                <w:szCs w:val="16"/>
              </w:rPr>
            </w:pPr>
            <w:r>
              <w:rPr>
                <w:color w:val="000000"/>
                <w:sz w:val="16"/>
                <w:szCs w:val="16"/>
              </w:rPr>
              <w:t>(</w:t>
            </w:r>
            <w:r w:rsidR="00E349D9">
              <w:rPr>
                <w:color w:val="000000"/>
                <w:sz w:val="16"/>
                <w:szCs w:val="16"/>
              </w:rPr>
              <w:t>135</w:t>
            </w:r>
            <w:r>
              <w:rPr>
                <w:color w:val="000000"/>
                <w:sz w:val="16"/>
                <w:szCs w:val="16"/>
              </w:rPr>
              <w:t>)</w:t>
            </w:r>
            <w:r w:rsidRPr="00F2275B">
              <w:rPr>
                <w:color w:val="000000"/>
                <w:sz w:val="16"/>
                <w:szCs w:val="16"/>
              </w:rPr>
              <w:t xml:space="preserve"> </w:t>
            </w:r>
          </w:p>
        </w:tc>
        <w:tc>
          <w:tcPr>
            <w:tcW w:w="222" w:type="dxa"/>
            <w:tcBorders>
              <w:top w:val="nil"/>
              <w:left w:val="nil"/>
              <w:bottom w:val="nil"/>
              <w:right w:val="nil"/>
            </w:tcBorders>
            <w:shd w:val="clear" w:color="auto" w:fill="auto"/>
            <w:vAlign w:val="bottom"/>
            <w:hideMark/>
          </w:tcPr>
          <w:p w:rsidR="00DF35A7" w:rsidRPr="00F2275B" w:rsidRDefault="00DF35A7" w:rsidP="006E1512">
            <w:pPr>
              <w:jc w:val="right"/>
              <w:rPr>
                <w:color w:val="000000"/>
                <w:sz w:val="16"/>
                <w:szCs w:val="16"/>
              </w:rPr>
            </w:pPr>
          </w:p>
        </w:tc>
        <w:tc>
          <w:tcPr>
            <w:tcW w:w="752" w:type="dxa"/>
            <w:tcBorders>
              <w:top w:val="nil"/>
              <w:left w:val="nil"/>
              <w:bottom w:val="single" w:sz="8" w:space="0" w:color="auto"/>
              <w:right w:val="nil"/>
            </w:tcBorders>
            <w:shd w:val="clear" w:color="auto" w:fill="auto"/>
            <w:noWrap/>
            <w:vAlign w:val="bottom"/>
            <w:hideMark/>
          </w:tcPr>
          <w:p w:rsidR="00DF35A7" w:rsidRPr="00F2275B" w:rsidRDefault="000C7BEA" w:rsidP="00E349D9">
            <w:pPr>
              <w:jc w:val="right"/>
              <w:rPr>
                <w:color w:val="000000"/>
                <w:sz w:val="16"/>
                <w:szCs w:val="16"/>
              </w:rPr>
            </w:pPr>
            <w:r>
              <w:rPr>
                <w:color w:val="000000"/>
                <w:sz w:val="16"/>
                <w:szCs w:val="16"/>
              </w:rPr>
              <w:t>(</w:t>
            </w:r>
            <w:r w:rsidR="00E349D9">
              <w:rPr>
                <w:color w:val="000000"/>
                <w:sz w:val="16"/>
                <w:szCs w:val="16"/>
              </w:rPr>
              <w:t>135</w:t>
            </w:r>
            <w:r>
              <w:rPr>
                <w:color w:val="000000"/>
                <w:sz w:val="16"/>
                <w:szCs w:val="16"/>
              </w:rPr>
              <w:t>)</w:t>
            </w:r>
            <w:r w:rsidRPr="00F2275B">
              <w:rPr>
                <w:color w:val="000000"/>
                <w:sz w:val="16"/>
                <w:szCs w:val="16"/>
              </w:rPr>
              <w:t xml:space="preserve"> </w:t>
            </w:r>
          </w:p>
        </w:tc>
        <w:tc>
          <w:tcPr>
            <w:tcW w:w="396" w:type="dxa"/>
            <w:tcBorders>
              <w:top w:val="nil"/>
              <w:left w:val="nil"/>
              <w:bottom w:val="nil"/>
              <w:right w:val="nil"/>
            </w:tcBorders>
            <w:shd w:val="clear" w:color="auto" w:fill="auto"/>
            <w:noWrap/>
            <w:vAlign w:val="bottom"/>
            <w:hideMark/>
          </w:tcPr>
          <w:p w:rsidR="00DF35A7" w:rsidRDefault="00DF35A7" w:rsidP="006E1512">
            <w:pPr>
              <w:jc w:val="right"/>
              <w:rPr>
                <w:sz w:val="20"/>
                <w:szCs w:val="20"/>
              </w:rPr>
            </w:pPr>
          </w:p>
        </w:tc>
        <w:tc>
          <w:tcPr>
            <w:tcW w:w="829" w:type="dxa"/>
            <w:tcBorders>
              <w:top w:val="nil"/>
              <w:left w:val="nil"/>
              <w:bottom w:val="single" w:sz="8" w:space="0" w:color="auto"/>
              <w:right w:val="nil"/>
            </w:tcBorders>
            <w:shd w:val="clear" w:color="auto" w:fill="auto"/>
            <w:vAlign w:val="bottom"/>
            <w:hideMark/>
          </w:tcPr>
          <w:p w:rsidR="00DF35A7" w:rsidRDefault="004A7EDE" w:rsidP="006E1512">
            <w:pPr>
              <w:jc w:val="right"/>
              <w:rPr>
                <w:color w:val="000000"/>
                <w:sz w:val="16"/>
                <w:szCs w:val="16"/>
              </w:rPr>
            </w:pPr>
            <w:r>
              <w:rPr>
                <w:color w:val="000000"/>
                <w:sz w:val="16"/>
                <w:szCs w:val="16"/>
              </w:rPr>
              <w:t xml:space="preserve">- </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999" w:type="dxa"/>
            <w:tcBorders>
              <w:top w:val="nil"/>
              <w:left w:val="nil"/>
              <w:bottom w:val="single" w:sz="8" w:space="0" w:color="auto"/>
              <w:right w:val="nil"/>
            </w:tcBorders>
            <w:shd w:val="clear" w:color="auto" w:fill="auto"/>
            <w:vAlign w:val="bottom"/>
            <w:hideMark/>
          </w:tcPr>
          <w:p w:rsidR="00DF35A7" w:rsidRDefault="004A7EDE" w:rsidP="006E1512">
            <w:pPr>
              <w:jc w:val="right"/>
              <w:rPr>
                <w:color w:val="000000"/>
                <w:sz w:val="16"/>
                <w:szCs w:val="16"/>
              </w:rPr>
            </w:pPr>
            <w:r>
              <w:rPr>
                <w:color w:val="000000"/>
                <w:sz w:val="16"/>
                <w:szCs w:val="16"/>
              </w:rPr>
              <w:t xml:space="preserve">- </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821" w:type="dxa"/>
            <w:tcBorders>
              <w:top w:val="nil"/>
              <w:left w:val="nil"/>
              <w:bottom w:val="single" w:sz="8" w:space="0" w:color="auto"/>
              <w:right w:val="nil"/>
            </w:tcBorders>
            <w:shd w:val="clear" w:color="auto" w:fill="auto"/>
            <w:noWrap/>
            <w:vAlign w:val="bottom"/>
            <w:hideMark/>
          </w:tcPr>
          <w:p w:rsidR="00DF35A7" w:rsidRDefault="00DF35A7" w:rsidP="006E1512">
            <w:pPr>
              <w:jc w:val="right"/>
              <w:rPr>
                <w:color w:val="000000"/>
                <w:sz w:val="16"/>
                <w:szCs w:val="16"/>
              </w:rPr>
            </w:pPr>
            <w:r>
              <w:rPr>
                <w:color w:val="000000"/>
                <w:sz w:val="16"/>
                <w:szCs w:val="16"/>
              </w:rPr>
              <w:t xml:space="preserve">536 </w:t>
            </w:r>
          </w:p>
        </w:tc>
        <w:tc>
          <w:tcPr>
            <w:tcW w:w="222" w:type="dxa"/>
            <w:tcBorders>
              <w:top w:val="nil"/>
              <w:left w:val="nil"/>
              <w:bottom w:val="nil"/>
              <w:right w:val="nil"/>
            </w:tcBorders>
            <w:shd w:val="clear" w:color="auto" w:fill="auto"/>
            <w:vAlign w:val="bottom"/>
            <w:hideMark/>
          </w:tcPr>
          <w:p w:rsidR="00DF35A7" w:rsidRDefault="00DF35A7" w:rsidP="006E1512">
            <w:pPr>
              <w:jc w:val="right"/>
              <w:rPr>
                <w:color w:val="000000"/>
                <w:sz w:val="16"/>
                <w:szCs w:val="16"/>
              </w:rPr>
            </w:pPr>
          </w:p>
        </w:tc>
        <w:tc>
          <w:tcPr>
            <w:tcW w:w="805" w:type="dxa"/>
            <w:tcBorders>
              <w:top w:val="nil"/>
              <w:left w:val="nil"/>
              <w:bottom w:val="single" w:sz="8" w:space="0" w:color="auto"/>
              <w:right w:val="nil"/>
            </w:tcBorders>
            <w:shd w:val="clear" w:color="auto" w:fill="auto"/>
            <w:noWrap/>
            <w:vAlign w:val="bottom"/>
            <w:hideMark/>
          </w:tcPr>
          <w:p w:rsidR="00DF35A7" w:rsidRDefault="00DF35A7" w:rsidP="006E1512">
            <w:pPr>
              <w:jc w:val="right"/>
              <w:rPr>
                <w:color w:val="000000"/>
                <w:sz w:val="16"/>
                <w:szCs w:val="16"/>
              </w:rPr>
            </w:pPr>
            <w:r>
              <w:rPr>
                <w:color w:val="000000"/>
                <w:sz w:val="16"/>
                <w:szCs w:val="16"/>
              </w:rPr>
              <w:t xml:space="preserve">536 </w:t>
            </w:r>
          </w:p>
        </w:tc>
      </w:tr>
      <w:tr w:rsidR="00DF35A7" w:rsidTr="006E1512">
        <w:trPr>
          <w:trHeight w:val="255"/>
        </w:trPr>
        <w:tc>
          <w:tcPr>
            <w:tcW w:w="2936" w:type="dxa"/>
            <w:tcBorders>
              <w:top w:val="nil"/>
              <w:left w:val="nil"/>
              <w:bottom w:val="nil"/>
              <w:right w:val="nil"/>
            </w:tcBorders>
            <w:shd w:val="clear" w:color="auto" w:fill="auto"/>
            <w:noWrap/>
            <w:vAlign w:val="bottom"/>
            <w:hideMark/>
          </w:tcPr>
          <w:p w:rsidR="00DF35A7" w:rsidRDefault="00DF35A7">
            <w:pPr>
              <w:rPr>
                <w:color w:val="000000"/>
                <w:sz w:val="16"/>
                <w:szCs w:val="16"/>
              </w:rPr>
            </w:pPr>
            <w:r>
              <w:rPr>
                <w:color w:val="000000"/>
                <w:sz w:val="16"/>
                <w:szCs w:val="16"/>
              </w:rPr>
              <w:t>NET INCOME/(LOSS)</w:t>
            </w:r>
          </w:p>
        </w:tc>
        <w:tc>
          <w:tcPr>
            <w:tcW w:w="885" w:type="dxa"/>
            <w:tcBorders>
              <w:top w:val="nil"/>
              <w:left w:val="nil"/>
              <w:bottom w:val="double" w:sz="6" w:space="0" w:color="auto"/>
              <w:right w:val="nil"/>
            </w:tcBorders>
            <w:shd w:val="clear" w:color="auto" w:fill="auto"/>
            <w:noWrap/>
            <w:vAlign w:val="bottom"/>
            <w:hideMark/>
          </w:tcPr>
          <w:p w:rsidR="00DF35A7" w:rsidRDefault="00DF35A7" w:rsidP="006E1512">
            <w:pPr>
              <w:jc w:val="right"/>
              <w:rPr>
                <w:color w:val="000000"/>
                <w:sz w:val="16"/>
                <w:szCs w:val="16"/>
              </w:rPr>
            </w:pPr>
            <w:r>
              <w:rPr>
                <w:color w:val="000000"/>
                <w:sz w:val="16"/>
                <w:szCs w:val="16"/>
              </w:rPr>
              <w:t xml:space="preserve">$5,066 </w:t>
            </w:r>
          </w:p>
        </w:tc>
        <w:tc>
          <w:tcPr>
            <w:tcW w:w="222"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p>
        </w:tc>
        <w:tc>
          <w:tcPr>
            <w:tcW w:w="1053" w:type="dxa"/>
            <w:tcBorders>
              <w:top w:val="nil"/>
              <w:left w:val="nil"/>
              <w:bottom w:val="double" w:sz="6" w:space="0" w:color="auto"/>
              <w:right w:val="nil"/>
            </w:tcBorders>
            <w:shd w:val="clear" w:color="auto" w:fill="auto"/>
            <w:noWrap/>
            <w:vAlign w:val="bottom"/>
            <w:hideMark/>
          </w:tcPr>
          <w:p w:rsidR="00DF35A7" w:rsidRDefault="00DF35A7" w:rsidP="006E1512">
            <w:pPr>
              <w:jc w:val="right"/>
              <w:rPr>
                <w:color w:val="000000"/>
                <w:sz w:val="16"/>
                <w:szCs w:val="16"/>
              </w:rPr>
            </w:pPr>
            <w:r>
              <w:rPr>
                <w:color w:val="000000"/>
                <w:sz w:val="16"/>
                <w:szCs w:val="16"/>
              </w:rPr>
              <w:t xml:space="preserve">$1,492 </w:t>
            </w:r>
          </w:p>
        </w:tc>
        <w:tc>
          <w:tcPr>
            <w:tcW w:w="222"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p>
        </w:tc>
        <w:tc>
          <w:tcPr>
            <w:tcW w:w="804" w:type="dxa"/>
            <w:tcBorders>
              <w:top w:val="nil"/>
              <w:left w:val="nil"/>
              <w:bottom w:val="double" w:sz="6" w:space="0" w:color="auto"/>
              <w:right w:val="nil"/>
            </w:tcBorders>
            <w:shd w:val="clear" w:color="auto" w:fill="auto"/>
            <w:noWrap/>
            <w:vAlign w:val="bottom"/>
            <w:hideMark/>
          </w:tcPr>
          <w:p w:rsidR="00DF35A7" w:rsidRPr="00F2275B" w:rsidRDefault="00DF35A7" w:rsidP="00E349D9">
            <w:pPr>
              <w:jc w:val="right"/>
              <w:rPr>
                <w:color w:val="000000"/>
                <w:sz w:val="16"/>
                <w:szCs w:val="16"/>
              </w:rPr>
            </w:pPr>
            <w:r w:rsidRPr="00F2275B">
              <w:rPr>
                <w:color w:val="FF0000"/>
                <w:sz w:val="16"/>
                <w:szCs w:val="16"/>
              </w:rPr>
              <w:t>($6,</w:t>
            </w:r>
            <w:r w:rsidR="00E349D9">
              <w:rPr>
                <w:color w:val="FF0000"/>
                <w:sz w:val="16"/>
                <w:szCs w:val="16"/>
              </w:rPr>
              <w:t>554</w:t>
            </w:r>
            <w:r w:rsidRPr="00F2275B">
              <w:rPr>
                <w:color w:val="FF0000"/>
                <w:sz w:val="16"/>
                <w:szCs w:val="16"/>
              </w:rPr>
              <w:t>)</w:t>
            </w:r>
          </w:p>
        </w:tc>
        <w:tc>
          <w:tcPr>
            <w:tcW w:w="222" w:type="dxa"/>
            <w:tcBorders>
              <w:top w:val="nil"/>
              <w:left w:val="nil"/>
              <w:bottom w:val="nil"/>
              <w:right w:val="nil"/>
            </w:tcBorders>
            <w:shd w:val="clear" w:color="auto" w:fill="auto"/>
            <w:noWrap/>
            <w:vAlign w:val="bottom"/>
            <w:hideMark/>
          </w:tcPr>
          <w:p w:rsidR="00DF35A7" w:rsidRPr="00F2275B" w:rsidRDefault="00DF35A7" w:rsidP="006E1512">
            <w:pPr>
              <w:jc w:val="right"/>
              <w:rPr>
                <w:color w:val="000000"/>
                <w:sz w:val="16"/>
                <w:szCs w:val="16"/>
              </w:rPr>
            </w:pPr>
          </w:p>
        </w:tc>
        <w:tc>
          <w:tcPr>
            <w:tcW w:w="752" w:type="dxa"/>
            <w:tcBorders>
              <w:top w:val="nil"/>
              <w:left w:val="nil"/>
              <w:bottom w:val="double" w:sz="6" w:space="0" w:color="auto"/>
              <w:right w:val="nil"/>
            </w:tcBorders>
            <w:shd w:val="clear" w:color="auto" w:fill="auto"/>
            <w:noWrap/>
            <w:vAlign w:val="bottom"/>
            <w:hideMark/>
          </w:tcPr>
          <w:p w:rsidR="00DF35A7" w:rsidRPr="00F2275B" w:rsidRDefault="00DF35A7" w:rsidP="00E349D9">
            <w:pPr>
              <w:jc w:val="right"/>
              <w:rPr>
                <w:color w:val="000000"/>
                <w:sz w:val="16"/>
                <w:szCs w:val="16"/>
              </w:rPr>
            </w:pPr>
            <w:r w:rsidRPr="00F2275B">
              <w:rPr>
                <w:color w:val="000000"/>
                <w:sz w:val="16"/>
                <w:szCs w:val="16"/>
              </w:rPr>
              <w:t>$</w:t>
            </w:r>
            <w:r w:rsidR="00E349D9">
              <w:rPr>
                <w:color w:val="000000"/>
                <w:sz w:val="16"/>
                <w:szCs w:val="16"/>
              </w:rPr>
              <w:t>4</w:t>
            </w:r>
            <w:r w:rsidR="00E349D9" w:rsidRPr="00F2275B">
              <w:rPr>
                <w:color w:val="000000"/>
                <w:sz w:val="16"/>
                <w:szCs w:val="16"/>
              </w:rPr>
              <w:t xml:space="preserve"> </w:t>
            </w:r>
          </w:p>
        </w:tc>
        <w:tc>
          <w:tcPr>
            <w:tcW w:w="396" w:type="dxa"/>
            <w:tcBorders>
              <w:top w:val="nil"/>
              <w:left w:val="nil"/>
              <w:bottom w:val="nil"/>
              <w:right w:val="nil"/>
            </w:tcBorders>
            <w:shd w:val="clear" w:color="auto" w:fill="auto"/>
            <w:noWrap/>
            <w:vAlign w:val="bottom"/>
            <w:hideMark/>
          </w:tcPr>
          <w:p w:rsidR="00DF35A7" w:rsidRDefault="00DF35A7" w:rsidP="006E1512">
            <w:pPr>
              <w:jc w:val="right"/>
              <w:rPr>
                <w:sz w:val="20"/>
                <w:szCs w:val="20"/>
              </w:rPr>
            </w:pPr>
          </w:p>
        </w:tc>
        <w:tc>
          <w:tcPr>
            <w:tcW w:w="829" w:type="dxa"/>
            <w:tcBorders>
              <w:top w:val="nil"/>
              <w:left w:val="nil"/>
              <w:bottom w:val="double" w:sz="6" w:space="0" w:color="auto"/>
              <w:right w:val="nil"/>
            </w:tcBorders>
            <w:shd w:val="clear" w:color="auto" w:fill="auto"/>
            <w:noWrap/>
            <w:vAlign w:val="bottom"/>
            <w:hideMark/>
          </w:tcPr>
          <w:p w:rsidR="00DF35A7" w:rsidRDefault="00DF35A7" w:rsidP="006E1512">
            <w:pPr>
              <w:jc w:val="right"/>
              <w:rPr>
                <w:color w:val="000000"/>
                <w:sz w:val="16"/>
                <w:szCs w:val="16"/>
              </w:rPr>
            </w:pPr>
            <w:r>
              <w:rPr>
                <w:color w:val="000000"/>
                <w:sz w:val="16"/>
                <w:szCs w:val="16"/>
              </w:rPr>
              <w:t xml:space="preserve">$5,484 </w:t>
            </w:r>
          </w:p>
        </w:tc>
        <w:tc>
          <w:tcPr>
            <w:tcW w:w="222"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p>
        </w:tc>
        <w:tc>
          <w:tcPr>
            <w:tcW w:w="999" w:type="dxa"/>
            <w:tcBorders>
              <w:top w:val="nil"/>
              <w:left w:val="nil"/>
              <w:bottom w:val="double" w:sz="6" w:space="0" w:color="auto"/>
              <w:right w:val="nil"/>
            </w:tcBorders>
            <w:shd w:val="clear" w:color="auto" w:fill="auto"/>
            <w:noWrap/>
            <w:vAlign w:val="bottom"/>
            <w:hideMark/>
          </w:tcPr>
          <w:p w:rsidR="00DF35A7" w:rsidRDefault="00DF35A7" w:rsidP="006E1512">
            <w:pPr>
              <w:jc w:val="right"/>
              <w:rPr>
                <w:color w:val="000000"/>
                <w:sz w:val="16"/>
                <w:szCs w:val="16"/>
              </w:rPr>
            </w:pPr>
            <w:r>
              <w:rPr>
                <w:color w:val="000000"/>
                <w:sz w:val="16"/>
                <w:szCs w:val="16"/>
              </w:rPr>
              <w:t xml:space="preserve">$685 </w:t>
            </w:r>
          </w:p>
        </w:tc>
        <w:tc>
          <w:tcPr>
            <w:tcW w:w="222"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p>
        </w:tc>
        <w:tc>
          <w:tcPr>
            <w:tcW w:w="821" w:type="dxa"/>
            <w:tcBorders>
              <w:top w:val="nil"/>
              <w:left w:val="nil"/>
              <w:bottom w:val="double" w:sz="6" w:space="0" w:color="auto"/>
              <w:right w:val="nil"/>
            </w:tcBorders>
            <w:shd w:val="clear" w:color="auto" w:fill="auto"/>
            <w:noWrap/>
            <w:vAlign w:val="bottom"/>
            <w:hideMark/>
          </w:tcPr>
          <w:p w:rsidR="00DF35A7" w:rsidRDefault="00DF35A7" w:rsidP="006E1512">
            <w:pPr>
              <w:jc w:val="right"/>
              <w:rPr>
                <w:color w:val="000000"/>
                <w:sz w:val="16"/>
                <w:szCs w:val="16"/>
              </w:rPr>
            </w:pPr>
            <w:r>
              <w:rPr>
                <w:color w:val="FF0000"/>
                <w:sz w:val="16"/>
                <w:szCs w:val="16"/>
              </w:rPr>
              <w:t>($5,157)</w:t>
            </w:r>
          </w:p>
        </w:tc>
        <w:tc>
          <w:tcPr>
            <w:tcW w:w="222" w:type="dxa"/>
            <w:tcBorders>
              <w:top w:val="nil"/>
              <w:left w:val="nil"/>
              <w:bottom w:val="nil"/>
              <w:right w:val="nil"/>
            </w:tcBorders>
            <w:shd w:val="clear" w:color="auto" w:fill="auto"/>
            <w:noWrap/>
            <w:vAlign w:val="bottom"/>
            <w:hideMark/>
          </w:tcPr>
          <w:p w:rsidR="00DF35A7" w:rsidRDefault="00DF35A7" w:rsidP="006E1512">
            <w:pPr>
              <w:jc w:val="right"/>
              <w:rPr>
                <w:color w:val="000000"/>
                <w:sz w:val="16"/>
                <w:szCs w:val="16"/>
              </w:rPr>
            </w:pPr>
          </w:p>
        </w:tc>
        <w:tc>
          <w:tcPr>
            <w:tcW w:w="805" w:type="dxa"/>
            <w:tcBorders>
              <w:top w:val="nil"/>
              <w:left w:val="nil"/>
              <w:bottom w:val="double" w:sz="6" w:space="0" w:color="auto"/>
              <w:right w:val="nil"/>
            </w:tcBorders>
            <w:shd w:val="clear" w:color="auto" w:fill="auto"/>
            <w:noWrap/>
            <w:vAlign w:val="bottom"/>
            <w:hideMark/>
          </w:tcPr>
          <w:p w:rsidR="00DF35A7" w:rsidRDefault="00DF35A7" w:rsidP="006E1512">
            <w:pPr>
              <w:jc w:val="right"/>
              <w:rPr>
                <w:color w:val="000000"/>
                <w:sz w:val="16"/>
                <w:szCs w:val="16"/>
              </w:rPr>
            </w:pPr>
            <w:r>
              <w:rPr>
                <w:color w:val="000000"/>
                <w:sz w:val="16"/>
                <w:szCs w:val="16"/>
              </w:rPr>
              <w:t xml:space="preserve">$1,012 </w:t>
            </w:r>
          </w:p>
        </w:tc>
      </w:tr>
    </w:tbl>
    <w:p w:rsidR="004851D7" w:rsidRDefault="004851D7">
      <w:pPr>
        <w:rPr>
          <w:b/>
          <w:bCs/>
          <w:color w:val="000000"/>
          <w:sz w:val="20"/>
        </w:rPr>
      </w:pPr>
    </w:p>
    <w:p w:rsidR="004851D7" w:rsidRDefault="004851D7">
      <w:pPr>
        <w:rPr>
          <w:color w:val="000000"/>
          <w:sz w:val="20"/>
        </w:rPr>
      </w:pPr>
    </w:p>
    <w:p w:rsidR="004851D7" w:rsidRDefault="004851D7">
      <w:pPr>
        <w:ind w:firstLine="720"/>
        <w:rPr>
          <w:b/>
          <w:bCs/>
          <w:color w:val="000000"/>
          <w:sz w:val="20"/>
        </w:rPr>
      </w:pPr>
      <w:r>
        <w:rPr>
          <w:color w:val="000000"/>
          <w:sz w:val="20"/>
        </w:rPr>
        <w:t xml:space="preserve">All of our long-lived assets are located in North America. The geographic distribution of our revenues is summarized in the following table: </w:t>
      </w:r>
    </w:p>
    <w:p w:rsidR="004851D7" w:rsidRDefault="004851D7"/>
    <w:tbl>
      <w:tblPr>
        <w:tblW w:w="5000" w:type="pct"/>
        <w:tblCellMar>
          <w:left w:w="0" w:type="dxa"/>
          <w:right w:w="0" w:type="dxa"/>
        </w:tblCellMar>
        <w:tblLook w:val="0000" w:firstRow="0" w:lastRow="0" w:firstColumn="0" w:lastColumn="0" w:noHBand="0" w:noVBand="0"/>
      </w:tblPr>
      <w:tblGrid>
        <w:gridCol w:w="5451"/>
        <w:gridCol w:w="1814"/>
        <w:gridCol w:w="341"/>
        <w:gridCol w:w="1812"/>
      </w:tblGrid>
      <w:tr w:rsidR="004851D7">
        <w:tc>
          <w:tcPr>
            <w:tcW w:w="2894" w:type="pct"/>
            <w:tcBorders>
              <w:top w:val="nil"/>
              <w:left w:val="nil"/>
              <w:bottom w:val="nil"/>
              <w:right w:val="nil"/>
            </w:tcBorders>
          </w:tcPr>
          <w:p w:rsidR="004851D7" w:rsidRDefault="004851D7">
            <w:pPr>
              <w:pStyle w:val="Normal1"/>
              <w:ind w:left="0" w:firstLine="0"/>
              <w:jc w:val="center"/>
              <w:rPr>
                <w:rFonts w:ascii="CG Times" w:hAnsi="CG Times" w:cs="CG Times"/>
                <w:color w:val="000000"/>
              </w:rPr>
            </w:pPr>
          </w:p>
        </w:tc>
        <w:tc>
          <w:tcPr>
            <w:tcW w:w="2106" w:type="pct"/>
            <w:gridSpan w:val="3"/>
            <w:tcBorders>
              <w:top w:val="nil"/>
              <w:left w:val="nil"/>
              <w:bottom w:val="nil"/>
              <w:right w:val="nil"/>
            </w:tcBorders>
          </w:tcPr>
          <w:p w:rsidR="004851D7" w:rsidRDefault="004851D7">
            <w:pPr>
              <w:jc w:val="center"/>
              <w:rPr>
                <w:b/>
                <w:bCs/>
                <w:color w:val="000000"/>
                <w:sz w:val="20"/>
                <w:szCs w:val="20"/>
              </w:rPr>
            </w:pPr>
            <w:r>
              <w:rPr>
                <w:b/>
                <w:bCs/>
                <w:color w:val="000000"/>
                <w:sz w:val="20"/>
                <w:szCs w:val="20"/>
              </w:rPr>
              <w:t>December 31,</w:t>
            </w:r>
          </w:p>
        </w:tc>
      </w:tr>
      <w:tr w:rsidR="004851D7">
        <w:tc>
          <w:tcPr>
            <w:tcW w:w="2894" w:type="pct"/>
            <w:tcBorders>
              <w:top w:val="nil"/>
              <w:left w:val="nil"/>
              <w:bottom w:val="nil"/>
              <w:right w:val="nil"/>
            </w:tcBorders>
          </w:tcPr>
          <w:p w:rsidR="004851D7" w:rsidRDefault="004851D7">
            <w:pPr>
              <w:pStyle w:val="Normal1"/>
              <w:ind w:left="0" w:firstLine="0"/>
              <w:jc w:val="center"/>
              <w:rPr>
                <w:b/>
                <w:bCs/>
                <w:color w:val="000000"/>
                <w:sz w:val="20"/>
                <w:szCs w:val="20"/>
              </w:rPr>
            </w:pPr>
          </w:p>
        </w:tc>
        <w:tc>
          <w:tcPr>
            <w:tcW w:w="963" w:type="pct"/>
            <w:tcBorders>
              <w:top w:val="nil"/>
              <w:left w:val="nil"/>
              <w:bottom w:val="single" w:sz="4" w:space="0" w:color="auto"/>
              <w:right w:val="nil"/>
            </w:tcBorders>
          </w:tcPr>
          <w:p w:rsidR="004851D7" w:rsidRDefault="008B38D4" w:rsidP="00223B45">
            <w:pPr>
              <w:jc w:val="center"/>
              <w:rPr>
                <w:b/>
                <w:bCs/>
                <w:color w:val="000000"/>
                <w:sz w:val="20"/>
                <w:szCs w:val="20"/>
              </w:rPr>
            </w:pPr>
            <w:r>
              <w:rPr>
                <w:b/>
                <w:bCs/>
                <w:color w:val="000000"/>
                <w:sz w:val="20"/>
                <w:szCs w:val="20"/>
              </w:rPr>
              <w:t>2011</w:t>
            </w:r>
          </w:p>
        </w:tc>
        <w:tc>
          <w:tcPr>
            <w:tcW w:w="181" w:type="pct"/>
            <w:tcBorders>
              <w:top w:val="nil"/>
              <w:left w:val="nil"/>
              <w:bottom w:val="nil"/>
              <w:right w:val="nil"/>
            </w:tcBorders>
          </w:tcPr>
          <w:p w:rsidR="004851D7" w:rsidRDefault="004851D7">
            <w:pPr>
              <w:jc w:val="center"/>
              <w:rPr>
                <w:b/>
                <w:bCs/>
                <w:color w:val="000000"/>
                <w:sz w:val="20"/>
                <w:szCs w:val="20"/>
              </w:rPr>
            </w:pPr>
          </w:p>
        </w:tc>
        <w:tc>
          <w:tcPr>
            <w:tcW w:w="962" w:type="pct"/>
            <w:tcBorders>
              <w:top w:val="nil"/>
              <w:left w:val="nil"/>
              <w:bottom w:val="single" w:sz="4" w:space="0" w:color="auto"/>
              <w:right w:val="nil"/>
            </w:tcBorders>
          </w:tcPr>
          <w:p w:rsidR="004851D7" w:rsidRDefault="008B38D4" w:rsidP="00223B45">
            <w:pPr>
              <w:jc w:val="center"/>
              <w:rPr>
                <w:color w:val="000000"/>
                <w:sz w:val="20"/>
                <w:szCs w:val="20"/>
              </w:rPr>
            </w:pPr>
            <w:r>
              <w:rPr>
                <w:color w:val="000000"/>
                <w:sz w:val="20"/>
                <w:szCs w:val="20"/>
              </w:rPr>
              <w:t>2010</w:t>
            </w:r>
          </w:p>
        </w:tc>
      </w:tr>
      <w:tr w:rsidR="004851D7">
        <w:tc>
          <w:tcPr>
            <w:tcW w:w="2894" w:type="pct"/>
            <w:tcBorders>
              <w:top w:val="nil"/>
              <w:left w:val="nil"/>
              <w:bottom w:val="nil"/>
              <w:right w:val="nil"/>
            </w:tcBorders>
          </w:tcPr>
          <w:p w:rsidR="004851D7" w:rsidRDefault="004851D7">
            <w:pPr>
              <w:pStyle w:val="Normal1"/>
              <w:ind w:left="0" w:firstLine="0"/>
              <w:jc w:val="both"/>
              <w:rPr>
                <w:b/>
                <w:bCs/>
                <w:color w:val="000000"/>
                <w:sz w:val="20"/>
                <w:szCs w:val="20"/>
              </w:rPr>
            </w:pPr>
          </w:p>
        </w:tc>
        <w:tc>
          <w:tcPr>
            <w:tcW w:w="2106" w:type="pct"/>
            <w:gridSpan w:val="3"/>
            <w:tcBorders>
              <w:top w:val="nil"/>
              <w:left w:val="nil"/>
              <w:bottom w:val="nil"/>
              <w:right w:val="nil"/>
            </w:tcBorders>
          </w:tcPr>
          <w:p w:rsidR="004851D7" w:rsidRDefault="004851D7">
            <w:pPr>
              <w:jc w:val="center"/>
              <w:rPr>
                <w:i/>
                <w:iCs/>
                <w:color w:val="000000"/>
                <w:sz w:val="20"/>
                <w:szCs w:val="20"/>
              </w:rPr>
            </w:pPr>
            <w:r>
              <w:rPr>
                <w:i/>
                <w:iCs/>
                <w:color w:val="000000"/>
                <w:sz w:val="20"/>
                <w:szCs w:val="20"/>
              </w:rPr>
              <w:t>(In thousands)</w:t>
            </w:r>
          </w:p>
        </w:tc>
      </w:tr>
      <w:tr w:rsidR="004851D7">
        <w:tc>
          <w:tcPr>
            <w:tcW w:w="2894" w:type="pct"/>
            <w:tcBorders>
              <w:top w:val="nil"/>
              <w:left w:val="nil"/>
              <w:bottom w:val="nil"/>
              <w:right w:val="nil"/>
            </w:tcBorders>
          </w:tcPr>
          <w:p w:rsidR="004851D7" w:rsidRDefault="004851D7">
            <w:pPr>
              <w:pStyle w:val="in1"/>
              <w:ind w:left="0" w:firstLine="0"/>
              <w:jc w:val="both"/>
              <w:rPr>
                <w:color w:val="000000"/>
                <w:sz w:val="20"/>
                <w:szCs w:val="20"/>
              </w:rPr>
            </w:pPr>
            <w:r>
              <w:rPr>
                <w:color w:val="000000"/>
                <w:sz w:val="20"/>
                <w:szCs w:val="20"/>
              </w:rPr>
              <w:t>Net sales:</w:t>
            </w:r>
          </w:p>
        </w:tc>
        <w:tc>
          <w:tcPr>
            <w:tcW w:w="963" w:type="pct"/>
            <w:tcBorders>
              <w:top w:val="nil"/>
              <w:left w:val="nil"/>
              <w:bottom w:val="nil"/>
              <w:right w:val="nil"/>
            </w:tcBorders>
          </w:tcPr>
          <w:p w:rsidR="004851D7" w:rsidRDefault="004851D7">
            <w:pPr>
              <w:jc w:val="both"/>
              <w:rPr>
                <w:color w:val="000000"/>
                <w:sz w:val="20"/>
                <w:szCs w:val="20"/>
              </w:rPr>
            </w:pPr>
          </w:p>
        </w:tc>
        <w:tc>
          <w:tcPr>
            <w:tcW w:w="181" w:type="pct"/>
            <w:tcBorders>
              <w:top w:val="nil"/>
              <w:left w:val="nil"/>
              <w:bottom w:val="nil"/>
              <w:right w:val="nil"/>
            </w:tcBorders>
          </w:tcPr>
          <w:p w:rsidR="004851D7" w:rsidRDefault="004851D7">
            <w:pPr>
              <w:jc w:val="both"/>
              <w:rPr>
                <w:color w:val="000000"/>
                <w:sz w:val="20"/>
                <w:szCs w:val="20"/>
              </w:rPr>
            </w:pPr>
          </w:p>
        </w:tc>
        <w:tc>
          <w:tcPr>
            <w:tcW w:w="962" w:type="pct"/>
            <w:tcBorders>
              <w:top w:val="nil"/>
              <w:left w:val="nil"/>
              <w:bottom w:val="nil"/>
              <w:right w:val="nil"/>
            </w:tcBorders>
          </w:tcPr>
          <w:p w:rsidR="004851D7" w:rsidRDefault="004851D7">
            <w:pPr>
              <w:jc w:val="right"/>
              <w:rPr>
                <w:color w:val="000000"/>
                <w:sz w:val="20"/>
                <w:szCs w:val="20"/>
              </w:rPr>
            </w:pPr>
          </w:p>
        </w:tc>
      </w:tr>
      <w:tr w:rsidR="004851D7">
        <w:tc>
          <w:tcPr>
            <w:tcW w:w="2894" w:type="pct"/>
            <w:tcBorders>
              <w:top w:val="nil"/>
              <w:left w:val="nil"/>
              <w:bottom w:val="nil"/>
              <w:right w:val="nil"/>
            </w:tcBorders>
          </w:tcPr>
          <w:p w:rsidR="004851D7" w:rsidRDefault="004851D7">
            <w:pPr>
              <w:pStyle w:val="in2"/>
              <w:ind w:left="0" w:firstLine="0"/>
              <w:jc w:val="both"/>
              <w:rPr>
                <w:color w:val="000000"/>
                <w:sz w:val="20"/>
                <w:szCs w:val="20"/>
              </w:rPr>
            </w:pPr>
            <w:r>
              <w:rPr>
                <w:color w:val="000000"/>
                <w:sz w:val="20"/>
                <w:szCs w:val="20"/>
              </w:rPr>
              <w:t xml:space="preserve">  North America</w:t>
            </w:r>
          </w:p>
        </w:tc>
        <w:tc>
          <w:tcPr>
            <w:tcW w:w="963" w:type="pct"/>
            <w:tcBorders>
              <w:top w:val="nil"/>
              <w:left w:val="nil"/>
              <w:bottom w:val="nil"/>
              <w:right w:val="nil"/>
            </w:tcBorders>
          </w:tcPr>
          <w:p w:rsidR="004851D7" w:rsidRDefault="004851D7">
            <w:pPr>
              <w:tabs>
                <w:tab w:val="decimal" w:pos="990"/>
              </w:tabs>
              <w:jc w:val="center"/>
              <w:rPr>
                <w:b/>
                <w:bCs/>
                <w:color w:val="000000"/>
                <w:sz w:val="20"/>
                <w:szCs w:val="20"/>
              </w:rPr>
            </w:pPr>
            <w:r>
              <w:rPr>
                <w:b/>
                <w:bCs/>
                <w:color w:val="000000"/>
                <w:sz w:val="20"/>
                <w:szCs w:val="20"/>
              </w:rPr>
              <w:t xml:space="preserve">$  </w:t>
            </w:r>
            <w:r w:rsidR="005277A9">
              <w:rPr>
                <w:b/>
                <w:bCs/>
                <w:color w:val="000000"/>
                <w:sz w:val="20"/>
                <w:szCs w:val="20"/>
              </w:rPr>
              <w:t>14,578</w:t>
            </w:r>
          </w:p>
        </w:tc>
        <w:tc>
          <w:tcPr>
            <w:tcW w:w="181" w:type="pct"/>
            <w:tcBorders>
              <w:top w:val="nil"/>
              <w:left w:val="nil"/>
              <w:bottom w:val="nil"/>
              <w:right w:val="nil"/>
            </w:tcBorders>
          </w:tcPr>
          <w:p w:rsidR="004851D7" w:rsidRDefault="004851D7">
            <w:pPr>
              <w:tabs>
                <w:tab w:val="decimal" w:pos="1124"/>
              </w:tabs>
              <w:jc w:val="both"/>
              <w:rPr>
                <w:b/>
                <w:bCs/>
                <w:color w:val="000000"/>
                <w:sz w:val="20"/>
                <w:szCs w:val="20"/>
              </w:rPr>
            </w:pPr>
          </w:p>
        </w:tc>
        <w:tc>
          <w:tcPr>
            <w:tcW w:w="962" w:type="pct"/>
            <w:tcBorders>
              <w:top w:val="nil"/>
              <w:left w:val="nil"/>
              <w:bottom w:val="nil"/>
              <w:right w:val="nil"/>
            </w:tcBorders>
          </w:tcPr>
          <w:p w:rsidR="004851D7" w:rsidRDefault="004851D7" w:rsidP="00223B45">
            <w:pPr>
              <w:tabs>
                <w:tab w:val="decimal" w:pos="990"/>
              </w:tabs>
              <w:jc w:val="center"/>
              <w:rPr>
                <w:bCs/>
                <w:color w:val="000000"/>
                <w:sz w:val="20"/>
                <w:szCs w:val="20"/>
              </w:rPr>
            </w:pPr>
            <w:r>
              <w:rPr>
                <w:bCs/>
                <w:color w:val="000000"/>
                <w:sz w:val="20"/>
                <w:szCs w:val="20"/>
              </w:rPr>
              <w:t>$  1</w:t>
            </w:r>
            <w:r w:rsidR="008B38D4">
              <w:rPr>
                <w:bCs/>
                <w:color w:val="000000"/>
                <w:sz w:val="20"/>
                <w:szCs w:val="20"/>
              </w:rPr>
              <w:t>4</w:t>
            </w:r>
            <w:r>
              <w:rPr>
                <w:bCs/>
                <w:color w:val="000000"/>
                <w:sz w:val="20"/>
                <w:szCs w:val="20"/>
              </w:rPr>
              <w:t>,</w:t>
            </w:r>
            <w:r w:rsidR="008B38D4">
              <w:rPr>
                <w:bCs/>
                <w:color w:val="000000"/>
                <w:sz w:val="20"/>
                <w:szCs w:val="20"/>
              </w:rPr>
              <w:t>525</w:t>
            </w:r>
          </w:p>
        </w:tc>
      </w:tr>
      <w:tr w:rsidR="004851D7">
        <w:tc>
          <w:tcPr>
            <w:tcW w:w="2894" w:type="pct"/>
            <w:tcBorders>
              <w:top w:val="nil"/>
              <w:left w:val="nil"/>
              <w:bottom w:val="nil"/>
              <w:right w:val="nil"/>
            </w:tcBorders>
          </w:tcPr>
          <w:p w:rsidR="004851D7" w:rsidRDefault="004851D7">
            <w:pPr>
              <w:pStyle w:val="in2"/>
              <w:ind w:left="0" w:firstLine="0"/>
              <w:jc w:val="both"/>
              <w:rPr>
                <w:color w:val="000000"/>
                <w:sz w:val="20"/>
                <w:szCs w:val="20"/>
              </w:rPr>
            </w:pPr>
            <w:r>
              <w:rPr>
                <w:color w:val="000000"/>
                <w:sz w:val="20"/>
                <w:szCs w:val="20"/>
              </w:rPr>
              <w:t xml:space="preserve">  Europe</w:t>
            </w:r>
          </w:p>
        </w:tc>
        <w:tc>
          <w:tcPr>
            <w:tcW w:w="963" w:type="pct"/>
            <w:tcBorders>
              <w:top w:val="nil"/>
              <w:left w:val="nil"/>
              <w:bottom w:val="nil"/>
              <w:right w:val="nil"/>
            </w:tcBorders>
          </w:tcPr>
          <w:p w:rsidR="004851D7" w:rsidRDefault="005277A9">
            <w:pPr>
              <w:tabs>
                <w:tab w:val="decimal" w:pos="990"/>
              </w:tabs>
              <w:jc w:val="center"/>
              <w:rPr>
                <w:b/>
                <w:bCs/>
                <w:color w:val="000000"/>
                <w:sz w:val="20"/>
                <w:szCs w:val="20"/>
              </w:rPr>
            </w:pPr>
            <w:r>
              <w:rPr>
                <w:b/>
                <w:bCs/>
                <w:color w:val="000000"/>
                <w:sz w:val="20"/>
                <w:szCs w:val="20"/>
              </w:rPr>
              <w:t>1,169</w:t>
            </w:r>
          </w:p>
        </w:tc>
        <w:tc>
          <w:tcPr>
            <w:tcW w:w="181" w:type="pct"/>
            <w:tcBorders>
              <w:top w:val="nil"/>
              <w:left w:val="nil"/>
              <w:bottom w:val="nil"/>
              <w:right w:val="nil"/>
            </w:tcBorders>
          </w:tcPr>
          <w:p w:rsidR="004851D7" w:rsidRDefault="004851D7">
            <w:pPr>
              <w:tabs>
                <w:tab w:val="decimal" w:pos="1124"/>
              </w:tabs>
              <w:jc w:val="both"/>
              <w:rPr>
                <w:b/>
                <w:bCs/>
                <w:color w:val="000000"/>
                <w:sz w:val="20"/>
                <w:szCs w:val="20"/>
              </w:rPr>
            </w:pPr>
          </w:p>
        </w:tc>
        <w:tc>
          <w:tcPr>
            <w:tcW w:w="962" w:type="pct"/>
            <w:tcBorders>
              <w:top w:val="nil"/>
              <w:left w:val="nil"/>
              <w:bottom w:val="nil"/>
              <w:right w:val="nil"/>
            </w:tcBorders>
          </w:tcPr>
          <w:p w:rsidR="004851D7" w:rsidRDefault="004851D7" w:rsidP="00223B45">
            <w:pPr>
              <w:tabs>
                <w:tab w:val="decimal" w:pos="990"/>
              </w:tabs>
              <w:jc w:val="center"/>
              <w:rPr>
                <w:bCs/>
                <w:color w:val="000000"/>
                <w:sz w:val="20"/>
                <w:szCs w:val="20"/>
              </w:rPr>
            </w:pPr>
            <w:r>
              <w:rPr>
                <w:bCs/>
                <w:color w:val="000000"/>
                <w:sz w:val="20"/>
                <w:szCs w:val="20"/>
              </w:rPr>
              <w:t>1,</w:t>
            </w:r>
            <w:r w:rsidR="008B38D4">
              <w:rPr>
                <w:bCs/>
                <w:color w:val="000000"/>
                <w:sz w:val="20"/>
                <w:szCs w:val="20"/>
              </w:rPr>
              <w:t>220</w:t>
            </w:r>
          </w:p>
        </w:tc>
      </w:tr>
      <w:tr w:rsidR="004851D7">
        <w:tc>
          <w:tcPr>
            <w:tcW w:w="2894" w:type="pct"/>
            <w:tcBorders>
              <w:top w:val="nil"/>
              <w:left w:val="nil"/>
              <w:bottom w:val="nil"/>
              <w:right w:val="nil"/>
            </w:tcBorders>
          </w:tcPr>
          <w:p w:rsidR="004851D7" w:rsidRDefault="004851D7">
            <w:pPr>
              <w:pStyle w:val="in2"/>
              <w:ind w:left="0" w:firstLine="0"/>
              <w:jc w:val="both"/>
              <w:rPr>
                <w:color w:val="000000"/>
                <w:sz w:val="20"/>
                <w:szCs w:val="20"/>
              </w:rPr>
            </w:pPr>
            <w:r>
              <w:rPr>
                <w:color w:val="000000"/>
                <w:sz w:val="20"/>
                <w:szCs w:val="20"/>
              </w:rPr>
              <w:t xml:space="preserve">  Japan</w:t>
            </w:r>
          </w:p>
        </w:tc>
        <w:tc>
          <w:tcPr>
            <w:tcW w:w="963" w:type="pct"/>
            <w:tcBorders>
              <w:top w:val="nil"/>
              <w:left w:val="nil"/>
              <w:bottom w:val="nil"/>
              <w:right w:val="nil"/>
            </w:tcBorders>
          </w:tcPr>
          <w:p w:rsidR="004851D7" w:rsidRDefault="005277A9">
            <w:pPr>
              <w:tabs>
                <w:tab w:val="decimal" w:pos="990"/>
              </w:tabs>
              <w:jc w:val="center"/>
              <w:rPr>
                <w:b/>
                <w:bCs/>
                <w:color w:val="000000"/>
                <w:sz w:val="20"/>
                <w:szCs w:val="20"/>
              </w:rPr>
            </w:pPr>
            <w:r>
              <w:rPr>
                <w:b/>
                <w:bCs/>
                <w:color w:val="000000"/>
                <w:sz w:val="20"/>
                <w:szCs w:val="20"/>
              </w:rPr>
              <w:t>663</w:t>
            </w:r>
          </w:p>
        </w:tc>
        <w:tc>
          <w:tcPr>
            <w:tcW w:w="181" w:type="pct"/>
            <w:tcBorders>
              <w:top w:val="nil"/>
              <w:left w:val="nil"/>
              <w:bottom w:val="nil"/>
              <w:right w:val="nil"/>
            </w:tcBorders>
          </w:tcPr>
          <w:p w:rsidR="004851D7" w:rsidRDefault="004851D7">
            <w:pPr>
              <w:pStyle w:val="contents"/>
              <w:widowControl w:val="0"/>
              <w:tabs>
                <w:tab w:val="clear" w:pos="8540"/>
                <w:tab w:val="decimal" w:pos="1124"/>
              </w:tabs>
              <w:spacing w:line="240" w:lineRule="auto"/>
              <w:rPr>
                <w:b/>
                <w:bCs/>
                <w:color w:val="000000"/>
                <w:sz w:val="20"/>
                <w:szCs w:val="20"/>
              </w:rPr>
            </w:pPr>
          </w:p>
        </w:tc>
        <w:tc>
          <w:tcPr>
            <w:tcW w:w="962" w:type="pct"/>
            <w:tcBorders>
              <w:top w:val="nil"/>
              <w:left w:val="nil"/>
              <w:bottom w:val="nil"/>
              <w:right w:val="nil"/>
            </w:tcBorders>
          </w:tcPr>
          <w:p w:rsidR="004851D7" w:rsidRDefault="008B38D4">
            <w:pPr>
              <w:tabs>
                <w:tab w:val="decimal" w:pos="990"/>
              </w:tabs>
              <w:jc w:val="center"/>
              <w:rPr>
                <w:bCs/>
                <w:color w:val="000000"/>
                <w:sz w:val="20"/>
                <w:szCs w:val="20"/>
              </w:rPr>
            </w:pPr>
            <w:r>
              <w:rPr>
                <w:bCs/>
                <w:color w:val="000000"/>
                <w:sz w:val="20"/>
                <w:szCs w:val="20"/>
              </w:rPr>
              <w:t>890</w:t>
            </w:r>
          </w:p>
        </w:tc>
      </w:tr>
      <w:tr w:rsidR="004851D7">
        <w:tc>
          <w:tcPr>
            <w:tcW w:w="2894" w:type="pct"/>
            <w:tcBorders>
              <w:top w:val="nil"/>
              <w:left w:val="nil"/>
              <w:bottom w:val="nil"/>
              <w:right w:val="nil"/>
            </w:tcBorders>
          </w:tcPr>
          <w:p w:rsidR="004851D7" w:rsidRDefault="004851D7">
            <w:pPr>
              <w:pStyle w:val="in2"/>
              <w:ind w:left="0" w:firstLine="0"/>
              <w:jc w:val="both"/>
              <w:rPr>
                <w:color w:val="000000"/>
                <w:sz w:val="20"/>
                <w:szCs w:val="20"/>
              </w:rPr>
            </w:pPr>
            <w:r>
              <w:rPr>
                <w:color w:val="000000"/>
                <w:sz w:val="20"/>
                <w:szCs w:val="20"/>
              </w:rPr>
              <w:t xml:space="preserve">  Other foreign countries</w:t>
            </w:r>
          </w:p>
        </w:tc>
        <w:tc>
          <w:tcPr>
            <w:tcW w:w="963" w:type="pct"/>
            <w:tcBorders>
              <w:top w:val="nil"/>
              <w:left w:val="nil"/>
              <w:bottom w:val="nil"/>
              <w:right w:val="nil"/>
            </w:tcBorders>
          </w:tcPr>
          <w:p w:rsidR="004851D7" w:rsidRDefault="005277A9">
            <w:pPr>
              <w:tabs>
                <w:tab w:val="decimal" w:pos="990"/>
              </w:tabs>
              <w:jc w:val="center"/>
              <w:rPr>
                <w:b/>
                <w:bCs/>
                <w:color w:val="000000"/>
                <w:sz w:val="20"/>
                <w:szCs w:val="20"/>
              </w:rPr>
            </w:pPr>
            <w:r>
              <w:rPr>
                <w:b/>
                <w:bCs/>
                <w:color w:val="000000"/>
                <w:sz w:val="20"/>
                <w:szCs w:val="20"/>
              </w:rPr>
              <w:t>584</w:t>
            </w:r>
          </w:p>
        </w:tc>
        <w:tc>
          <w:tcPr>
            <w:tcW w:w="181" w:type="pct"/>
            <w:tcBorders>
              <w:top w:val="nil"/>
              <w:left w:val="nil"/>
              <w:bottom w:val="nil"/>
              <w:right w:val="nil"/>
            </w:tcBorders>
          </w:tcPr>
          <w:p w:rsidR="004851D7" w:rsidRDefault="004851D7">
            <w:pPr>
              <w:pStyle w:val="contents"/>
              <w:widowControl w:val="0"/>
              <w:tabs>
                <w:tab w:val="clear" w:pos="8540"/>
                <w:tab w:val="decimal" w:pos="1124"/>
              </w:tabs>
              <w:spacing w:line="240" w:lineRule="auto"/>
              <w:rPr>
                <w:b/>
                <w:bCs/>
                <w:color w:val="000000"/>
                <w:sz w:val="20"/>
                <w:szCs w:val="20"/>
              </w:rPr>
            </w:pPr>
          </w:p>
        </w:tc>
        <w:tc>
          <w:tcPr>
            <w:tcW w:w="962" w:type="pct"/>
            <w:tcBorders>
              <w:top w:val="nil"/>
              <w:left w:val="nil"/>
              <w:bottom w:val="nil"/>
              <w:right w:val="nil"/>
            </w:tcBorders>
          </w:tcPr>
          <w:p w:rsidR="004851D7" w:rsidRDefault="008B38D4">
            <w:pPr>
              <w:tabs>
                <w:tab w:val="decimal" w:pos="990"/>
              </w:tabs>
              <w:jc w:val="center"/>
              <w:rPr>
                <w:bCs/>
                <w:color w:val="000000"/>
                <w:sz w:val="20"/>
                <w:szCs w:val="20"/>
              </w:rPr>
            </w:pPr>
            <w:r>
              <w:rPr>
                <w:bCs/>
                <w:color w:val="000000"/>
                <w:sz w:val="20"/>
                <w:szCs w:val="20"/>
              </w:rPr>
              <w:t>513</w:t>
            </w:r>
          </w:p>
        </w:tc>
      </w:tr>
      <w:tr w:rsidR="004851D7">
        <w:trPr>
          <w:trHeight w:val="264"/>
        </w:trPr>
        <w:tc>
          <w:tcPr>
            <w:tcW w:w="2894" w:type="pct"/>
            <w:tcBorders>
              <w:top w:val="nil"/>
              <w:left w:val="nil"/>
              <w:bottom w:val="nil"/>
              <w:right w:val="nil"/>
            </w:tcBorders>
          </w:tcPr>
          <w:p w:rsidR="004851D7" w:rsidRDefault="004851D7">
            <w:pPr>
              <w:pStyle w:val="Normal1"/>
              <w:ind w:left="0" w:firstLine="0"/>
              <w:jc w:val="both"/>
              <w:rPr>
                <w:color w:val="000000"/>
                <w:sz w:val="20"/>
                <w:szCs w:val="20"/>
              </w:rPr>
            </w:pPr>
          </w:p>
        </w:tc>
        <w:tc>
          <w:tcPr>
            <w:tcW w:w="963" w:type="pct"/>
            <w:tcBorders>
              <w:top w:val="single" w:sz="6" w:space="0" w:color="auto"/>
              <w:left w:val="nil"/>
              <w:bottom w:val="double" w:sz="4" w:space="0" w:color="auto"/>
              <w:right w:val="nil"/>
            </w:tcBorders>
          </w:tcPr>
          <w:p w:rsidR="004851D7" w:rsidRDefault="004851D7">
            <w:pPr>
              <w:tabs>
                <w:tab w:val="decimal" w:pos="990"/>
              </w:tabs>
              <w:jc w:val="center"/>
              <w:rPr>
                <w:b/>
                <w:bCs/>
                <w:color w:val="000000"/>
                <w:sz w:val="20"/>
                <w:szCs w:val="20"/>
              </w:rPr>
            </w:pPr>
            <w:r>
              <w:rPr>
                <w:b/>
                <w:bCs/>
                <w:color w:val="000000"/>
                <w:sz w:val="20"/>
                <w:szCs w:val="20"/>
              </w:rPr>
              <w:t xml:space="preserve">$ </w:t>
            </w:r>
            <w:r w:rsidR="007606B1">
              <w:rPr>
                <w:b/>
                <w:bCs/>
                <w:color w:val="000000"/>
                <w:sz w:val="20"/>
                <w:szCs w:val="20"/>
              </w:rPr>
              <w:t>16,994</w:t>
            </w:r>
          </w:p>
        </w:tc>
        <w:tc>
          <w:tcPr>
            <w:tcW w:w="181" w:type="pct"/>
            <w:tcBorders>
              <w:top w:val="nil"/>
              <w:left w:val="nil"/>
              <w:bottom w:val="nil"/>
              <w:right w:val="nil"/>
            </w:tcBorders>
          </w:tcPr>
          <w:p w:rsidR="004851D7" w:rsidRDefault="004851D7">
            <w:pPr>
              <w:tabs>
                <w:tab w:val="decimal" w:pos="1124"/>
              </w:tabs>
              <w:jc w:val="both"/>
              <w:rPr>
                <w:b/>
                <w:bCs/>
                <w:color w:val="000000"/>
                <w:sz w:val="20"/>
                <w:szCs w:val="20"/>
              </w:rPr>
            </w:pPr>
          </w:p>
        </w:tc>
        <w:tc>
          <w:tcPr>
            <w:tcW w:w="962" w:type="pct"/>
            <w:tcBorders>
              <w:top w:val="single" w:sz="6" w:space="0" w:color="auto"/>
              <w:left w:val="nil"/>
              <w:bottom w:val="double" w:sz="4" w:space="0" w:color="auto"/>
              <w:right w:val="nil"/>
            </w:tcBorders>
          </w:tcPr>
          <w:p w:rsidR="004851D7" w:rsidRDefault="004851D7" w:rsidP="00223B45">
            <w:pPr>
              <w:tabs>
                <w:tab w:val="decimal" w:pos="990"/>
              </w:tabs>
              <w:jc w:val="center"/>
              <w:rPr>
                <w:bCs/>
                <w:color w:val="000000"/>
                <w:sz w:val="20"/>
                <w:szCs w:val="20"/>
              </w:rPr>
            </w:pPr>
            <w:r>
              <w:rPr>
                <w:bCs/>
                <w:color w:val="000000"/>
                <w:sz w:val="20"/>
                <w:szCs w:val="20"/>
              </w:rPr>
              <w:t>$ 1</w:t>
            </w:r>
            <w:r w:rsidR="008B38D4">
              <w:rPr>
                <w:bCs/>
                <w:color w:val="000000"/>
                <w:sz w:val="20"/>
                <w:szCs w:val="20"/>
              </w:rPr>
              <w:t>7</w:t>
            </w:r>
            <w:r>
              <w:rPr>
                <w:bCs/>
                <w:color w:val="000000"/>
                <w:sz w:val="20"/>
                <w:szCs w:val="20"/>
              </w:rPr>
              <w:t>,</w:t>
            </w:r>
            <w:r w:rsidR="008B38D4">
              <w:rPr>
                <w:bCs/>
                <w:color w:val="000000"/>
                <w:sz w:val="20"/>
                <w:szCs w:val="20"/>
              </w:rPr>
              <w:t>148</w:t>
            </w:r>
          </w:p>
        </w:tc>
      </w:tr>
      <w:tr w:rsidR="004851D7">
        <w:tc>
          <w:tcPr>
            <w:tcW w:w="2894" w:type="pct"/>
            <w:tcBorders>
              <w:top w:val="nil"/>
              <w:left w:val="nil"/>
              <w:bottom w:val="nil"/>
              <w:right w:val="nil"/>
            </w:tcBorders>
          </w:tcPr>
          <w:p w:rsidR="004851D7" w:rsidRDefault="004851D7">
            <w:pPr>
              <w:pStyle w:val="Normal1"/>
              <w:ind w:left="0" w:firstLine="0"/>
              <w:jc w:val="both"/>
              <w:rPr>
                <w:color w:val="000000"/>
                <w:sz w:val="20"/>
                <w:szCs w:val="20"/>
              </w:rPr>
            </w:pPr>
          </w:p>
        </w:tc>
        <w:tc>
          <w:tcPr>
            <w:tcW w:w="963" w:type="pct"/>
            <w:tcBorders>
              <w:top w:val="nil"/>
              <w:left w:val="nil"/>
              <w:bottom w:val="nil"/>
              <w:right w:val="nil"/>
            </w:tcBorders>
          </w:tcPr>
          <w:p w:rsidR="004851D7" w:rsidRDefault="004851D7">
            <w:pPr>
              <w:tabs>
                <w:tab w:val="decimal" w:pos="990"/>
              </w:tabs>
              <w:jc w:val="both"/>
              <w:rPr>
                <w:color w:val="000000"/>
                <w:sz w:val="20"/>
                <w:szCs w:val="20"/>
              </w:rPr>
            </w:pPr>
          </w:p>
        </w:tc>
        <w:tc>
          <w:tcPr>
            <w:tcW w:w="181" w:type="pct"/>
            <w:tcBorders>
              <w:top w:val="nil"/>
              <w:left w:val="nil"/>
              <w:bottom w:val="nil"/>
              <w:right w:val="nil"/>
            </w:tcBorders>
          </w:tcPr>
          <w:p w:rsidR="004851D7" w:rsidRDefault="004851D7">
            <w:pPr>
              <w:tabs>
                <w:tab w:val="decimal" w:pos="1124"/>
              </w:tabs>
              <w:jc w:val="both"/>
              <w:rPr>
                <w:b/>
                <w:bCs/>
                <w:color w:val="000000"/>
                <w:sz w:val="20"/>
                <w:szCs w:val="20"/>
              </w:rPr>
            </w:pPr>
          </w:p>
        </w:tc>
        <w:tc>
          <w:tcPr>
            <w:tcW w:w="962" w:type="pct"/>
            <w:tcBorders>
              <w:top w:val="nil"/>
              <w:left w:val="nil"/>
              <w:bottom w:val="nil"/>
              <w:right w:val="nil"/>
            </w:tcBorders>
          </w:tcPr>
          <w:p w:rsidR="004851D7" w:rsidRDefault="004851D7">
            <w:pPr>
              <w:tabs>
                <w:tab w:val="decimal" w:pos="990"/>
              </w:tabs>
              <w:jc w:val="both"/>
              <w:rPr>
                <w:color w:val="000000"/>
                <w:sz w:val="20"/>
                <w:szCs w:val="20"/>
              </w:rPr>
            </w:pPr>
          </w:p>
        </w:tc>
      </w:tr>
    </w:tbl>
    <w:p w:rsidR="00E837E7" w:rsidRDefault="00E837E7">
      <w:pPr>
        <w:rPr>
          <w:color w:val="000000"/>
          <w:sz w:val="20"/>
        </w:rPr>
      </w:pPr>
      <w:r>
        <w:rPr>
          <w:b/>
          <w:bCs/>
          <w:color w:val="000000"/>
          <w:sz w:val="20"/>
        </w:rPr>
        <w:t>11.  Business Acquisition</w:t>
      </w:r>
    </w:p>
    <w:p w:rsidR="00E837E7" w:rsidRDefault="00E837E7">
      <w:pPr>
        <w:rPr>
          <w:color w:val="000000"/>
          <w:sz w:val="20"/>
        </w:rPr>
      </w:pPr>
      <w:r>
        <w:rPr>
          <w:color w:val="000000"/>
          <w:sz w:val="20"/>
        </w:rPr>
        <w:tab/>
      </w:r>
    </w:p>
    <w:p w:rsidR="007E12DD" w:rsidRDefault="00E837E7">
      <w:pPr>
        <w:rPr>
          <w:color w:val="000000"/>
          <w:sz w:val="20"/>
        </w:rPr>
      </w:pPr>
      <w:r>
        <w:rPr>
          <w:color w:val="000000"/>
          <w:sz w:val="20"/>
        </w:rPr>
        <w:tab/>
        <w:t>On December 30, 2011, we acquired all of the outstanding stock of Garritan Corporation, a privately held software musical instrument company</w:t>
      </w:r>
      <w:r w:rsidR="00266986">
        <w:rPr>
          <w:color w:val="000000"/>
          <w:sz w:val="20"/>
        </w:rPr>
        <w:t xml:space="preserve"> (“Garritan”)</w:t>
      </w:r>
      <w:r>
        <w:rPr>
          <w:color w:val="000000"/>
          <w:sz w:val="20"/>
        </w:rPr>
        <w:t xml:space="preserve">. </w:t>
      </w:r>
      <w:r w:rsidR="00F032DC">
        <w:rPr>
          <w:color w:val="000000"/>
          <w:sz w:val="20"/>
        </w:rPr>
        <w:t xml:space="preserve">In addition, during November 2011 we acquired select assets from </w:t>
      </w:r>
      <w:proofErr w:type="spellStart"/>
      <w:r w:rsidR="00F032DC">
        <w:rPr>
          <w:color w:val="000000"/>
          <w:sz w:val="20"/>
        </w:rPr>
        <w:t>Recordare</w:t>
      </w:r>
      <w:proofErr w:type="spellEnd"/>
      <w:r w:rsidR="00F032DC">
        <w:rPr>
          <w:color w:val="000000"/>
          <w:sz w:val="20"/>
        </w:rPr>
        <w:t xml:space="preserve">, an internet music publishing and software company. The </w:t>
      </w:r>
      <w:r w:rsidR="00B94119">
        <w:rPr>
          <w:color w:val="000000"/>
          <w:sz w:val="20"/>
        </w:rPr>
        <w:t>acquisition</w:t>
      </w:r>
      <w:r w:rsidR="00F032DC">
        <w:rPr>
          <w:color w:val="000000"/>
          <w:sz w:val="20"/>
        </w:rPr>
        <w:t>s</w:t>
      </w:r>
      <w:r w:rsidR="00B94119">
        <w:rPr>
          <w:color w:val="000000"/>
          <w:sz w:val="20"/>
        </w:rPr>
        <w:t xml:space="preserve"> provide new products, technology, brands and resources that are complementary to </w:t>
      </w:r>
      <w:proofErr w:type="spellStart"/>
      <w:r w:rsidR="00B94119">
        <w:rPr>
          <w:color w:val="000000"/>
          <w:sz w:val="20"/>
        </w:rPr>
        <w:t>MakeMusic</w:t>
      </w:r>
      <w:proofErr w:type="spellEnd"/>
      <w:r w:rsidR="00B94119">
        <w:rPr>
          <w:color w:val="000000"/>
          <w:sz w:val="20"/>
        </w:rPr>
        <w:t xml:space="preserve"> and provide growth opportunities for the future. </w:t>
      </w:r>
      <w:r>
        <w:rPr>
          <w:color w:val="000000"/>
          <w:sz w:val="20"/>
        </w:rPr>
        <w:t xml:space="preserve">The </w:t>
      </w:r>
      <w:r w:rsidR="00F032DC">
        <w:rPr>
          <w:color w:val="000000"/>
          <w:sz w:val="20"/>
        </w:rPr>
        <w:t xml:space="preserve">combined </w:t>
      </w:r>
      <w:r>
        <w:rPr>
          <w:color w:val="000000"/>
          <w:sz w:val="20"/>
        </w:rPr>
        <w:t>purchase price was $</w:t>
      </w:r>
      <w:r w:rsidR="00F032DC">
        <w:rPr>
          <w:color w:val="000000"/>
          <w:sz w:val="20"/>
        </w:rPr>
        <w:t>2</w:t>
      </w:r>
      <w:r>
        <w:rPr>
          <w:color w:val="000000"/>
          <w:sz w:val="20"/>
        </w:rPr>
        <w:t>,500,000, including</w:t>
      </w:r>
      <w:r w:rsidR="00266986">
        <w:rPr>
          <w:color w:val="000000"/>
          <w:sz w:val="20"/>
        </w:rPr>
        <w:t>, in connection with the acquisition of Garritan</w:t>
      </w:r>
      <w:proofErr w:type="gramStart"/>
      <w:r w:rsidR="00266986">
        <w:rPr>
          <w:color w:val="000000"/>
          <w:sz w:val="20"/>
        </w:rPr>
        <w:t xml:space="preserve">, </w:t>
      </w:r>
      <w:r>
        <w:rPr>
          <w:color w:val="000000"/>
          <w:sz w:val="20"/>
        </w:rPr>
        <w:t xml:space="preserve"> $</w:t>
      </w:r>
      <w:proofErr w:type="gramEnd"/>
      <w:r>
        <w:rPr>
          <w:color w:val="000000"/>
          <w:sz w:val="20"/>
        </w:rPr>
        <w:t xml:space="preserve">125,000 </w:t>
      </w:r>
      <w:r w:rsidR="007A7383">
        <w:rPr>
          <w:color w:val="000000"/>
          <w:sz w:val="20"/>
        </w:rPr>
        <w:t>which is subject to an 18-month holdback</w:t>
      </w:r>
      <w:r w:rsidR="00266986">
        <w:rPr>
          <w:color w:val="000000"/>
          <w:sz w:val="20"/>
        </w:rPr>
        <w:t>. The holdback</w:t>
      </w:r>
      <w:r w:rsidR="007A7383">
        <w:rPr>
          <w:color w:val="000000"/>
          <w:sz w:val="20"/>
        </w:rPr>
        <w:t xml:space="preserve"> is payable in shares of </w:t>
      </w:r>
      <w:proofErr w:type="spellStart"/>
      <w:r w:rsidR="007A7383">
        <w:rPr>
          <w:color w:val="000000"/>
          <w:sz w:val="20"/>
        </w:rPr>
        <w:t>MakeMusic’s</w:t>
      </w:r>
      <w:proofErr w:type="spellEnd"/>
      <w:r w:rsidR="007A7383">
        <w:rPr>
          <w:color w:val="000000"/>
          <w:sz w:val="20"/>
        </w:rPr>
        <w:t xml:space="preserve"> common stock, with a share price equal to $4.52</w:t>
      </w:r>
      <w:r w:rsidR="00B94119">
        <w:rPr>
          <w:color w:val="000000"/>
          <w:sz w:val="20"/>
        </w:rPr>
        <w:t xml:space="preserve">, which represented the average closing price of </w:t>
      </w:r>
      <w:proofErr w:type="spellStart"/>
      <w:r w:rsidR="00B94119">
        <w:rPr>
          <w:color w:val="000000"/>
          <w:sz w:val="20"/>
        </w:rPr>
        <w:t>MakeMusic</w:t>
      </w:r>
      <w:proofErr w:type="spellEnd"/>
      <w:r w:rsidR="00B94119">
        <w:rPr>
          <w:color w:val="000000"/>
          <w:sz w:val="20"/>
        </w:rPr>
        <w:t xml:space="preserve"> common stock for the 20 trading days prior to the closing of the acquisition.</w:t>
      </w:r>
      <w:r w:rsidR="007E12DD">
        <w:rPr>
          <w:color w:val="000000"/>
          <w:sz w:val="20"/>
        </w:rPr>
        <w:t xml:space="preserve"> </w:t>
      </w:r>
      <w:r w:rsidR="00A07B0E">
        <w:rPr>
          <w:color w:val="000000"/>
          <w:sz w:val="20"/>
        </w:rPr>
        <w:t xml:space="preserve">Net cash paid upon </w:t>
      </w:r>
      <w:r w:rsidR="00266986">
        <w:rPr>
          <w:color w:val="000000"/>
          <w:sz w:val="20"/>
        </w:rPr>
        <w:t xml:space="preserve">closing of the transactions </w:t>
      </w:r>
      <w:r w:rsidR="00A07B0E">
        <w:rPr>
          <w:color w:val="000000"/>
          <w:sz w:val="20"/>
        </w:rPr>
        <w:t>was $</w:t>
      </w:r>
      <w:r w:rsidR="00F032DC">
        <w:rPr>
          <w:color w:val="000000"/>
          <w:sz w:val="20"/>
        </w:rPr>
        <w:t>2</w:t>
      </w:r>
      <w:r w:rsidR="00A07B0E">
        <w:rPr>
          <w:color w:val="000000"/>
          <w:sz w:val="20"/>
        </w:rPr>
        <w:t>,344,000 which includes the purchase price</w:t>
      </w:r>
      <w:r w:rsidR="000951B4">
        <w:rPr>
          <w:color w:val="000000"/>
          <w:sz w:val="20"/>
        </w:rPr>
        <w:t>, net</w:t>
      </w:r>
      <w:r w:rsidR="00001E59">
        <w:rPr>
          <w:color w:val="000000"/>
          <w:sz w:val="20"/>
        </w:rPr>
        <w:t xml:space="preserve"> of</w:t>
      </w:r>
      <w:r w:rsidR="00A07B0E">
        <w:rPr>
          <w:color w:val="000000"/>
          <w:sz w:val="20"/>
        </w:rPr>
        <w:t xml:space="preserve"> the 18-month holdback and cash received.</w:t>
      </w:r>
    </w:p>
    <w:p w:rsidR="007E12DD" w:rsidRDefault="007E12DD">
      <w:pPr>
        <w:rPr>
          <w:color w:val="000000"/>
          <w:sz w:val="20"/>
        </w:rPr>
      </w:pPr>
    </w:p>
    <w:p w:rsidR="00996664" w:rsidRDefault="00996664" w:rsidP="00F4511E">
      <w:pPr>
        <w:ind w:firstLine="720"/>
        <w:rPr>
          <w:color w:val="000000"/>
          <w:sz w:val="20"/>
        </w:rPr>
      </w:pPr>
    </w:p>
    <w:p w:rsidR="00996664" w:rsidRDefault="00996664" w:rsidP="00F4511E">
      <w:pPr>
        <w:ind w:firstLine="720"/>
        <w:rPr>
          <w:color w:val="000000"/>
          <w:sz w:val="20"/>
        </w:rPr>
      </w:pPr>
    </w:p>
    <w:p w:rsidR="007A7383" w:rsidRDefault="007E12DD" w:rsidP="00E61549">
      <w:pPr>
        <w:ind w:firstLine="720"/>
        <w:rPr>
          <w:color w:val="000000"/>
          <w:sz w:val="20"/>
        </w:rPr>
      </w:pPr>
      <w:r>
        <w:rPr>
          <w:color w:val="000000"/>
          <w:sz w:val="20"/>
        </w:rPr>
        <w:t>The fair value of assets acquired</w:t>
      </w:r>
      <w:r w:rsidR="00C3456B">
        <w:rPr>
          <w:color w:val="000000"/>
          <w:sz w:val="20"/>
        </w:rPr>
        <w:t xml:space="preserve"> and liabilities assumed</w:t>
      </w:r>
      <w:r>
        <w:rPr>
          <w:color w:val="000000"/>
          <w:sz w:val="20"/>
        </w:rPr>
        <w:t xml:space="preserve"> </w:t>
      </w:r>
      <w:r w:rsidR="00266986">
        <w:rPr>
          <w:color w:val="000000"/>
          <w:sz w:val="20"/>
        </w:rPr>
        <w:t xml:space="preserve">from Garritan and </w:t>
      </w:r>
      <w:proofErr w:type="spellStart"/>
      <w:r w:rsidR="00266986">
        <w:rPr>
          <w:color w:val="000000"/>
          <w:sz w:val="20"/>
        </w:rPr>
        <w:t>Recordare</w:t>
      </w:r>
      <w:proofErr w:type="spellEnd"/>
      <w:r w:rsidR="00266986">
        <w:rPr>
          <w:color w:val="000000"/>
          <w:sz w:val="20"/>
        </w:rPr>
        <w:t xml:space="preserve"> </w:t>
      </w:r>
      <w:r>
        <w:rPr>
          <w:color w:val="000000"/>
          <w:sz w:val="20"/>
        </w:rPr>
        <w:t>include the following:</w:t>
      </w:r>
      <w:r w:rsidR="007A7383">
        <w:rPr>
          <w:color w:val="000000"/>
          <w:sz w:val="20"/>
        </w:rPr>
        <w:tab/>
      </w:r>
    </w:p>
    <w:tbl>
      <w:tblPr>
        <w:tblW w:w="0" w:type="auto"/>
        <w:tblInd w:w="2589" w:type="dxa"/>
        <w:tblLook w:val="04A0" w:firstRow="1" w:lastRow="0" w:firstColumn="1" w:lastColumn="0" w:noHBand="0" w:noVBand="1"/>
      </w:tblPr>
      <w:tblGrid>
        <w:gridCol w:w="2605"/>
        <w:gridCol w:w="2000"/>
      </w:tblGrid>
      <w:tr w:rsidR="007E12DD" w:rsidTr="00F4511E">
        <w:trPr>
          <w:trHeight w:val="255"/>
        </w:trPr>
        <w:tc>
          <w:tcPr>
            <w:tcW w:w="0" w:type="auto"/>
            <w:tcBorders>
              <w:top w:val="nil"/>
              <w:left w:val="nil"/>
              <w:bottom w:val="nil"/>
              <w:right w:val="nil"/>
            </w:tcBorders>
            <w:shd w:val="clear" w:color="auto" w:fill="auto"/>
            <w:noWrap/>
            <w:vAlign w:val="bottom"/>
            <w:hideMark/>
          </w:tcPr>
          <w:p w:rsidR="007E12DD" w:rsidRDefault="007E12DD">
            <w:pPr>
              <w:rPr>
                <w:sz w:val="20"/>
                <w:szCs w:val="20"/>
              </w:rPr>
            </w:pPr>
          </w:p>
        </w:tc>
        <w:tc>
          <w:tcPr>
            <w:tcW w:w="0" w:type="auto"/>
            <w:tcBorders>
              <w:top w:val="nil"/>
              <w:left w:val="nil"/>
              <w:bottom w:val="nil"/>
              <w:right w:val="nil"/>
            </w:tcBorders>
            <w:shd w:val="clear" w:color="auto" w:fill="auto"/>
            <w:noWrap/>
            <w:vAlign w:val="bottom"/>
            <w:hideMark/>
          </w:tcPr>
          <w:p w:rsidR="007E12DD" w:rsidRDefault="007E12DD">
            <w:pPr>
              <w:jc w:val="right"/>
              <w:rPr>
                <w:i/>
                <w:iCs/>
                <w:sz w:val="20"/>
                <w:szCs w:val="20"/>
              </w:rPr>
            </w:pPr>
            <w:r>
              <w:rPr>
                <w:i/>
                <w:iCs/>
                <w:sz w:val="20"/>
                <w:szCs w:val="20"/>
              </w:rPr>
              <w:t>(In thousands)</w:t>
            </w:r>
          </w:p>
        </w:tc>
      </w:tr>
      <w:tr w:rsidR="007E12DD" w:rsidTr="00F4511E">
        <w:trPr>
          <w:trHeight w:val="255"/>
        </w:trPr>
        <w:tc>
          <w:tcPr>
            <w:tcW w:w="0" w:type="auto"/>
            <w:tcBorders>
              <w:top w:val="nil"/>
              <w:left w:val="nil"/>
              <w:bottom w:val="nil"/>
              <w:right w:val="nil"/>
            </w:tcBorders>
            <w:shd w:val="clear" w:color="auto" w:fill="auto"/>
            <w:noWrap/>
            <w:vAlign w:val="bottom"/>
            <w:hideMark/>
          </w:tcPr>
          <w:p w:rsidR="007E12DD" w:rsidRDefault="007E12DD">
            <w:pPr>
              <w:rPr>
                <w:sz w:val="20"/>
                <w:szCs w:val="20"/>
              </w:rPr>
            </w:pPr>
            <w:r>
              <w:rPr>
                <w:sz w:val="20"/>
                <w:szCs w:val="20"/>
              </w:rPr>
              <w:t>Cash</w:t>
            </w:r>
          </w:p>
        </w:tc>
        <w:tc>
          <w:tcPr>
            <w:tcW w:w="0" w:type="auto"/>
            <w:tcBorders>
              <w:top w:val="nil"/>
              <w:left w:val="nil"/>
              <w:bottom w:val="nil"/>
              <w:right w:val="nil"/>
            </w:tcBorders>
            <w:shd w:val="clear" w:color="auto" w:fill="auto"/>
            <w:noWrap/>
            <w:vAlign w:val="bottom"/>
            <w:hideMark/>
          </w:tcPr>
          <w:p w:rsidR="007E12DD" w:rsidRDefault="007E12DD">
            <w:pPr>
              <w:rPr>
                <w:sz w:val="20"/>
                <w:szCs w:val="20"/>
              </w:rPr>
            </w:pPr>
            <w:r>
              <w:rPr>
                <w:sz w:val="20"/>
                <w:szCs w:val="20"/>
              </w:rPr>
              <w:t xml:space="preserve"> $                          31 </w:t>
            </w:r>
          </w:p>
        </w:tc>
      </w:tr>
      <w:tr w:rsidR="007E12DD" w:rsidTr="00F4511E">
        <w:trPr>
          <w:trHeight w:val="255"/>
        </w:trPr>
        <w:tc>
          <w:tcPr>
            <w:tcW w:w="0" w:type="auto"/>
            <w:tcBorders>
              <w:top w:val="nil"/>
              <w:left w:val="nil"/>
              <w:bottom w:val="nil"/>
              <w:right w:val="nil"/>
            </w:tcBorders>
            <w:shd w:val="clear" w:color="auto" w:fill="auto"/>
            <w:noWrap/>
            <w:vAlign w:val="bottom"/>
            <w:hideMark/>
          </w:tcPr>
          <w:p w:rsidR="007E12DD" w:rsidRDefault="007E12DD">
            <w:pPr>
              <w:rPr>
                <w:sz w:val="20"/>
                <w:szCs w:val="20"/>
              </w:rPr>
            </w:pPr>
            <w:r>
              <w:rPr>
                <w:sz w:val="20"/>
                <w:szCs w:val="20"/>
              </w:rPr>
              <w:t>Accounts Receivable</w:t>
            </w:r>
          </w:p>
        </w:tc>
        <w:tc>
          <w:tcPr>
            <w:tcW w:w="0" w:type="auto"/>
            <w:tcBorders>
              <w:top w:val="nil"/>
              <w:left w:val="nil"/>
              <w:bottom w:val="nil"/>
              <w:right w:val="nil"/>
            </w:tcBorders>
            <w:shd w:val="clear" w:color="auto" w:fill="auto"/>
            <w:noWrap/>
            <w:vAlign w:val="bottom"/>
            <w:hideMark/>
          </w:tcPr>
          <w:p w:rsidR="007E12DD" w:rsidRDefault="007E12DD">
            <w:pPr>
              <w:rPr>
                <w:sz w:val="20"/>
                <w:szCs w:val="20"/>
              </w:rPr>
            </w:pPr>
            <w:r>
              <w:rPr>
                <w:sz w:val="20"/>
                <w:szCs w:val="20"/>
              </w:rPr>
              <w:t xml:space="preserve">                             46 </w:t>
            </w:r>
          </w:p>
        </w:tc>
      </w:tr>
      <w:tr w:rsidR="007E12DD" w:rsidTr="00F4511E">
        <w:trPr>
          <w:trHeight w:val="255"/>
        </w:trPr>
        <w:tc>
          <w:tcPr>
            <w:tcW w:w="0" w:type="auto"/>
            <w:tcBorders>
              <w:top w:val="nil"/>
              <w:left w:val="nil"/>
              <w:bottom w:val="nil"/>
              <w:right w:val="nil"/>
            </w:tcBorders>
            <w:shd w:val="clear" w:color="auto" w:fill="auto"/>
            <w:noWrap/>
            <w:vAlign w:val="bottom"/>
            <w:hideMark/>
          </w:tcPr>
          <w:p w:rsidR="007E12DD" w:rsidRDefault="007E12DD">
            <w:pPr>
              <w:rPr>
                <w:sz w:val="20"/>
                <w:szCs w:val="20"/>
              </w:rPr>
            </w:pPr>
            <w:r>
              <w:rPr>
                <w:sz w:val="20"/>
                <w:szCs w:val="20"/>
              </w:rPr>
              <w:t>Capitalized software products</w:t>
            </w:r>
          </w:p>
        </w:tc>
        <w:tc>
          <w:tcPr>
            <w:tcW w:w="0" w:type="auto"/>
            <w:tcBorders>
              <w:top w:val="nil"/>
              <w:left w:val="nil"/>
              <w:bottom w:val="nil"/>
              <w:right w:val="nil"/>
            </w:tcBorders>
            <w:shd w:val="clear" w:color="auto" w:fill="auto"/>
            <w:noWrap/>
            <w:vAlign w:val="bottom"/>
            <w:hideMark/>
          </w:tcPr>
          <w:p w:rsidR="007E12DD" w:rsidRDefault="007E12DD" w:rsidP="0065111F">
            <w:pPr>
              <w:rPr>
                <w:sz w:val="20"/>
                <w:szCs w:val="20"/>
              </w:rPr>
            </w:pPr>
            <w:r>
              <w:rPr>
                <w:sz w:val="20"/>
                <w:szCs w:val="20"/>
              </w:rPr>
              <w:t xml:space="preserve">                           </w:t>
            </w:r>
            <w:r w:rsidR="0065111F">
              <w:rPr>
                <w:sz w:val="20"/>
                <w:szCs w:val="20"/>
              </w:rPr>
              <w:t xml:space="preserve">990 </w:t>
            </w:r>
          </w:p>
        </w:tc>
      </w:tr>
      <w:tr w:rsidR="007E12DD" w:rsidTr="00F4511E">
        <w:trPr>
          <w:trHeight w:val="255"/>
        </w:trPr>
        <w:tc>
          <w:tcPr>
            <w:tcW w:w="0" w:type="auto"/>
            <w:tcBorders>
              <w:top w:val="nil"/>
              <w:left w:val="nil"/>
              <w:bottom w:val="nil"/>
              <w:right w:val="nil"/>
            </w:tcBorders>
            <w:shd w:val="clear" w:color="auto" w:fill="auto"/>
            <w:noWrap/>
            <w:vAlign w:val="bottom"/>
            <w:hideMark/>
          </w:tcPr>
          <w:p w:rsidR="007E12DD" w:rsidRDefault="007E12DD">
            <w:pPr>
              <w:rPr>
                <w:sz w:val="20"/>
                <w:szCs w:val="20"/>
              </w:rPr>
            </w:pPr>
            <w:r>
              <w:rPr>
                <w:sz w:val="20"/>
                <w:szCs w:val="20"/>
              </w:rPr>
              <w:t>Finite life intangible assets</w:t>
            </w:r>
          </w:p>
        </w:tc>
        <w:tc>
          <w:tcPr>
            <w:tcW w:w="0" w:type="auto"/>
            <w:tcBorders>
              <w:top w:val="nil"/>
              <w:left w:val="nil"/>
              <w:bottom w:val="nil"/>
              <w:right w:val="nil"/>
            </w:tcBorders>
            <w:shd w:val="clear" w:color="auto" w:fill="auto"/>
            <w:noWrap/>
            <w:vAlign w:val="bottom"/>
            <w:hideMark/>
          </w:tcPr>
          <w:p w:rsidR="007E12DD" w:rsidRDefault="007E12DD">
            <w:pPr>
              <w:rPr>
                <w:sz w:val="20"/>
                <w:szCs w:val="20"/>
              </w:rPr>
            </w:pPr>
            <w:r>
              <w:rPr>
                <w:sz w:val="20"/>
                <w:szCs w:val="20"/>
              </w:rPr>
              <w:t xml:space="preserve">                        1,020 </w:t>
            </w:r>
          </w:p>
        </w:tc>
      </w:tr>
      <w:tr w:rsidR="00820B66" w:rsidTr="00F4511E">
        <w:trPr>
          <w:trHeight w:val="255"/>
        </w:trPr>
        <w:tc>
          <w:tcPr>
            <w:tcW w:w="0" w:type="auto"/>
            <w:tcBorders>
              <w:top w:val="nil"/>
              <w:left w:val="nil"/>
              <w:bottom w:val="nil"/>
              <w:right w:val="nil"/>
            </w:tcBorders>
            <w:shd w:val="clear" w:color="auto" w:fill="auto"/>
            <w:noWrap/>
            <w:vAlign w:val="bottom"/>
          </w:tcPr>
          <w:p w:rsidR="00820B66" w:rsidRDefault="00820B66">
            <w:pPr>
              <w:rPr>
                <w:sz w:val="20"/>
                <w:szCs w:val="20"/>
              </w:rPr>
            </w:pPr>
            <w:r>
              <w:rPr>
                <w:sz w:val="20"/>
                <w:szCs w:val="20"/>
              </w:rPr>
              <w:t>Goodwill</w:t>
            </w:r>
          </w:p>
        </w:tc>
        <w:tc>
          <w:tcPr>
            <w:tcW w:w="0" w:type="auto"/>
            <w:tcBorders>
              <w:top w:val="nil"/>
              <w:left w:val="nil"/>
              <w:bottom w:val="nil"/>
              <w:right w:val="nil"/>
            </w:tcBorders>
            <w:shd w:val="clear" w:color="auto" w:fill="auto"/>
            <w:noWrap/>
            <w:vAlign w:val="bottom"/>
          </w:tcPr>
          <w:p w:rsidR="00820B66" w:rsidRDefault="00820B66" w:rsidP="00820B66">
            <w:pPr>
              <w:rPr>
                <w:sz w:val="20"/>
                <w:szCs w:val="20"/>
              </w:rPr>
            </w:pPr>
            <w:r>
              <w:rPr>
                <w:sz w:val="20"/>
                <w:szCs w:val="20"/>
              </w:rPr>
              <w:t xml:space="preserve">                           853</w:t>
            </w:r>
          </w:p>
        </w:tc>
      </w:tr>
      <w:tr w:rsidR="007E12DD" w:rsidTr="00F4511E">
        <w:trPr>
          <w:trHeight w:val="255"/>
        </w:trPr>
        <w:tc>
          <w:tcPr>
            <w:tcW w:w="0" w:type="auto"/>
            <w:tcBorders>
              <w:top w:val="nil"/>
              <w:left w:val="nil"/>
              <w:bottom w:val="nil"/>
              <w:right w:val="nil"/>
            </w:tcBorders>
            <w:shd w:val="clear" w:color="auto" w:fill="auto"/>
            <w:noWrap/>
            <w:vAlign w:val="bottom"/>
            <w:hideMark/>
          </w:tcPr>
          <w:p w:rsidR="007E12DD" w:rsidRDefault="00820B66">
            <w:pPr>
              <w:rPr>
                <w:sz w:val="20"/>
                <w:szCs w:val="20"/>
              </w:rPr>
            </w:pPr>
            <w:r>
              <w:rPr>
                <w:sz w:val="20"/>
                <w:szCs w:val="20"/>
              </w:rPr>
              <w:t>Deferred tax liability</w:t>
            </w:r>
          </w:p>
        </w:tc>
        <w:tc>
          <w:tcPr>
            <w:tcW w:w="0" w:type="auto"/>
            <w:tcBorders>
              <w:top w:val="nil"/>
              <w:left w:val="nil"/>
              <w:bottom w:val="nil"/>
              <w:right w:val="nil"/>
            </w:tcBorders>
            <w:shd w:val="clear" w:color="auto" w:fill="auto"/>
            <w:noWrap/>
            <w:vAlign w:val="bottom"/>
            <w:hideMark/>
          </w:tcPr>
          <w:p w:rsidR="007E12DD" w:rsidRDefault="007E12DD" w:rsidP="00820B66">
            <w:pPr>
              <w:rPr>
                <w:sz w:val="20"/>
                <w:szCs w:val="20"/>
              </w:rPr>
            </w:pPr>
            <w:r>
              <w:rPr>
                <w:sz w:val="20"/>
                <w:szCs w:val="20"/>
              </w:rPr>
              <w:t xml:space="preserve">                           </w:t>
            </w:r>
            <w:r w:rsidR="00820B66">
              <w:rPr>
                <w:sz w:val="20"/>
                <w:szCs w:val="20"/>
              </w:rPr>
              <w:t>(440)</w:t>
            </w:r>
            <w:r w:rsidR="0065111F">
              <w:rPr>
                <w:sz w:val="20"/>
                <w:szCs w:val="20"/>
              </w:rPr>
              <w:t xml:space="preserve"> </w:t>
            </w:r>
          </w:p>
        </w:tc>
      </w:tr>
      <w:tr w:rsidR="007E12DD" w:rsidTr="00F4511E">
        <w:trPr>
          <w:trHeight w:val="270"/>
        </w:trPr>
        <w:tc>
          <w:tcPr>
            <w:tcW w:w="0" w:type="auto"/>
            <w:tcBorders>
              <w:top w:val="nil"/>
              <w:left w:val="nil"/>
              <w:bottom w:val="nil"/>
              <w:right w:val="nil"/>
            </w:tcBorders>
            <w:shd w:val="clear" w:color="auto" w:fill="auto"/>
            <w:noWrap/>
            <w:vAlign w:val="bottom"/>
            <w:hideMark/>
          </w:tcPr>
          <w:p w:rsidR="007E12DD" w:rsidRDefault="007E12DD">
            <w:pPr>
              <w:rPr>
                <w:sz w:val="20"/>
                <w:szCs w:val="20"/>
              </w:rPr>
            </w:pPr>
          </w:p>
        </w:tc>
        <w:tc>
          <w:tcPr>
            <w:tcW w:w="0" w:type="auto"/>
            <w:tcBorders>
              <w:top w:val="single" w:sz="4" w:space="0" w:color="auto"/>
              <w:left w:val="nil"/>
              <w:bottom w:val="double" w:sz="6" w:space="0" w:color="auto"/>
              <w:right w:val="nil"/>
            </w:tcBorders>
            <w:shd w:val="clear" w:color="auto" w:fill="auto"/>
            <w:noWrap/>
            <w:vAlign w:val="bottom"/>
            <w:hideMark/>
          </w:tcPr>
          <w:p w:rsidR="007E12DD" w:rsidRDefault="007E12DD" w:rsidP="0065111F">
            <w:pPr>
              <w:rPr>
                <w:sz w:val="20"/>
                <w:szCs w:val="20"/>
              </w:rPr>
            </w:pPr>
            <w:r>
              <w:rPr>
                <w:sz w:val="20"/>
                <w:szCs w:val="20"/>
              </w:rPr>
              <w:t xml:space="preserve"> $                     </w:t>
            </w:r>
            <w:r w:rsidR="0065111F">
              <w:rPr>
                <w:sz w:val="20"/>
                <w:szCs w:val="20"/>
              </w:rPr>
              <w:t>2</w:t>
            </w:r>
            <w:r>
              <w:rPr>
                <w:sz w:val="20"/>
                <w:szCs w:val="20"/>
              </w:rPr>
              <w:t xml:space="preserve">,500 </w:t>
            </w:r>
          </w:p>
        </w:tc>
      </w:tr>
    </w:tbl>
    <w:p w:rsidR="007A7383" w:rsidRDefault="007A7383">
      <w:pPr>
        <w:rPr>
          <w:color w:val="000000"/>
          <w:sz w:val="20"/>
        </w:rPr>
      </w:pPr>
      <w:r>
        <w:rPr>
          <w:color w:val="000000"/>
          <w:sz w:val="20"/>
        </w:rPr>
        <w:tab/>
        <w:t xml:space="preserve"> </w:t>
      </w:r>
    </w:p>
    <w:p w:rsidR="0048761B" w:rsidRDefault="00F16B7A" w:rsidP="0039741E">
      <w:pPr>
        <w:rPr>
          <w:color w:val="000000"/>
          <w:sz w:val="20"/>
        </w:rPr>
      </w:pPr>
      <w:r>
        <w:rPr>
          <w:color w:val="000000"/>
          <w:sz w:val="20"/>
        </w:rPr>
        <w:tab/>
        <w:t xml:space="preserve"> </w:t>
      </w:r>
      <w:r w:rsidR="007A7383">
        <w:rPr>
          <w:color w:val="000000"/>
          <w:sz w:val="20"/>
        </w:rPr>
        <w:t xml:space="preserve">The Garritan operations results are included in the consolidated financial statements since the date of acquisition </w:t>
      </w:r>
      <w:r w:rsidR="00190ADE">
        <w:rPr>
          <w:color w:val="000000"/>
          <w:sz w:val="20"/>
        </w:rPr>
        <w:t>on</w:t>
      </w:r>
      <w:r w:rsidR="007A7383">
        <w:rPr>
          <w:color w:val="000000"/>
          <w:sz w:val="20"/>
        </w:rPr>
        <w:t xml:space="preserve"> December 30, 2011. The table below reflects our pro</w:t>
      </w:r>
      <w:r w:rsidR="00F671C5">
        <w:rPr>
          <w:color w:val="000000"/>
          <w:sz w:val="20"/>
        </w:rPr>
        <w:t xml:space="preserve"> </w:t>
      </w:r>
      <w:r w:rsidR="007A7383">
        <w:rPr>
          <w:color w:val="000000"/>
          <w:sz w:val="20"/>
        </w:rPr>
        <w:t>f</w:t>
      </w:r>
      <w:r w:rsidR="004A0576">
        <w:rPr>
          <w:color w:val="000000"/>
          <w:sz w:val="20"/>
        </w:rPr>
        <w:t xml:space="preserve">orma combined results of operations for the </w:t>
      </w:r>
      <w:r w:rsidR="00971784">
        <w:rPr>
          <w:color w:val="000000"/>
          <w:sz w:val="20"/>
        </w:rPr>
        <w:t>year</w:t>
      </w:r>
      <w:r w:rsidR="004A0576">
        <w:rPr>
          <w:color w:val="000000"/>
          <w:sz w:val="20"/>
        </w:rPr>
        <w:t xml:space="preserve"> ended December 31, </w:t>
      </w:r>
      <w:r w:rsidR="00DE3045">
        <w:rPr>
          <w:color w:val="000000"/>
          <w:sz w:val="20"/>
        </w:rPr>
        <w:t xml:space="preserve">2011 as if the acquisition had taken place on January 1, </w:t>
      </w:r>
      <w:r w:rsidR="00971784">
        <w:rPr>
          <w:color w:val="000000"/>
          <w:sz w:val="20"/>
        </w:rPr>
        <w:t>2011</w:t>
      </w:r>
      <w:r w:rsidR="004A0576">
        <w:rPr>
          <w:color w:val="000000"/>
          <w:sz w:val="20"/>
        </w:rPr>
        <w:t>.</w:t>
      </w:r>
    </w:p>
    <w:p w:rsidR="0011521D" w:rsidRDefault="0011521D" w:rsidP="0039741E">
      <w:pPr>
        <w:rPr>
          <w:color w:val="000000"/>
          <w:sz w:val="20"/>
        </w:rPr>
      </w:pPr>
    </w:p>
    <w:tbl>
      <w:tblPr>
        <w:tblW w:w="5637" w:type="dxa"/>
        <w:tblInd w:w="2586" w:type="dxa"/>
        <w:tblLook w:val="04A0" w:firstRow="1" w:lastRow="0" w:firstColumn="1" w:lastColumn="0" w:noHBand="0" w:noVBand="1"/>
      </w:tblPr>
      <w:tblGrid>
        <w:gridCol w:w="3402"/>
        <w:gridCol w:w="2235"/>
      </w:tblGrid>
      <w:tr w:rsidR="0011521D" w:rsidTr="00804A5E">
        <w:trPr>
          <w:trHeight w:val="263"/>
        </w:trPr>
        <w:tc>
          <w:tcPr>
            <w:tcW w:w="3402" w:type="dxa"/>
            <w:tcBorders>
              <w:top w:val="nil"/>
              <w:left w:val="nil"/>
              <w:bottom w:val="nil"/>
              <w:right w:val="nil"/>
            </w:tcBorders>
            <w:shd w:val="clear" w:color="auto" w:fill="auto"/>
            <w:noWrap/>
            <w:vAlign w:val="bottom"/>
            <w:hideMark/>
          </w:tcPr>
          <w:p w:rsidR="0011521D" w:rsidRDefault="0011521D">
            <w:pPr>
              <w:rPr>
                <w:sz w:val="20"/>
                <w:szCs w:val="20"/>
              </w:rPr>
            </w:pPr>
          </w:p>
        </w:tc>
        <w:tc>
          <w:tcPr>
            <w:tcW w:w="2235" w:type="dxa"/>
            <w:tcBorders>
              <w:top w:val="nil"/>
              <w:left w:val="nil"/>
              <w:bottom w:val="nil"/>
              <w:right w:val="nil"/>
            </w:tcBorders>
            <w:shd w:val="clear" w:color="auto" w:fill="auto"/>
            <w:noWrap/>
            <w:vAlign w:val="bottom"/>
            <w:hideMark/>
          </w:tcPr>
          <w:p w:rsidR="0011521D" w:rsidRDefault="0011521D">
            <w:pPr>
              <w:jc w:val="center"/>
              <w:rPr>
                <w:sz w:val="20"/>
                <w:szCs w:val="20"/>
              </w:rPr>
            </w:pPr>
            <w:r>
              <w:rPr>
                <w:sz w:val="20"/>
                <w:szCs w:val="20"/>
              </w:rPr>
              <w:t>Pro Forma</w:t>
            </w:r>
          </w:p>
        </w:tc>
      </w:tr>
      <w:tr w:rsidR="0011521D" w:rsidTr="00804A5E">
        <w:trPr>
          <w:trHeight w:val="263"/>
        </w:trPr>
        <w:tc>
          <w:tcPr>
            <w:tcW w:w="3402" w:type="dxa"/>
            <w:tcBorders>
              <w:top w:val="nil"/>
              <w:left w:val="nil"/>
              <w:bottom w:val="nil"/>
              <w:right w:val="nil"/>
            </w:tcBorders>
            <w:shd w:val="clear" w:color="auto" w:fill="auto"/>
            <w:noWrap/>
            <w:vAlign w:val="bottom"/>
            <w:hideMark/>
          </w:tcPr>
          <w:p w:rsidR="0011521D" w:rsidRDefault="0011521D">
            <w:pPr>
              <w:rPr>
                <w:sz w:val="20"/>
                <w:szCs w:val="20"/>
              </w:rPr>
            </w:pPr>
          </w:p>
        </w:tc>
        <w:tc>
          <w:tcPr>
            <w:tcW w:w="2235" w:type="dxa"/>
            <w:tcBorders>
              <w:top w:val="nil"/>
              <w:left w:val="nil"/>
              <w:bottom w:val="nil"/>
              <w:right w:val="nil"/>
            </w:tcBorders>
            <w:shd w:val="clear" w:color="auto" w:fill="auto"/>
            <w:noWrap/>
            <w:vAlign w:val="bottom"/>
            <w:hideMark/>
          </w:tcPr>
          <w:p w:rsidR="0011521D" w:rsidRDefault="0011521D">
            <w:pPr>
              <w:jc w:val="center"/>
              <w:rPr>
                <w:sz w:val="20"/>
                <w:szCs w:val="20"/>
              </w:rPr>
            </w:pPr>
            <w:r>
              <w:rPr>
                <w:sz w:val="20"/>
                <w:szCs w:val="20"/>
              </w:rPr>
              <w:t>For the year ending</w:t>
            </w:r>
          </w:p>
        </w:tc>
      </w:tr>
      <w:tr w:rsidR="0011521D" w:rsidTr="00804A5E">
        <w:trPr>
          <w:trHeight w:val="263"/>
        </w:trPr>
        <w:tc>
          <w:tcPr>
            <w:tcW w:w="3402" w:type="dxa"/>
            <w:tcBorders>
              <w:top w:val="nil"/>
              <w:left w:val="nil"/>
              <w:bottom w:val="nil"/>
              <w:right w:val="nil"/>
            </w:tcBorders>
            <w:shd w:val="clear" w:color="auto" w:fill="auto"/>
            <w:noWrap/>
            <w:vAlign w:val="bottom"/>
            <w:hideMark/>
          </w:tcPr>
          <w:p w:rsidR="0011521D" w:rsidRDefault="0011521D">
            <w:pPr>
              <w:rPr>
                <w:sz w:val="20"/>
                <w:szCs w:val="20"/>
              </w:rPr>
            </w:pPr>
          </w:p>
        </w:tc>
        <w:tc>
          <w:tcPr>
            <w:tcW w:w="2235" w:type="dxa"/>
            <w:tcBorders>
              <w:top w:val="nil"/>
              <w:left w:val="nil"/>
              <w:bottom w:val="single" w:sz="4" w:space="0" w:color="auto"/>
              <w:right w:val="nil"/>
            </w:tcBorders>
            <w:shd w:val="clear" w:color="auto" w:fill="auto"/>
            <w:noWrap/>
            <w:vAlign w:val="bottom"/>
            <w:hideMark/>
          </w:tcPr>
          <w:p w:rsidR="0011521D" w:rsidRDefault="0011521D">
            <w:pPr>
              <w:jc w:val="center"/>
              <w:rPr>
                <w:sz w:val="20"/>
                <w:szCs w:val="20"/>
              </w:rPr>
            </w:pPr>
            <w:r>
              <w:rPr>
                <w:sz w:val="20"/>
                <w:szCs w:val="20"/>
              </w:rPr>
              <w:t>December 31, 2011</w:t>
            </w:r>
          </w:p>
          <w:p w:rsidR="0011521D" w:rsidRPr="00804A5E" w:rsidRDefault="0011521D">
            <w:pPr>
              <w:jc w:val="center"/>
              <w:rPr>
                <w:i/>
                <w:sz w:val="20"/>
                <w:szCs w:val="20"/>
              </w:rPr>
            </w:pPr>
            <w:r w:rsidRPr="00804A5E">
              <w:rPr>
                <w:i/>
                <w:sz w:val="20"/>
                <w:szCs w:val="20"/>
              </w:rPr>
              <w:t>(unaudited)</w:t>
            </w:r>
          </w:p>
        </w:tc>
      </w:tr>
      <w:tr w:rsidR="0011521D" w:rsidTr="00804A5E">
        <w:trPr>
          <w:trHeight w:val="263"/>
        </w:trPr>
        <w:tc>
          <w:tcPr>
            <w:tcW w:w="3402" w:type="dxa"/>
            <w:tcBorders>
              <w:top w:val="nil"/>
              <w:left w:val="nil"/>
              <w:bottom w:val="nil"/>
              <w:right w:val="nil"/>
            </w:tcBorders>
            <w:shd w:val="clear" w:color="auto" w:fill="auto"/>
            <w:noWrap/>
            <w:vAlign w:val="bottom"/>
            <w:hideMark/>
          </w:tcPr>
          <w:p w:rsidR="0011521D" w:rsidRDefault="0011521D">
            <w:pPr>
              <w:rPr>
                <w:sz w:val="20"/>
                <w:szCs w:val="20"/>
              </w:rPr>
            </w:pPr>
          </w:p>
        </w:tc>
        <w:tc>
          <w:tcPr>
            <w:tcW w:w="2235" w:type="dxa"/>
            <w:tcBorders>
              <w:top w:val="nil"/>
              <w:left w:val="nil"/>
              <w:bottom w:val="nil"/>
              <w:right w:val="nil"/>
            </w:tcBorders>
            <w:shd w:val="clear" w:color="auto" w:fill="auto"/>
            <w:noWrap/>
            <w:vAlign w:val="bottom"/>
            <w:hideMark/>
          </w:tcPr>
          <w:p w:rsidR="0011521D" w:rsidRDefault="0011521D">
            <w:pPr>
              <w:rPr>
                <w:i/>
                <w:iCs/>
                <w:sz w:val="20"/>
                <w:szCs w:val="20"/>
              </w:rPr>
            </w:pPr>
          </w:p>
        </w:tc>
      </w:tr>
      <w:tr w:rsidR="0011521D" w:rsidTr="00804A5E">
        <w:trPr>
          <w:trHeight w:val="263"/>
        </w:trPr>
        <w:tc>
          <w:tcPr>
            <w:tcW w:w="3402" w:type="dxa"/>
            <w:tcBorders>
              <w:top w:val="nil"/>
              <w:left w:val="nil"/>
              <w:bottom w:val="nil"/>
              <w:right w:val="nil"/>
            </w:tcBorders>
            <w:shd w:val="clear" w:color="auto" w:fill="auto"/>
            <w:noWrap/>
            <w:vAlign w:val="bottom"/>
            <w:hideMark/>
          </w:tcPr>
          <w:p w:rsidR="0011521D" w:rsidRDefault="0011521D">
            <w:pPr>
              <w:rPr>
                <w:sz w:val="20"/>
                <w:szCs w:val="20"/>
              </w:rPr>
            </w:pPr>
            <w:r>
              <w:rPr>
                <w:sz w:val="20"/>
                <w:szCs w:val="20"/>
              </w:rPr>
              <w:t>Net Revenue</w:t>
            </w:r>
          </w:p>
        </w:tc>
        <w:tc>
          <w:tcPr>
            <w:tcW w:w="2235" w:type="dxa"/>
            <w:tcBorders>
              <w:top w:val="nil"/>
              <w:left w:val="nil"/>
              <w:bottom w:val="nil"/>
              <w:right w:val="nil"/>
            </w:tcBorders>
            <w:shd w:val="clear" w:color="auto" w:fill="auto"/>
            <w:noWrap/>
            <w:vAlign w:val="bottom"/>
            <w:hideMark/>
          </w:tcPr>
          <w:p w:rsidR="0011521D" w:rsidRDefault="0011521D">
            <w:pPr>
              <w:rPr>
                <w:sz w:val="20"/>
                <w:szCs w:val="20"/>
              </w:rPr>
            </w:pPr>
            <w:r>
              <w:rPr>
                <w:sz w:val="20"/>
                <w:szCs w:val="20"/>
              </w:rPr>
              <w:t xml:space="preserve"> $                       17,726 </w:t>
            </w:r>
          </w:p>
        </w:tc>
      </w:tr>
      <w:tr w:rsidR="0011521D" w:rsidTr="00804A5E">
        <w:trPr>
          <w:trHeight w:val="263"/>
        </w:trPr>
        <w:tc>
          <w:tcPr>
            <w:tcW w:w="3402" w:type="dxa"/>
            <w:tcBorders>
              <w:top w:val="nil"/>
              <w:left w:val="nil"/>
              <w:bottom w:val="nil"/>
              <w:right w:val="nil"/>
            </w:tcBorders>
            <w:shd w:val="clear" w:color="auto" w:fill="auto"/>
            <w:noWrap/>
            <w:vAlign w:val="bottom"/>
            <w:hideMark/>
          </w:tcPr>
          <w:p w:rsidR="0011521D" w:rsidRDefault="0011521D">
            <w:pPr>
              <w:rPr>
                <w:sz w:val="20"/>
                <w:szCs w:val="20"/>
              </w:rPr>
            </w:pPr>
            <w:r>
              <w:rPr>
                <w:sz w:val="20"/>
                <w:szCs w:val="20"/>
              </w:rPr>
              <w:t>Net Income</w:t>
            </w:r>
          </w:p>
        </w:tc>
        <w:tc>
          <w:tcPr>
            <w:tcW w:w="2235" w:type="dxa"/>
            <w:tcBorders>
              <w:top w:val="nil"/>
              <w:left w:val="nil"/>
              <w:bottom w:val="nil"/>
              <w:right w:val="nil"/>
            </w:tcBorders>
            <w:shd w:val="clear" w:color="auto" w:fill="auto"/>
            <w:noWrap/>
            <w:vAlign w:val="bottom"/>
            <w:hideMark/>
          </w:tcPr>
          <w:p w:rsidR="0011521D" w:rsidRDefault="0011521D">
            <w:pPr>
              <w:rPr>
                <w:sz w:val="20"/>
                <w:szCs w:val="20"/>
              </w:rPr>
            </w:pPr>
            <w:r>
              <w:rPr>
                <w:sz w:val="20"/>
                <w:szCs w:val="20"/>
              </w:rPr>
              <w:t xml:space="preserve"> $                              41 </w:t>
            </w:r>
          </w:p>
        </w:tc>
      </w:tr>
      <w:tr w:rsidR="0011521D" w:rsidTr="00804A5E">
        <w:trPr>
          <w:trHeight w:val="263"/>
        </w:trPr>
        <w:tc>
          <w:tcPr>
            <w:tcW w:w="3402" w:type="dxa"/>
            <w:tcBorders>
              <w:top w:val="nil"/>
              <w:left w:val="nil"/>
              <w:bottom w:val="nil"/>
              <w:right w:val="nil"/>
            </w:tcBorders>
            <w:shd w:val="clear" w:color="auto" w:fill="auto"/>
            <w:noWrap/>
            <w:vAlign w:val="bottom"/>
            <w:hideMark/>
          </w:tcPr>
          <w:p w:rsidR="0011521D" w:rsidRDefault="0011521D">
            <w:pPr>
              <w:rPr>
                <w:sz w:val="20"/>
                <w:szCs w:val="20"/>
              </w:rPr>
            </w:pPr>
            <w:r>
              <w:rPr>
                <w:sz w:val="20"/>
                <w:szCs w:val="20"/>
              </w:rPr>
              <w:t>Basic Income per Common Share</w:t>
            </w:r>
          </w:p>
        </w:tc>
        <w:tc>
          <w:tcPr>
            <w:tcW w:w="2235" w:type="dxa"/>
            <w:tcBorders>
              <w:top w:val="nil"/>
              <w:left w:val="nil"/>
              <w:bottom w:val="nil"/>
              <w:right w:val="nil"/>
            </w:tcBorders>
            <w:shd w:val="clear" w:color="auto" w:fill="auto"/>
            <w:noWrap/>
            <w:vAlign w:val="bottom"/>
            <w:hideMark/>
          </w:tcPr>
          <w:p w:rsidR="0011521D" w:rsidRDefault="0011521D">
            <w:pPr>
              <w:rPr>
                <w:sz w:val="20"/>
                <w:szCs w:val="20"/>
              </w:rPr>
            </w:pPr>
            <w:r>
              <w:rPr>
                <w:sz w:val="20"/>
                <w:szCs w:val="20"/>
              </w:rPr>
              <w:t xml:space="preserve"> $                           0.01 </w:t>
            </w:r>
          </w:p>
        </w:tc>
      </w:tr>
    </w:tbl>
    <w:p w:rsidR="0011521D" w:rsidRDefault="0011521D" w:rsidP="0039741E">
      <w:pPr>
        <w:rPr>
          <w:color w:val="000000"/>
          <w:sz w:val="20"/>
        </w:rPr>
      </w:pPr>
    </w:p>
    <w:p w:rsidR="00C25BFD" w:rsidRDefault="0011521D">
      <w:pPr>
        <w:rPr>
          <w:color w:val="000000"/>
          <w:sz w:val="20"/>
        </w:rPr>
      </w:pPr>
      <w:r>
        <w:rPr>
          <w:color w:val="000000"/>
          <w:sz w:val="20"/>
        </w:rPr>
        <w:tab/>
        <w:t xml:space="preserve">Combined results for </w:t>
      </w:r>
      <w:r w:rsidR="00266986">
        <w:rPr>
          <w:color w:val="000000"/>
          <w:sz w:val="20"/>
        </w:rPr>
        <w:t>the Company and Garritan</w:t>
      </w:r>
      <w:r>
        <w:rPr>
          <w:color w:val="000000"/>
          <w:sz w:val="20"/>
        </w:rPr>
        <w:t xml:space="preserve"> for the year ended December 31, 2011 were adjusted for the following in order to create the unaudited pro forma results in the table above:</w:t>
      </w:r>
    </w:p>
    <w:p w:rsidR="0011521D" w:rsidRDefault="0011521D">
      <w:pPr>
        <w:rPr>
          <w:color w:val="000000"/>
          <w:sz w:val="20"/>
        </w:rPr>
      </w:pPr>
    </w:p>
    <w:p w:rsidR="0011521D" w:rsidRDefault="0011521D" w:rsidP="00804A5E">
      <w:pPr>
        <w:pStyle w:val="ListParagraph"/>
        <w:numPr>
          <w:ilvl w:val="0"/>
          <w:numId w:val="32"/>
        </w:numPr>
        <w:rPr>
          <w:color w:val="000000"/>
          <w:sz w:val="20"/>
        </w:rPr>
      </w:pPr>
      <w:r>
        <w:rPr>
          <w:color w:val="000000"/>
          <w:sz w:val="20"/>
        </w:rPr>
        <w:t xml:space="preserve">Elimination of $14,000 in sales of product by Garritan Corporation to </w:t>
      </w:r>
      <w:proofErr w:type="spellStart"/>
      <w:r>
        <w:rPr>
          <w:color w:val="000000"/>
          <w:sz w:val="20"/>
        </w:rPr>
        <w:t>MakeMusic</w:t>
      </w:r>
      <w:proofErr w:type="spellEnd"/>
      <w:r>
        <w:rPr>
          <w:color w:val="000000"/>
          <w:sz w:val="20"/>
        </w:rPr>
        <w:t>, Inc. and the corresponding cost of revenues that would be eliminated in consolidation.</w:t>
      </w:r>
    </w:p>
    <w:p w:rsidR="0011521D" w:rsidRDefault="0011521D" w:rsidP="00804A5E">
      <w:pPr>
        <w:pStyle w:val="ListParagraph"/>
        <w:numPr>
          <w:ilvl w:val="0"/>
          <w:numId w:val="32"/>
        </w:numPr>
        <w:rPr>
          <w:color w:val="000000"/>
          <w:sz w:val="20"/>
        </w:rPr>
      </w:pPr>
      <w:r>
        <w:rPr>
          <w:color w:val="000000"/>
          <w:sz w:val="20"/>
        </w:rPr>
        <w:t>Adjustment of $29,000 for amortization based on the fair value of assets acquired and estimated useful lives.</w:t>
      </w:r>
    </w:p>
    <w:p w:rsidR="0011521D" w:rsidRDefault="0011521D" w:rsidP="00804A5E">
      <w:pPr>
        <w:pStyle w:val="ListParagraph"/>
        <w:numPr>
          <w:ilvl w:val="0"/>
          <w:numId w:val="32"/>
        </w:numPr>
        <w:rPr>
          <w:color w:val="000000"/>
          <w:sz w:val="20"/>
        </w:rPr>
      </w:pPr>
      <w:r>
        <w:rPr>
          <w:color w:val="000000"/>
          <w:sz w:val="20"/>
        </w:rPr>
        <w:t>Additional compensation expense of $87,000.</w:t>
      </w:r>
    </w:p>
    <w:p w:rsidR="0011521D" w:rsidRDefault="0011521D" w:rsidP="00804A5E">
      <w:pPr>
        <w:pStyle w:val="ListParagraph"/>
        <w:numPr>
          <w:ilvl w:val="0"/>
          <w:numId w:val="32"/>
        </w:numPr>
        <w:rPr>
          <w:color w:val="000000"/>
          <w:sz w:val="20"/>
        </w:rPr>
      </w:pPr>
      <w:r>
        <w:rPr>
          <w:color w:val="000000"/>
          <w:sz w:val="20"/>
        </w:rPr>
        <w:t xml:space="preserve">A reduction of $8,000 to eliminate depreciation expense for property and </w:t>
      </w:r>
      <w:r w:rsidR="008E47E8">
        <w:rPr>
          <w:color w:val="000000"/>
          <w:sz w:val="20"/>
        </w:rPr>
        <w:t>equipment not acquired in the transaction.</w:t>
      </w:r>
    </w:p>
    <w:p w:rsidR="008E47E8" w:rsidRDefault="008E47E8" w:rsidP="00804A5E">
      <w:pPr>
        <w:pStyle w:val="ListParagraph"/>
        <w:numPr>
          <w:ilvl w:val="0"/>
          <w:numId w:val="32"/>
        </w:numPr>
        <w:rPr>
          <w:color w:val="000000"/>
          <w:sz w:val="20"/>
        </w:rPr>
      </w:pPr>
      <w:r>
        <w:rPr>
          <w:color w:val="000000"/>
          <w:sz w:val="20"/>
        </w:rPr>
        <w:t>A reduction in interest income of $14,000 associated with the reduction of the Company’s cash used in funding the acquisition.</w:t>
      </w:r>
    </w:p>
    <w:p w:rsidR="008E47E8" w:rsidRDefault="008E47E8" w:rsidP="00804A5E">
      <w:pPr>
        <w:pStyle w:val="ListParagraph"/>
        <w:numPr>
          <w:ilvl w:val="0"/>
          <w:numId w:val="32"/>
        </w:numPr>
        <w:rPr>
          <w:color w:val="000000"/>
          <w:sz w:val="20"/>
        </w:rPr>
      </w:pPr>
      <w:r>
        <w:rPr>
          <w:color w:val="000000"/>
          <w:sz w:val="20"/>
        </w:rPr>
        <w:t>Tax expense of $21,000 using an effective tax rate of 37%.</w:t>
      </w:r>
    </w:p>
    <w:p w:rsidR="008E47E8" w:rsidRDefault="008E47E8">
      <w:pPr>
        <w:rPr>
          <w:color w:val="000000"/>
          <w:sz w:val="20"/>
        </w:rPr>
      </w:pPr>
    </w:p>
    <w:p w:rsidR="008E47E8" w:rsidRPr="00804A5E" w:rsidRDefault="008E47E8" w:rsidP="00804A5E">
      <w:pPr>
        <w:ind w:firstLine="360"/>
        <w:rPr>
          <w:color w:val="000000"/>
          <w:sz w:val="20"/>
        </w:rPr>
      </w:pPr>
      <w:r>
        <w:rPr>
          <w:color w:val="000000"/>
          <w:sz w:val="20"/>
        </w:rPr>
        <w:t>The pro forma unaudited results do not purport to be indicative of the results which would have been obtained had the acquisition been completed as of the beginning of the earliest period presented. In addition, they do not include any benefits that may result from the acquisition due to synergies that may b</w:t>
      </w:r>
      <w:r w:rsidR="008A37AB">
        <w:rPr>
          <w:color w:val="000000"/>
          <w:sz w:val="20"/>
        </w:rPr>
        <w:t>e</w:t>
      </w:r>
      <w:r>
        <w:rPr>
          <w:color w:val="000000"/>
          <w:sz w:val="20"/>
        </w:rPr>
        <w:t xml:space="preserve"> derived. </w:t>
      </w:r>
      <w:r>
        <w:rPr>
          <w:color w:val="000000"/>
          <w:sz w:val="20"/>
        </w:rPr>
        <w:tab/>
      </w:r>
    </w:p>
    <w:p w:rsidR="007E12DD" w:rsidRDefault="007E12DD">
      <w:pPr>
        <w:rPr>
          <w:color w:val="000000"/>
          <w:sz w:val="20"/>
        </w:rPr>
      </w:pPr>
    </w:p>
    <w:p w:rsidR="004851D7" w:rsidRDefault="00B94119">
      <w:pPr>
        <w:ind w:left="1440" w:hanging="1440"/>
        <w:rPr>
          <w:b/>
          <w:bCs/>
          <w:color w:val="000000"/>
          <w:sz w:val="20"/>
        </w:rPr>
      </w:pPr>
      <w:r>
        <w:rPr>
          <w:b/>
          <w:bCs/>
          <w:color w:val="000000"/>
          <w:sz w:val="20"/>
        </w:rPr>
        <w:t xml:space="preserve">12. </w:t>
      </w:r>
      <w:r w:rsidR="00996664">
        <w:rPr>
          <w:b/>
          <w:bCs/>
          <w:color w:val="000000"/>
          <w:sz w:val="20"/>
        </w:rPr>
        <w:t xml:space="preserve"> Subsequent events</w:t>
      </w:r>
    </w:p>
    <w:p w:rsidR="00B94119" w:rsidRDefault="00B94119">
      <w:pPr>
        <w:ind w:left="1440" w:hanging="1440"/>
        <w:rPr>
          <w:b/>
          <w:bCs/>
          <w:color w:val="000000"/>
          <w:sz w:val="20"/>
        </w:rPr>
      </w:pPr>
    </w:p>
    <w:p w:rsidR="00C576B1" w:rsidRDefault="00C576B1" w:rsidP="00FB5E1E">
      <w:pPr>
        <w:ind w:firstLine="720"/>
        <w:rPr>
          <w:bCs/>
          <w:color w:val="000000"/>
          <w:sz w:val="20"/>
        </w:rPr>
      </w:pPr>
      <w:r>
        <w:rPr>
          <w:bCs/>
          <w:color w:val="000000"/>
          <w:sz w:val="20"/>
        </w:rPr>
        <w:t>On February 21, 2012, the Board of Directors of the Company adopted a Tax Asset Protection Plan (the “Plan”) and declared a dividend distribution consisting of one preferred stock purchase right (a “Right”) for each outstanding share of the Company’s common stock. The dividend is payable to the Company’s shareholders of record as of the close of business on March 2, 2012 (the “Record Date”), as well as to holders of common stock issued after that date. The terms of the Rights are set forth in the Plan, by and between the Company and Wells Fargo Bank, N.A. (the “Rights Agent”)</w:t>
      </w:r>
      <w:proofErr w:type="gramStart"/>
      <w:r w:rsidR="004366FE">
        <w:rPr>
          <w:bCs/>
          <w:color w:val="000000"/>
          <w:sz w:val="20"/>
        </w:rPr>
        <w:t>.</w:t>
      </w:r>
      <w:r>
        <w:rPr>
          <w:bCs/>
          <w:color w:val="000000"/>
          <w:sz w:val="20"/>
        </w:rPr>
        <w:t>.</w:t>
      </w:r>
      <w:proofErr w:type="gramEnd"/>
      <w:r>
        <w:rPr>
          <w:bCs/>
          <w:color w:val="000000"/>
          <w:sz w:val="20"/>
        </w:rPr>
        <w:t xml:space="preserve"> </w:t>
      </w:r>
    </w:p>
    <w:p w:rsidR="00C576B1" w:rsidRDefault="00C576B1" w:rsidP="00C576B1">
      <w:pPr>
        <w:rPr>
          <w:bCs/>
          <w:color w:val="000000"/>
          <w:sz w:val="20"/>
        </w:rPr>
      </w:pPr>
    </w:p>
    <w:p w:rsidR="00C576B1" w:rsidRDefault="00C576B1" w:rsidP="00C576B1">
      <w:pPr>
        <w:rPr>
          <w:bCs/>
          <w:color w:val="000000"/>
          <w:sz w:val="20"/>
        </w:rPr>
      </w:pPr>
      <w:r>
        <w:rPr>
          <w:bCs/>
          <w:color w:val="000000"/>
          <w:sz w:val="20"/>
        </w:rPr>
        <w:tab/>
        <w:t xml:space="preserve">The purpose of the Plan is to protect the long term value of the Company’s accumulated net operating losses and other tax assets (collectively, “NOLs”) for federal and state income tax purposes. The Company’s ability to use the NOLs in the future may be significantly limited if it experiences an “ownership change” for U.S. federal income tax purposes. In general, an ownership change will occur when the percentage of the Company’s ownership (by value) of one or more “5 percent shareholders” (as defined in the Internal Revenue Code of 1986, as amended) has increased by more than 50 percent over the lowest percentage owned by such shareholders at any time during the prior three years (calculated on a rolling basis). </w:t>
      </w:r>
    </w:p>
    <w:p w:rsidR="00C576B1" w:rsidRDefault="00C576B1" w:rsidP="00C576B1">
      <w:pPr>
        <w:rPr>
          <w:bCs/>
          <w:color w:val="000000"/>
          <w:sz w:val="20"/>
        </w:rPr>
      </w:pPr>
    </w:p>
    <w:p w:rsidR="00C576B1" w:rsidRDefault="00C576B1" w:rsidP="00C576B1">
      <w:pPr>
        <w:rPr>
          <w:bCs/>
          <w:color w:val="000000"/>
          <w:sz w:val="20"/>
        </w:rPr>
      </w:pPr>
      <w:r>
        <w:rPr>
          <w:bCs/>
          <w:color w:val="000000"/>
          <w:sz w:val="20"/>
        </w:rPr>
        <w:tab/>
        <w:t xml:space="preserve">In connection with the Plan, the Company’s Board of Directors declared a dividend distribution consisting of one preferred stock purchase right (a “Right”) for each outstanding share of the Company’s common stock, payable to record holders of the Company’s common stock as of the close of business on March 2, 2012, as well as to holders of common stock issued after that date. The Rights are not currently exercisable. The exercise of the Rights is triggered when a person or group acquires shares, or announces a tender offer to acquire shares, resulting in ownership of 4.95% or more of Company common stock, or by the future acquisition of any shares of Company common stock by any person or group who held 4.95% or more of the Company’s outstanding common stock as of the date the Plan was adopted. The Plan operates by voiding the Rights of any acquiring person and making all other Rights exercisable for a number of shares of Company common stock, Company Series </w:t>
      </w:r>
      <w:proofErr w:type="gramStart"/>
      <w:r>
        <w:rPr>
          <w:bCs/>
          <w:color w:val="000000"/>
          <w:sz w:val="20"/>
        </w:rPr>
        <w:t>A</w:t>
      </w:r>
      <w:proofErr w:type="gramEnd"/>
      <w:r>
        <w:rPr>
          <w:bCs/>
          <w:color w:val="000000"/>
          <w:sz w:val="20"/>
        </w:rPr>
        <w:t xml:space="preserve"> Junior Participating Preferred Stock or other Company capital stock.  </w:t>
      </w:r>
    </w:p>
    <w:p w:rsidR="00C576B1" w:rsidRDefault="00C576B1" w:rsidP="00C576B1">
      <w:pPr>
        <w:rPr>
          <w:bCs/>
          <w:color w:val="000000"/>
          <w:sz w:val="20"/>
        </w:rPr>
      </w:pPr>
    </w:p>
    <w:p w:rsidR="00C576B1" w:rsidRDefault="00C576B1" w:rsidP="00C576B1">
      <w:pPr>
        <w:rPr>
          <w:bCs/>
          <w:color w:val="000000"/>
          <w:sz w:val="20"/>
        </w:rPr>
      </w:pPr>
      <w:r>
        <w:rPr>
          <w:bCs/>
          <w:color w:val="000000"/>
          <w:sz w:val="20"/>
        </w:rPr>
        <w:tab/>
        <w:t>The Plan will expire upon the earliest of (</w:t>
      </w:r>
      <w:proofErr w:type="spellStart"/>
      <w:r>
        <w:rPr>
          <w:bCs/>
          <w:color w:val="000000"/>
          <w:sz w:val="20"/>
        </w:rPr>
        <w:t>i</w:t>
      </w:r>
      <w:proofErr w:type="spellEnd"/>
      <w:r>
        <w:rPr>
          <w:bCs/>
          <w:color w:val="000000"/>
          <w:sz w:val="20"/>
        </w:rPr>
        <w:t xml:space="preserve">) February 20, 2015; (ii) the time at which the Rights are redeemed or exchanged under the Plan; </w:t>
      </w:r>
      <w:r w:rsidR="0045741E">
        <w:rPr>
          <w:bCs/>
          <w:color w:val="000000"/>
          <w:sz w:val="20"/>
        </w:rPr>
        <w:t xml:space="preserve">or </w:t>
      </w:r>
      <w:r>
        <w:rPr>
          <w:bCs/>
          <w:color w:val="000000"/>
          <w:sz w:val="20"/>
        </w:rPr>
        <w:t>(iii) the time at which the Board determines that the Plan is no longer necessary for the preservation of the tax benefits.</w:t>
      </w:r>
    </w:p>
    <w:p w:rsidR="00266986" w:rsidRDefault="00266986" w:rsidP="00C576B1">
      <w:pPr>
        <w:rPr>
          <w:bCs/>
          <w:color w:val="000000"/>
          <w:sz w:val="20"/>
        </w:rPr>
      </w:pPr>
    </w:p>
    <w:p w:rsidR="004851D7" w:rsidRDefault="004851D7" w:rsidP="00D51EA1">
      <w:pPr>
        <w:pStyle w:val="Heading2"/>
      </w:pPr>
      <w:bookmarkStart w:id="28" w:name="_Toc319405347"/>
      <w:proofErr w:type="gramStart"/>
      <w:r>
        <w:t>ITEM 9.</w:t>
      </w:r>
      <w:proofErr w:type="gramEnd"/>
      <w:r>
        <w:tab/>
        <w:t>CHANGES IN AND DISAGREEMENTS WITH ACCOUNTANTS ON ACCOUNTING AND FINANCIAL DISCLOSURE</w:t>
      </w:r>
      <w:bookmarkEnd w:id="28"/>
    </w:p>
    <w:p w:rsidR="004851D7" w:rsidRDefault="004851D7">
      <w:pPr>
        <w:rPr>
          <w:color w:val="000000"/>
          <w:sz w:val="20"/>
        </w:rPr>
      </w:pPr>
    </w:p>
    <w:p w:rsidR="004851D7" w:rsidRDefault="004851D7">
      <w:pPr>
        <w:rPr>
          <w:color w:val="000000"/>
          <w:sz w:val="20"/>
        </w:rPr>
      </w:pPr>
      <w:r>
        <w:rPr>
          <w:color w:val="000000"/>
          <w:sz w:val="20"/>
        </w:rPr>
        <w:tab/>
      </w:r>
      <w:r>
        <w:rPr>
          <w:color w:val="000000"/>
          <w:sz w:val="20"/>
        </w:rPr>
        <w:tab/>
        <w:t>None</w:t>
      </w:r>
    </w:p>
    <w:p w:rsidR="004851D7" w:rsidRDefault="004851D7">
      <w:pPr>
        <w:rPr>
          <w:b/>
          <w:bCs/>
          <w:color w:val="000000"/>
          <w:sz w:val="20"/>
        </w:rPr>
      </w:pPr>
    </w:p>
    <w:p w:rsidR="004851D7" w:rsidRDefault="004851D7" w:rsidP="00D51EA1">
      <w:pPr>
        <w:pStyle w:val="Heading2"/>
      </w:pPr>
      <w:bookmarkStart w:id="29" w:name="_Toc319405348"/>
      <w:proofErr w:type="gramStart"/>
      <w:r>
        <w:t>ITEM 9A.</w:t>
      </w:r>
      <w:proofErr w:type="gramEnd"/>
      <w:r>
        <w:tab/>
        <w:t>CONTROLS AND PROCEDURES</w:t>
      </w:r>
      <w:bookmarkEnd w:id="29"/>
    </w:p>
    <w:p w:rsidR="004851D7" w:rsidRDefault="004851D7">
      <w:pPr>
        <w:rPr>
          <w:b/>
        </w:rPr>
      </w:pPr>
    </w:p>
    <w:p w:rsidR="004851D7" w:rsidRDefault="004851D7">
      <w:pPr>
        <w:ind w:firstLine="720"/>
        <w:rPr>
          <w:sz w:val="20"/>
        </w:rPr>
      </w:pPr>
      <w:r>
        <w:rPr>
          <w:sz w:val="20"/>
        </w:rPr>
        <w:t>We maintain disclosure controls and procedures that are designed to ensure that information required to be disclosed in our Exchange Act reports is recorded, processed, summarized, and reported within the timelines specified in the Securities and Exchange Commission’s rules and forms, and that such information is accumulated and communicated to our management, including our Chief Executive Officer and Chief Financial Officer, as appropriate, to allow timely decisions regarding required disclosure. In designing and evaluating the disclosure controls and procedures, management recognized that any controls and procedures, no matter how well designed and operated, can only provide reasonable assurance of achieving the desired control objectives, and in reaching a reasonable level of assurance, management necessarily was required to apply its judgment in evaluating the cost-benefit relationship of possible controls and procedures.</w:t>
      </w:r>
    </w:p>
    <w:p w:rsidR="004851D7" w:rsidRDefault="004851D7">
      <w:pPr>
        <w:rPr>
          <w:sz w:val="20"/>
        </w:rPr>
      </w:pPr>
    </w:p>
    <w:p w:rsidR="004851D7" w:rsidRDefault="004851D7">
      <w:pPr>
        <w:ind w:firstLine="720"/>
        <w:rPr>
          <w:sz w:val="20"/>
        </w:rPr>
      </w:pPr>
      <w:r>
        <w:rPr>
          <w:sz w:val="20"/>
        </w:rPr>
        <w:t xml:space="preserve">Our Chief Executive Officer and Chief Financial Officer evaluated the effectiveness of our disclosure controls and procedures (as defined in Exchange Act Rules 13a-15(e) and 15d-15(e)) as of the end of the period covering this report. Based on this evaluation, our Chief Executive Officer and Chief Financial Officer concluded that our disclosure controls and procedures are effective to provide reasonable assurance that information required to be disclosed in the reports that are filed or submitted under the Exchange Act is recorded, processed, summarized, and reported within the time periods specified by the Securities and Exchange Commission’s rules and forms and that our disclosure controls and procedures are designed to ensure that information required to be disclosed in the reports that we file or submit under the Exchange Act is accumulated and communicated to our management including our Chief Executive Officer and Chief Financial Officer, as appropriate to allow timely decisions regarding required disclosure. </w:t>
      </w:r>
    </w:p>
    <w:p w:rsidR="004851D7" w:rsidRDefault="004851D7">
      <w:pPr>
        <w:rPr>
          <w:sz w:val="20"/>
        </w:rPr>
      </w:pPr>
    </w:p>
    <w:p w:rsidR="004851D7" w:rsidRDefault="004851D7">
      <w:pPr>
        <w:rPr>
          <w:b/>
          <w:sz w:val="20"/>
        </w:rPr>
      </w:pPr>
      <w:r>
        <w:rPr>
          <w:b/>
          <w:sz w:val="20"/>
        </w:rPr>
        <w:t xml:space="preserve">Management’s Report on Internal Control </w:t>
      </w:r>
      <w:proofErr w:type="gramStart"/>
      <w:r>
        <w:rPr>
          <w:b/>
          <w:sz w:val="20"/>
        </w:rPr>
        <w:t>Over</w:t>
      </w:r>
      <w:proofErr w:type="gramEnd"/>
      <w:r>
        <w:rPr>
          <w:b/>
          <w:sz w:val="20"/>
        </w:rPr>
        <w:t xml:space="preserve"> Financial Reporting</w:t>
      </w:r>
    </w:p>
    <w:p w:rsidR="004851D7" w:rsidRDefault="004851D7">
      <w:pPr>
        <w:rPr>
          <w:sz w:val="20"/>
        </w:rPr>
      </w:pPr>
      <w:r>
        <w:rPr>
          <w:sz w:val="20"/>
        </w:rPr>
        <w:t xml:space="preserve"> </w:t>
      </w:r>
    </w:p>
    <w:p w:rsidR="004851D7" w:rsidRDefault="004851D7">
      <w:pPr>
        <w:ind w:firstLine="720"/>
        <w:rPr>
          <w:sz w:val="20"/>
        </w:rPr>
      </w:pPr>
      <w:r>
        <w:rPr>
          <w:sz w:val="20"/>
        </w:rPr>
        <w:t xml:space="preserve">Our management is responsible for establishing and maintaining adequate internal control over financial reporting, as such term is defined in Exchange Act Rules 13a-15(f) and 15d-15(f)). Internal control over financial reporting refers to the process designed by, or under the supervision of, our Chief Executive Officer and Chief Financial Officer, and effected by our Board of Directors, management and other personnel, to provide reasonable assurance regarding the reliability of financial reporting and the preparation of financial statements for external purposes in accordance with generally accepted accounting principles, and includes those policies and procedures that: </w:t>
      </w:r>
    </w:p>
    <w:p w:rsidR="004851D7" w:rsidRDefault="004851D7">
      <w:pPr>
        <w:rPr>
          <w:sz w:val="20"/>
        </w:rPr>
      </w:pPr>
      <w:r>
        <w:rPr>
          <w:sz w:val="20"/>
        </w:rPr>
        <w:t xml:space="preserve"> </w:t>
      </w:r>
    </w:p>
    <w:p w:rsidR="004851D7" w:rsidRDefault="004851D7">
      <w:pPr>
        <w:ind w:left="720"/>
        <w:rPr>
          <w:sz w:val="20"/>
        </w:rPr>
      </w:pPr>
      <w:r>
        <w:rPr>
          <w:sz w:val="20"/>
        </w:rPr>
        <w:t xml:space="preserve">(1) Pertain to the maintenance of records that in reasonable detail accurately and fairly reflect the transactions and dispositions of our assets; </w:t>
      </w:r>
    </w:p>
    <w:p w:rsidR="004851D7" w:rsidRDefault="004851D7">
      <w:pPr>
        <w:ind w:left="720"/>
        <w:rPr>
          <w:sz w:val="20"/>
        </w:rPr>
      </w:pPr>
      <w:r>
        <w:rPr>
          <w:sz w:val="20"/>
        </w:rPr>
        <w:t xml:space="preserve"> </w:t>
      </w:r>
    </w:p>
    <w:p w:rsidR="004851D7" w:rsidRDefault="004851D7">
      <w:pPr>
        <w:ind w:left="720"/>
        <w:rPr>
          <w:sz w:val="20"/>
        </w:rPr>
      </w:pPr>
      <w:r>
        <w:rPr>
          <w:sz w:val="20"/>
        </w:rPr>
        <w:t xml:space="preserve">(2) Provide reasonable assurance that transactions are recorded as necessary to permit preparation of financial statements in accordance with generally accepted accounting principles, and that our receipts and expenditures are being made only in accordance with authorization of our management and directors; and </w:t>
      </w:r>
    </w:p>
    <w:p w:rsidR="004851D7" w:rsidRDefault="004851D7">
      <w:pPr>
        <w:ind w:left="720"/>
        <w:rPr>
          <w:sz w:val="20"/>
        </w:rPr>
      </w:pPr>
      <w:r>
        <w:rPr>
          <w:sz w:val="20"/>
        </w:rPr>
        <w:t xml:space="preserve"> </w:t>
      </w:r>
    </w:p>
    <w:p w:rsidR="004851D7" w:rsidRDefault="004851D7">
      <w:pPr>
        <w:ind w:left="720"/>
        <w:rPr>
          <w:sz w:val="20"/>
        </w:rPr>
      </w:pPr>
      <w:r>
        <w:rPr>
          <w:sz w:val="20"/>
        </w:rPr>
        <w:t xml:space="preserve">(3) Provide reasonable assurance regarding prevention or timely detection of unauthorized acquisition, use, or disposition of our assets that could have a material effect on the financial statements. </w:t>
      </w:r>
    </w:p>
    <w:p w:rsidR="004851D7" w:rsidRDefault="004851D7">
      <w:pPr>
        <w:rPr>
          <w:sz w:val="20"/>
        </w:rPr>
      </w:pPr>
      <w:r>
        <w:rPr>
          <w:sz w:val="20"/>
        </w:rPr>
        <w:t xml:space="preserve"> </w:t>
      </w:r>
    </w:p>
    <w:p w:rsidR="004851D7" w:rsidRDefault="004851D7">
      <w:pPr>
        <w:ind w:firstLine="720"/>
        <w:rPr>
          <w:sz w:val="20"/>
        </w:rPr>
      </w:pPr>
      <w:r>
        <w:rPr>
          <w:sz w:val="20"/>
        </w:rPr>
        <w:t xml:space="preserve">Because of its inherent limitations, internal control over financial reporting cannot provide absolute assurance of preventing and detecting misstatements on a timely basis. Internal control over financial reporting is a process that involves human diligence and compliance and is subject to lapses in judgment and breakdowns resulting from human failures. Internal control over financial reporting also can be circumvented by collusion or improper management override. In addition, projections of any evaluation of effectiveness to future periods are subject to the risks that controls may become inadequate due to changes in conditions, or that the degree of compliance with policies or procedures may deteriorate. However, these inherent limitations are known features of the financial reporting process. It is possible to design into the process safeguards to reduce, though not eliminate, the risk that misstatements are not prevented or detected on a timely basis. Management is responsible for establishing and maintaining adequate internal control over financial reporting for the Company. </w:t>
      </w:r>
    </w:p>
    <w:p w:rsidR="004851D7" w:rsidRDefault="004851D7">
      <w:pPr>
        <w:rPr>
          <w:sz w:val="20"/>
        </w:rPr>
      </w:pPr>
      <w:r>
        <w:rPr>
          <w:sz w:val="20"/>
        </w:rPr>
        <w:t xml:space="preserve"> </w:t>
      </w:r>
    </w:p>
    <w:p w:rsidR="004851D7" w:rsidRDefault="004851D7">
      <w:pPr>
        <w:ind w:firstLine="720"/>
        <w:rPr>
          <w:sz w:val="20"/>
        </w:rPr>
      </w:pPr>
      <w:r>
        <w:rPr>
          <w:sz w:val="20"/>
        </w:rPr>
        <w:t xml:space="preserve">Management has used the framework set forth in the report entitled Internal Control-Integrated Framework published by the Committee of Sponsoring Organizations of the </w:t>
      </w:r>
      <w:proofErr w:type="spellStart"/>
      <w:r>
        <w:rPr>
          <w:sz w:val="20"/>
        </w:rPr>
        <w:t>Treadway</w:t>
      </w:r>
      <w:proofErr w:type="spellEnd"/>
      <w:r>
        <w:rPr>
          <w:sz w:val="20"/>
        </w:rPr>
        <w:t xml:space="preserve"> Commission, known as COSO, to evaluate the effectiveness of our internal control over financial reporting. Based on this assessment, management has concluded that, as of December 31, </w:t>
      </w:r>
      <w:r w:rsidR="00B94119">
        <w:rPr>
          <w:sz w:val="20"/>
        </w:rPr>
        <w:t>2011</w:t>
      </w:r>
      <w:r>
        <w:rPr>
          <w:sz w:val="20"/>
        </w:rPr>
        <w:t xml:space="preserve">, our internal control over financial reporting was effective to provide reasonable assurance regarding the reliability of financial reporting and the preparation and presentation of financial statements for external purposes in accordance with generally accepted accounting principles. </w:t>
      </w:r>
    </w:p>
    <w:p w:rsidR="004851D7" w:rsidRDefault="004851D7">
      <w:pPr>
        <w:rPr>
          <w:sz w:val="20"/>
        </w:rPr>
      </w:pPr>
      <w:r>
        <w:rPr>
          <w:sz w:val="20"/>
        </w:rPr>
        <w:t xml:space="preserve"> </w:t>
      </w:r>
    </w:p>
    <w:p w:rsidR="004851D7" w:rsidRDefault="004851D7">
      <w:pPr>
        <w:ind w:firstLine="720"/>
        <w:rPr>
          <w:sz w:val="20"/>
        </w:rPr>
      </w:pPr>
      <w:r>
        <w:rPr>
          <w:sz w:val="20"/>
        </w:rPr>
        <w:t>This annual report does not include an attestation report of our independent registered public accounting firm regarding internal control over financial reporting. Management's report was not subject to attestation by the Company's independent registered public accounting firm pursuant to Section 989G of the Dodd-Frank Wall Street Reform and Consumer Protection Act, which exempts smaller reporting companies from the auditor attestation requirement.</w:t>
      </w:r>
    </w:p>
    <w:p w:rsidR="004851D7" w:rsidRDefault="004851D7">
      <w:pPr>
        <w:rPr>
          <w:color w:val="000000"/>
          <w:sz w:val="20"/>
        </w:rPr>
      </w:pPr>
    </w:p>
    <w:p w:rsidR="004851D7" w:rsidRDefault="004851D7">
      <w:pPr>
        <w:rPr>
          <w:b/>
          <w:bCs/>
          <w:color w:val="000000"/>
          <w:sz w:val="20"/>
        </w:rPr>
      </w:pPr>
      <w:r>
        <w:rPr>
          <w:b/>
          <w:bCs/>
          <w:color w:val="000000"/>
          <w:sz w:val="20"/>
        </w:rPr>
        <w:t>Changes in Internal Controls</w:t>
      </w:r>
    </w:p>
    <w:p w:rsidR="004851D7" w:rsidRDefault="004851D7">
      <w:pPr>
        <w:rPr>
          <w:color w:val="000000"/>
          <w:sz w:val="20"/>
        </w:rPr>
      </w:pPr>
    </w:p>
    <w:p w:rsidR="004851D7" w:rsidRDefault="004851D7">
      <w:pPr>
        <w:rPr>
          <w:sz w:val="20"/>
        </w:rPr>
      </w:pPr>
      <w:r>
        <w:rPr>
          <w:color w:val="000000"/>
          <w:sz w:val="16"/>
        </w:rPr>
        <w:tab/>
      </w:r>
      <w:r>
        <w:rPr>
          <w:sz w:val="20"/>
        </w:rPr>
        <w:t xml:space="preserve">There has been no change in our internal control over financial reporting during our most recent fiscal quarter that has materially affected, or is reasonably likely to materially affect, our internal control over financial reporting. </w:t>
      </w:r>
    </w:p>
    <w:p w:rsidR="004851D7" w:rsidRDefault="004851D7">
      <w:pPr>
        <w:rPr>
          <w:b/>
          <w:bCs/>
          <w:color w:val="000000"/>
          <w:sz w:val="20"/>
        </w:rPr>
      </w:pPr>
    </w:p>
    <w:p w:rsidR="004851D7" w:rsidRDefault="004851D7">
      <w:pPr>
        <w:rPr>
          <w:b/>
          <w:bCs/>
          <w:color w:val="000000"/>
          <w:sz w:val="20"/>
        </w:rPr>
      </w:pPr>
    </w:p>
    <w:p w:rsidR="004851D7" w:rsidRDefault="004851D7" w:rsidP="00D51EA1">
      <w:pPr>
        <w:pStyle w:val="Heading2"/>
      </w:pPr>
      <w:bookmarkStart w:id="30" w:name="_Toc319405349"/>
      <w:proofErr w:type="gramStart"/>
      <w:r>
        <w:t>ITEM 9B.</w:t>
      </w:r>
      <w:proofErr w:type="gramEnd"/>
      <w:r>
        <w:tab/>
        <w:t>OTHER INFORMATION</w:t>
      </w:r>
      <w:bookmarkEnd w:id="30"/>
    </w:p>
    <w:p w:rsidR="004851D7" w:rsidRDefault="004851D7">
      <w:pPr>
        <w:rPr>
          <w:color w:val="000000"/>
          <w:sz w:val="20"/>
        </w:rPr>
      </w:pPr>
    </w:p>
    <w:p w:rsidR="004851D7" w:rsidRDefault="004851D7">
      <w:pPr>
        <w:ind w:firstLine="720"/>
        <w:rPr>
          <w:sz w:val="20"/>
        </w:rPr>
      </w:pPr>
      <w:r>
        <w:rPr>
          <w:sz w:val="20"/>
        </w:rPr>
        <w:t>All information required to be reported in a report on Form 8-K during the fourth quarter of the year covered by this report has been reported.</w:t>
      </w:r>
    </w:p>
    <w:p w:rsidR="004851D7" w:rsidRDefault="004851D7">
      <w:pPr>
        <w:jc w:val="center"/>
        <w:rPr>
          <w:b/>
          <w:bCs/>
          <w:color w:val="000000"/>
          <w:sz w:val="20"/>
        </w:rPr>
      </w:pPr>
    </w:p>
    <w:p w:rsidR="004851D7" w:rsidRDefault="004851D7">
      <w:pPr>
        <w:jc w:val="center"/>
        <w:rPr>
          <w:b/>
          <w:bCs/>
          <w:color w:val="000000"/>
          <w:sz w:val="20"/>
        </w:rPr>
      </w:pPr>
      <w:r>
        <w:rPr>
          <w:b/>
          <w:bCs/>
          <w:color w:val="000000"/>
          <w:sz w:val="20"/>
        </w:rPr>
        <w:br w:type="page"/>
      </w:r>
    </w:p>
    <w:p w:rsidR="00067612" w:rsidRDefault="00067612" w:rsidP="00D51EA1">
      <w:pPr>
        <w:pStyle w:val="Heading1"/>
      </w:pPr>
      <w:bookmarkStart w:id="31" w:name="OLE_LINK3"/>
      <w:bookmarkStart w:id="32" w:name="_Toc319405350"/>
      <w:r>
        <w:t>PART III</w:t>
      </w:r>
      <w:bookmarkEnd w:id="32"/>
    </w:p>
    <w:p w:rsidR="00067612" w:rsidRDefault="00067612" w:rsidP="00067612">
      <w:pPr>
        <w:pStyle w:val="BodyText"/>
        <w:jc w:val="center"/>
        <w:rPr>
          <w:b/>
          <w:sz w:val="20"/>
          <w:szCs w:val="22"/>
        </w:rPr>
      </w:pPr>
    </w:p>
    <w:p w:rsidR="00067612" w:rsidRDefault="00067612" w:rsidP="00D51EA1">
      <w:pPr>
        <w:pStyle w:val="Heading2"/>
      </w:pPr>
      <w:bookmarkStart w:id="33" w:name="_Toc319405351"/>
      <w:proofErr w:type="gramStart"/>
      <w:r>
        <w:rPr>
          <w:szCs w:val="20"/>
        </w:rPr>
        <w:t>ITEM 10.</w:t>
      </w:r>
      <w:proofErr w:type="gramEnd"/>
      <w:r>
        <w:rPr>
          <w:szCs w:val="20"/>
        </w:rPr>
        <w:t xml:space="preserve"> </w:t>
      </w:r>
      <w:r>
        <w:t xml:space="preserve"> </w:t>
      </w:r>
      <w:r w:rsidR="00D51EA1">
        <w:tab/>
      </w:r>
      <w:r>
        <w:t>DIRECTORS, EXECUTIVE OFFICERS AND CORPORATE GOVERNANCE</w:t>
      </w:r>
      <w:bookmarkEnd w:id="33"/>
    </w:p>
    <w:p w:rsidR="00067612" w:rsidRDefault="00067612" w:rsidP="00067612">
      <w:pPr>
        <w:pStyle w:val="BodyTextFirstIndentSingle"/>
        <w:spacing w:after="0"/>
        <w:ind w:firstLine="0"/>
        <w:rPr>
          <w:b/>
          <w:szCs w:val="22"/>
        </w:rPr>
      </w:pPr>
    </w:p>
    <w:p w:rsidR="00067612" w:rsidRDefault="00067612" w:rsidP="00067612">
      <w:pPr>
        <w:rPr>
          <w:sz w:val="20"/>
          <w:szCs w:val="22"/>
        </w:rPr>
      </w:pPr>
      <w:r>
        <w:rPr>
          <w:b/>
          <w:bCs/>
          <w:sz w:val="20"/>
          <w:szCs w:val="22"/>
        </w:rPr>
        <w:t>Directors and Executive Officers</w:t>
      </w:r>
      <w:r>
        <w:rPr>
          <w:sz w:val="20"/>
          <w:szCs w:val="22"/>
        </w:rPr>
        <w:t> </w:t>
      </w:r>
    </w:p>
    <w:p w:rsidR="00067612" w:rsidRDefault="00067612" w:rsidP="00067612">
      <w:pPr>
        <w:rPr>
          <w:sz w:val="20"/>
          <w:szCs w:val="22"/>
        </w:rPr>
      </w:pPr>
      <w:r>
        <w:rPr>
          <w:sz w:val="20"/>
          <w:szCs w:val="22"/>
        </w:rPr>
        <w:tab/>
      </w:r>
    </w:p>
    <w:p w:rsidR="00067612" w:rsidRDefault="00067612" w:rsidP="00067612">
      <w:pPr>
        <w:rPr>
          <w:sz w:val="18"/>
          <w:szCs w:val="20"/>
        </w:rPr>
      </w:pPr>
      <w:r>
        <w:rPr>
          <w:sz w:val="20"/>
          <w:szCs w:val="22"/>
        </w:rPr>
        <w:tab/>
        <w:t>The following table lists our executive officers and directors and their respective ages and positions as of the date of this report:</w:t>
      </w:r>
    </w:p>
    <w:p w:rsidR="00067612" w:rsidRDefault="00067612" w:rsidP="00067612">
      <w:pPr>
        <w:rPr>
          <w:sz w:val="18"/>
          <w:szCs w:val="22"/>
        </w:rPr>
      </w:pPr>
    </w:p>
    <w:tbl>
      <w:tblPr>
        <w:tblW w:w="0" w:type="auto"/>
        <w:jc w:val="center"/>
        <w:tblInd w:w="-2" w:type="dxa"/>
        <w:tblLayout w:type="fixed"/>
        <w:tblCellMar>
          <w:left w:w="0" w:type="dxa"/>
          <w:right w:w="0" w:type="dxa"/>
        </w:tblCellMar>
        <w:tblLook w:val="0000" w:firstRow="0" w:lastRow="0" w:firstColumn="0" w:lastColumn="0" w:noHBand="0" w:noVBand="0"/>
      </w:tblPr>
      <w:tblGrid>
        <w:gridCol w:w="4346"/>
        <w:gridCol w:w="1325"/>
        <w:gridCol w:w="3686"/>
      </w:tblGrid>
      <w:tr w:rsidR="00067612" w:rsidTr="001F383B">
        <w:trPr>
          <w:trHeight w:hRule="exact" w:val="350"/>
          <w:jc w:val="center"/>
        </w:trPr>
        <w:tc>
          <w:tcPr>
            <w:tcW w:w="4346" w:type="dxa"/>
          </w:tcPr>
          <w:p w:rsidR="00067612" w:rsidRPr="00C576B1" w:rsidRDefault="00067612" w:rsidP="001F383B">
            <w:pPr>
              <w:spacing w:after="120"/>
              <w:rPr>
                <w:b/>
                <w:bCs/>
                <w:sz w:val="20"/>
                <w:szCs w:val="20"/>
              </w:rPr>
            </w:pPr>
            <w:r w:rsidRPr="00C576B1">
              <w:rPr>
                <w:b/>
                <w:bCs/>
                <w:sz w:val="20"/>
                <w:szCs w:val="20"/>
              </w:rPr>
              <w:t>Name</w:t>
            </w:r>
          </w:p>
        </w:tc>
        <w:tc>
          <w:tcPr>
            <w:tcW w:w="1325" w:type="dxa"/>
          </w:tcPr>
          <w:p w:rsidR="00067612" w:rsidRPr="00C576B1" w:rsidRDefault="00067612" w:rsidP="001F383B">
            <w:pPr>
              <w:spacing w:after="120"/>
              <w:rPr>
                <w:b/>
                <w:bCs/>
                <w:sz w:val="20"/>
                <w:szCs w:val="20"/>
              </w:rPr>
            </w:pPr>
            <w:r w:rsidRPr="00C576B1">
              <w:rPr>
                <w:b/>
                <w:bCs/>
                <w:sz w:val="20"/>
                <w:szCs w:val="20"/>
              </w:rPr>
              <w:t>Age</w:t>
            </w:r>
          </w:p>
        </w:tc>
        <w:tc>
          <w:tcPr>
            <w:tcW w:w="3686" w:type="dxa"/>
          </w:tcPr>
          <w:p w:rsidR="00067612" w:rsidRPr="00C576B1" w:rsidRDefault="00067612" w:rsidP="001F383B">
            <w:pPr>
              <w:spacing w:after="120"/>
              <w:rPr>
                <w:b/>
                <w:bCs/>
                <w:sz w:val="20"/>
                <w:szCs w:val="20"/>
              </w:rPr>
            </w:pPr>
            <w:r w:rsidRPr="00C576B1">
              <w:rPr>
                <w:b/>
                <w:bCs/>
                <w:sz w:val="20"/>
                <w:szCs w:val="20"/>
              </w:rPr>
              <w:t>Position</w:t>
            </w:r>
          </w:p>
        </w:tc>
      </w:tr>
      <w:tr w:rsidR="00067612" w:rsidTr="001F383B">
        <w:trPr>
          <w:trHeight w:hRule="exact" w:val="306"/>
          <w:jc w:val="center"/>
        </w:trPr>
        <w:tc>
          <w:tcPr>
            <w:tcW w:w="4346" w:type="dxa"/>
          </w:tcPr>
          <w:p w:rsidR="00067612" w:rsidRDefault="00067612" w:rsidP="001F383B">
            <w:pPr>
              <w:spacing w:after="120"/>
              <w:rPr>
                <w:color w:val="000000"/>
                <w:sz w:val="18"/>
                <w:szCs w:val="18"/>
              </w:rPr>
            </w:pPr>
            <w:r>
              <w:rPr>
                <w:color w:val="000000"/>
                <w:sz w:val="18"/>
                <w:szCs w:val="18"/>
              </w:rPr>
              <w:t>Karen T. van Lith</w:t>
            </w:r>
          </w:p>
        </w:tc>
        <w:tc>
          <w:tcPr>
            <w:tcW w:w="1325" w:type="dxa"/>
          </w:tcPr>
          <w:p w:rsidR="00067612" w:rsidRDefault="00067612" w:rsidP="001F383B">
            <w:pPr>
              <w:spacing w:after="120"/>
              <w:rPr>
                <w:color w:val="000000"/>
                <w:sz w:val="18"/>
                <w:szCs w:val="18"/>
              </w:rPr>
            </w:pPr>
            <w:r>
              <w:rPr>
                <w:color w:val="000000"/>
                <w:sz w:val="18"/>
                <w:szCs w:val="18"/>
              </w:rPr>
              <w:t>52</w:t>
            </w:r>
          </w:p>
        </w:tc>
        <w:tc>
          <w:tcPr>
            <w:tcW w:w="3686" w:type="dxa"/>
          </w:tcPr>
          <w:p w:rsidR="00067612" w:rsidRDefault="00067612" w:rsidP="001F383B">
            <w:pPr>
              <w:spacing w:after="120"/>
              <w:rPr>
                <w:color w:val="000000"/>
                <w:sz w:val="18"/>
                <w:szCs w:val="18"/>
              </w:rPr>
            </w:pPr>
            <w:r>
              <w:rPr>
                <w:color w:val="000000"/>
                <w:sz w:val="18"/>
                <w:szCs w:val="18"/>
              </w:rPr>
              <w:t>Chief Executive Officer, Director</w:t>
            </w:r>
          </w:p>
        </w:tc>
      </w:tr>
      <w:tr w:rsidR="00067612" w:rsidTr="00F671C5">
        <w:trPr>
          <w:trHeight w:hRule="exact" w:val="351"/>
          <w:jc w:val="center"/>
        </w:trPr>
        <w:tc>
          <w:tcPr>
            <w:tcW w:w="4346" w:type="dxa"/>
          </w:tcPr>
          <w:p w:rsidR="00067612" w:rsidRDefault="00067612" w:rsidP="001F383B">
            <w:pPr>
              <w:spacing w:after="120"/>
              <w:rPr>
                <w:color w:val="000000"/>
                <w:sz w:val="18"/>
                <w:szCs w:val="18"/>
              </w:rPr>
            </w:pPr>
            <w:r>
              <w:rPr>
                <w:color w:val="000000"/>
                <w:sz w:val="18"/>
                <w:szCs w:val="18"/>
              </w:rPr>
              <w:t xml:space="preserve">Robert B. Morrison </w:t>
            </w:r>
          </w:p>
        </w:tc>
        <w:tc>
          <w:tcPr>
            <w:tcW w:w="1325" w:type="dxa"/>
          </w:tcPr>
          <w:p w:rsidR="00067612" w:rsidRDefault="00067612" w:rsidP="001F383B">
            <w:pPr>
              <w:spacing w:after="120"/>
              <w:rPr>
                <w:color w:val="000000"/>
                <w:sz w:val="18"/>
                <w:szCs w:val="18"/>
              </w:rPr>
            </w:pPr>
            <w:r>
              <w:rPr>
                <w:color w:val="000000"/>
                <w:sz w:val="18"/>
                <w:szCs w:val="18"/>
              </w:rPr>
              <w:t>50</w:t>
            </w:r>
          </w:p>
        </w:tc>
        <w:tc>
          <w:tcPr>
            <w:tcW w:w="3686" w:type="dxa"/>
          </w:tcPr>
          <w:p w:rsidR="00067612" w:rsidRDefault="00067612" w:rsidP="001F383B">
            <w:pPr>
              <w:spacing w:after="120"/>
              <w:rPr>
                <w:sz w:val="18"/>
                <w:szCs w:val="18"/>
              </w:rPr>
            </w:pPr>
            <w:r>
              <w:rPr>
                <w:color w:val="000000"/>
                <w:sz w:val="18"/>
                <w:szCs w:val="18"/>
              </w:rPr>
              <w:t>Chairman of the Board</w:t>
            </w:r>
          </w:p>
        </w:tc>
      </w:tr>
      <w:tr w:rsidR="00067612" w:rsidTr="00F671C5">
        <w:trPr>
          <w:trHeight w:hRule="exact" w:val="351"/>
          <w:jc w:val="center"/>
        </w:trPr>
        <w:tc>
          <w:tcPr>
            <w:tcW w:w="4346" w:type="dxa"/>
          </w:tcPr>
          <w:p w:rsidR="00067612" w:rsidRDefault="00067612" w:rsidP="001F383B">
            <w:pPr>
              <w:spacing w:after="120"/>
              <w:rPr>
                <w:color w:val="000000"/>
                <w:sz w:val="18"/>
                <w:szCs w:val="18"/>
              </w:rPr>
            </w:pPr>
            <w:r>
              <w:rPr>
                <w:color w:val="000000"/>
                <w:sz w:val="18"/>
                <w:szCs w:val="18"/>
              </w:rPr>
              <w:t>Trevor A. D’Souza</w:t>
            </w:r>
          </w:p>
        </w:tc>
        <w:tc>
          <w:tcPr>
            <w:tcW w:w="1325" w:type="dxa"/>
          </w:tcPr>
          <w:p w:rsidR="00067612" w:rsidRDefault="00067612" w:rsidP="001F383B">
            <w:pPr>
              <w:spacing w:after="120"/>
              <w:rPr>
                <w:color w:val="000000"/>
                <w:sz w:val="18"/>
                <w:szCs w:val="18"/>
              </w:rPr>
            </w:pPr>
            <w:r>
              <w:rPr>
                <w:color w:val="000000"/>
                <w:sz w:val="18"/>
                <w:szCs w:val="18"/>
              </w:rPr>
              <w:t>46</w:t>
            </w:r>
          </w:p>
        </w:tc>
        <w:tc>
          <w:tcPr>
            <w:tcW w:w="3686" w:type="dxa"/>
          </w:tcPr>
          <w:p w:rsidR="00067612" w:rsidRDefault="00067612" w:rsidP="001F383B">
            <w:pPr>
              <w:spacing w:after="120"/>
              <w:rPr>
                <w:color w:val="000000"/>
                <w:sz w:val="18"/>
                <w:szCs w:val="18"/>
              </w:rPr>
            </w:pPr>
            <w:r>
              <w:rPr>
                <w:color w:val="000000"/>
                <w:sz w:val="18"/>
                <w:szCs w:val="18"/>
              </w:rPr>
              <w:t>Director</w:t>
            </w:r>
          </w:p>
        </w:tc>
      </w:tr>
      <w:tr w:rsidR="00067612" w:rsidTr="001F383B">
        <w:trPr>
          <w:trHeight w:hRule="exact" w:val="351"/>
          <w:jc w:val="center"/>
        </w:trPr>
        <w:tc>
          <w:tcPr>
            <w:tcW w:w="4346" w:type="dxa"/>
          </w:tcPr>
          <w:p w:rsidR="00067612" w:rsidRDefault="00067612" w:rsidP="001F383B">
            <w:pPr>
              <w:spacing w:after="120"/>
              <w:rPr>
                <w:color w:val="000000"/>
                <w:sz w:val="18"/>
                <w:szCs w:val="18"/>
              </w:rPr>
            </w:pPr>
            <w:r>
              <w:rPr>
                <w:color w:val="000000"/>
                <w:sz w:val="18"/>
                <w:szCs w:val="18"/>
              </w:rPr>
              <w:t xml:space="preserve">Keith A. </w:t>
            </w:r>
            <w:proofErr w:type="spellStart"/>
            <w:r>
              <w:rPr>
                <w:color w:val="000000"/>
                <w:sz w:val="18"/>
                <w:szCs w:val="18"/>
              </w:rPr>
              <w:t>Fenhaus</w:t>
            </w:r>
            <w:proofErr w:type="spellEnd"/>
            <w:r>
              <w:rPr>
                <w:color w:val="000000"/>
                <w:sz w:val="18"/>
                <w:szCs w:val="18"/>
              </w:rPr>
              <w:t xml:space="preserve"> </w:t>
            </w:r>
            <w:r>
              <w:rPr>
                <w:color w:val="000000"/>
                <w:sz w:val="18"/>
                <w:szCs w:val="18"/>
                <w:vertAlign w:val="superscript"/>
              </w:rPr>
              <w:t>(1)</w:t>
            </w:r>
          </w:p>
        </w:tc>
        <w:tc>
          <w:tcPr>
            <w:tcW w:w="1325" w:type="dxa"/>
          </w:tcPr>
          <w:p w:rsidR="00067612" w:rsidRDefault="00067612" w:rsidP="001F383B">
            <w:pPr>
              <w:spacing w:after="120"/>
              <w:rPr>
                <w:color w:val="000000"/>
                <w:sz w:val="18"/>
                <w:szCs w:val="18"/>
              </w:rPr>
            </w:pPr>
            <w:r>
              <w:rPr>
                <w:color w:val="000000"/>
                <w:sz w:val="18"/>
                <w:szCs w:val="18"/>
              </w:rPr>
              <w:t>54</w:t>
            </w:r>
          </w:p>
        </w:tc>
        <w:tc>
          <w:tcPr>
            <w:tcW w:w="3686" w:type="dxa"/>
          </w:tcPr>
          <w:p w:rsidR="00067612" w:rsidRDefault="00067612" w:rsidP="001F383B">
            <w:pPr>
              <w:spacing w:after="120"/>
              <w:rPr>
                <w:color w:val="000000"/>
                <w:sz w:val="18"/>
                <w:szCs w:val="18"/>
              </w:rPr>
            </w:pPr>
            <w:r>
              <w:rPr>
                <w:color w:val="000000"/>
                <w:sz w:val="18"/>
                <w:szCs w:val="18"/>
              </w:rPr>
              <w:t>Director</w:t>
            </w:r>
          </w:p>
        </w:tc>
      </w:tr>
      <w:tr w:rsidR="00067612" w:rsidTr="001F383B">
        <w:trPr>
          <w:trHeight w:hRule="exact" w:val="351"/>
          <w:jc w:val="center"/>
        </w:trPr>
        <w:tc>
          <w:tcPr>
            <w:tcW w:w="4346" w:type="dxa"/>
          </w:tcPr>
          <w:p w:rsidR="00067612" w:rsidRDefault="00067612" w:rsidP="001F383B">
            <w:pPr>
              <w:spacing w:after="120"/>
              <w:rPr>
                <w:sz w:val="18"/>
                <w:szCs w:val="18"/>
              </w:rPr>
            </w:pPr>
            <w:r>
              <w:rPr>
                <w:color w:val="000000"/>
                <w:sz w:val="18"/>
                <w:szCs w:val="18"/>
              </w:rPr>
              <w:t>Michael R. Skinner</w:t>
            </w:r>
          </w:p>
        </w:tc>
        <w:tc>
          <w:tcPr>
            <w:tcW w:w="1325" w:type="dxa"/>
          </w:tcPr>
          <w:p w:rsidR="00067612" w:rsidRDefault="00067612" w:rsidP="001F383B">
            <w:pPr>
              <w:spacing w:after="120"/>
              <w:rPr>
                <w:sz w:val="18"/>
                <w:szCs w:val="18"/>
              </w:rPr>
            </w:pPr>
            <w:r>
              <w:rPr>
                <w:color w:val="000000"/>
                <w:sz w:val="18"/>
                <w:szCs w:val="18"/>
              </w:rPr>
              <w:t>61</w:t>
            </w:r>
          </w:p>
        </w:tc>
        <w:tc>
          <w:tcPr>
            <w:tcW w:w="3686" w:type="dxa"/>
          </w:tcPr>
          <w:p w:rsidR="00067612" w:rsidRDefault="00067612" w:rsidP="001F383B">
            <w:pPr>
              <w:spacing w:after="120"/>
              <w:rPr>
                <w:color w:val="000000"/>
                <w:sz w:val="18"/>
                <w:szCs w:val="18"/>
              </w:rPr>
            </w:pPr>
            <w:r>
              <w:rPr>
                <w:color w:val="000000"/>
                <w:sz w:val="18"/>
                <w:szCs w:val="18"/>
              </w:rPr>
              <w:t>Director</w:t>
            </w:r>
          </w:p>
        </w:tc>
      </w:tr>
      <w:tr w:rsidR="00067612" w:rsidTr="001F383B">
        <w:trPr>
          <w:trHeight w:hRule="exact" w:val="369"/>
          <w:jc w:val="center"/>
        </w:trPr>
        <w:tc>
          <w:tcPr>
            <w:tcW w:w="4346" w:type="dxa"/>
          </w:tcPr>
          <w:p w:rsidR="00067612" w:rsidRDefault="00067612" w:rsidP="001F383B">
            <w:pPr>
              <w:spacing w:after="120"/>
              <w:rPr>
                <w:sz w:val="18"/>
                <w:szCs w:val="18"/>
              </w:rPr>
            </w:pPr>
            <w:r>
              <w:rPr>
                <w:color w:val="000000"/>
                <w:sz w:val="18"/>
                <w:szCs w:val="18"/>
              </w:rPr>
              <w:t xml:space="preserve">Graham Richmond </w:t>
            </w:r>
          </w:p>
        </w:tc>
        <w:tc>
          <w:tcPr>
            <w:tcW w:w="1325" w:type="dxa"/>
          </w:tcPr>
          <w:p w:rsidR="00067612" w:rsidRDefault="00067612" w:rsidP="001F383B">
            <w:pPr>
              <w:spacing w:after="120"/>
              <w:rPr>
                <w:sz w:val="18"/>
                <w:szCs w:val="18"/>
              </w:rPr>
            </w:pPr>
            <w:r>
              <w:rPr>
                <w:color w:val="000000"/>
                <w:sz w:val="18"/>
                <w:szCs w:val="18"/>
              </w:rPr>
              <w:t>39</w:t>
            </w:r>
          </w:p>
        </w:tc>
        <w:tc>
          <w:tcPr>
            <w:tcW w:w="3686" w:type="dxa"/>
          </w:tcPr>
          <w:p w:rsidR="00067612" w:rsidRDefault="00067612" w:rsidP="001F383B">
            <w:pPr>
              <w:spacing w:after="120"/>
              <w:rPr>
                <w:sz w:val="18"/>
                <w:szCs w:val="18"/>
              </w:rPr>
            </w:pPr>
            <w:r>
              <w:rPr>
                <w:color w:val="000000"/>
                <w:sz w:val="18"/>
                <w:szCs w:val="18"/>
              </w:rPr>
              <w:t>Director</w:t>
            </w:r>
          </w:p>
        </w:tc>
      </w:tr>
      <w:tr w:rsidR="00067612" w:rsidTr="001F383B">
        <w:trPr>
          <w:trHeight w:hRule="exact" w:val="495"/>
          <w:jc w:val="center"/>
        </w:trPr>
        <w:tc>
          <w:tcPr>
            <w:tcW w:w="4346" w:type="dxa"/>
          </w:tcPr>
          <w:p w:rsidR="00067612" w:rsidRDefault="00067612" w:rsidP="001F383B">
            <w:pPr>
              <w:spacing w:after="120"/>
              <w:rPr>
                <w:color w:val="000000"/>
                <w:sz w:val="18"/>
                <w:szCs w:val="18"/>
              </w:rPr>
            </w:pPr>
            <w:r>
              <w:rPr>
                <w:sz w:val="18"/>
                <w:szCs w:val="18"/>
              </w:rPr>
              <w:t xml:space="preserve">Karen L. VanDerBosch </w:t>
            </w:r>
          </w:p>
        </w:tc>
        <w:tc>
          <w:tcPr>
            <w:tcW w:w="1325" w:type="dxa"/>
          </w:tcPr>
          <w:p w:rsidR="00067612" w:rsidRDefault="00067612" w:rsidP="001F383B">
            <w:pPr>
              <w:spacing w:after="120"/>
              <w:rPr>
                <w:color w:val="000000"/>
                <w:sz w:val="18"/>
                <w:szCs w:val="18"/>
              </w:rPr>
            </w:pPr>
            <w:r>
              <w:rPr>
                <w:color w:val="000000"/>
                <w:sz w:val="18"/>
                <w:szCs w:val="18"/>
              </w:rPr>
              <w:t>48</w:t>
            </w:r>
          </w:p>
        </w:tc>
        <w:tc>
          <w:tcPr>
            <w:tcW w:w="3686" w:type="dxa"/>
          </w:tcPr>
          <w:p w:rsidR="00067612" w:rsidRDefault="00067612" w:rsidP="001F383B">
            <w:pPr>
              <w:spacing w:after="120"/>
              <w:rPr>
                <w:color w:val="000000"/>
                <w:sz w:val="18"/>
                <w:szCs w:val="18"/>
              </w:rPr>
            </w:pPr>
            <w:r>
              <w:rPr>
                <w:sz w:val="18"/>
                <w:szCs w:val="18"/>
              </w:rPr>
              <w:t>Chief Financial Officer and Chief Operating Officer</w:t>
            </w:r>
          </w:p>
        </w:tc>
      </w:tr>
      <w:tr w:rsidR="00067612" w:rsidTr="001F383B">
        <w:trPr>
          <w:trHeight w:hRule="exact" w:val="495"/>
          <w:jc w:val="center"/>
        </w:trPr>
        <w:tc>
          <w:tcPr>
            <w:tcW w:w="4346" w:type="dxa"/>
          </w:tcPr>
          <w:p w:rsidR="00067612" w:rsidRDefault="00067612" w:rsidP="001F383B">
            <w:pPr>
              <w:spacing w:after="120"/>
              <w:rPr>
                <w:sz w:val="18"/>
                <w:szCs w:val="18"/>
              </w:rPr>
            </w:pPr>
            <w:r>
              <w:rPr>
                <w:sz w:val="18"/>
                <w:szCs w:val="18"/>
              </w:rPr>
              <w:t>Paul D. Carlson</w:t>
            </w:r>
          </w:p>
        </w:tc>
        <w:tc>
          <w:tcPr>
            <w:tcW w:w="1325" w:type="dxa"/>
          </w:tcPr>
          <w:p w:rsidR="00067612" w:rsidRDefault="00067612" w:rsidP="001F383B">
            <w:pPr>
              <w:spacing w:after="120"/>
              <w:rPr>
                <w:color w:val="000000"/>
                <w:sz w:val="18"/>
                <w:szCs w:val="18"/>
              </w:rPr>
            </w:pPr>
            <w:r>
              <w:rPr>
                <w:color w:val="000000"/>
                <w:sz w:val="18"/>
                <w:szCs w:val="18"/>
              </w:rPr>
              <w:t>41</w:t>
            </w:r>
          </w:p>
        </w:tc>
        <w:tc>
          <w:tcPr>
            <w:tcW w:w="3686" w:type="dxa"/>
          </w:tcPr>
          <w:p w:rsidR="00067612" w:rsidRDefault="00067612" w:rsidP="001F383B">
            <w:pPr>
              <w:spacing w:after="120"/>
              <w:rPr>
                <w:sz w:val="18"/>
                <w:szCs w:val="18"/>
              </w:rPr>
            </w:pPr>
            <w:r>
              <w:rPr>
                <w:sz w:val="18"/>
                <w:szCs w:val="18"/>
              </w:rPr>
              <w:t>Chief Technology Officer</w:t>
            </w:r>
          </w:p>
        </w:tc>
      </w:tr>
    </w:tbl>
    <w:p w:rsidR="00067612" w:rsidRDefault="00067612" w:rsidP="00067612">
      <w:pPr>
        <w:spacing w:before="50" w:after="50"/>
        <w:rPr>
          <w:bCs/>
          <w:sz w:val="18"/>
          <w:szCs w:val="18"/>
        </w:rPr>
      </w:pPr>
    </w:p>
    <w:p w:rsidR="00067612" w:rsidRDefault="00067612" w:rsidP="00067612">
      <w:pPr>
        <w:spacing w:before="50" w:after="50"/>
        <w:ind w:left="720" w:hanging="720"/>
        <w:rPr>
          <w:sz w:val="18"/>
          <w:szCs w:val="18"/>
        </w:rPr>
      </w:pPr>
      <w:r>
        <w:rPr>
          <w:sz w:val="18"/>
          <w:szCs w:val="20"/>
          <w:vertAlign w:val="superscript"/>
        </w:rPr>
        <w:t>(1)</w:t>
      </w:r>
      <w:r>
        <w:rPr>
          <w:sz w:val="18"/>
          <w:szCs w:val="18"/>
        </w:rPr>
        <w:tab/>
      </w:r>
      <w:r w:rsidRPr="00C576B1">
        <w:rPr>
          <w:sz w:val="20"/>
          <w:szCs w:val="20"/>
        </w:rPr>
        <w:t xml:space="preserve">The Board of Directors has determined that Mr. </w:t>
      </w:r>
      <w:proofErr w:type="spellStart"/>
      <w:r w:rsidRPr="00C576B1">
        <w:rPr>
          <w:sz w:val="20"/>
          <w:szCs w:val="20"/>
        </w:rPr>
        <w:t>Fenhaus</w:t>
      </w:r>
      <w:proofErr w:type="spellEnd"/>
      <w:r w:rsidRPr="00C576B1">
        <w:rPr>
          <w:sz w:val="20"/>
          <w:szCs w:val="20"/>
        </w:rPr>
        <w:t xml:space="preserve"> qualifies as an “audit committee financial </w:t>
      </w:r>
      <w:r w:rsidRPr="00C576B1">
        <w:rPr>
          <w:sz w:val="20"/>
          <w:szCs w:val="20"/>
        </w:rPr>
        <w:tab/>
        <w:t xml:space="preserve">expert” under the applicable federal securities laws.   </w:t>
      </w:r>
    </w:p>
    <w:p w:rsidR="00067612" w:rsidRDefault="00067612" w:rsidP="00067612">
      <w:pPr>
        <w:spacing w:before="50" w:after="50"/>
        <w:rPr>
          <w:sz w:val="18"/>
          <w:szCs w:val="18"/>
        </w:rPr>
      </w:pPr>
    </w:p>
    <w:p w:rsidR="00067612" w:rsidRDefault="00067612" w:rsidP="00067612">
      <w:pPr>
        <w:spacing w:before="50" w:after="50"/>
        <w:rPr>
          <w:sz w:val="20"/>
          <w:szCs w:val="22"/>
        </w:rPr>
      </w:pPr>
      <w:r>
        <w:rPr>
          <w:sz w:val="20"/>
          <w:szCs w:val="22"/>
        </w:rPr>
        <w:tab/>
        <w:t>Current committee membership is as follows:</w:t>
      </w:r>
      <w:r>
        <w:rPr>
          <w:sz w:val="20"/>
          <w:szCs w:val="22"/>
        </w:rPr>
        <w:br/>
      </w:r>
    </w:p>
    <w:tbl>
      <w:tblPr>
        <w:tblW w:w="0" w:type="auto"/>
        <w:tblLook w:val="01E0" w:firstRow="1" w:lastRow="1" w:firstColumn="1" w:lastColumn="1" w:noHBand="0" w:noVBand="0"/>
      </w:tblPr>
      <w:tblGrid>
        <w:gridCol w:w="3211"/>
        <w:gridCol w:w="3211"/>
        <w:gridCol w:w="3212"/>
      </w:tblGrid>
      <w:tr w:rsidR="00067612" w:rsidRPr="006B4C77" w:rsidTr="001F383B">
        <w:tc>
          <w:tcPr>
            <w:tcW w:w="3211" w:type="dxa"/>
            <w:shd w:val="clear" w:color="auto" w:fill="auto"/>
          </w:tcPr>
          <w:p w:rsidR="00067612" w:rsidRPr="006B4C77" w:rsidRDefault="00067612" w:rsidP="001F383B">
            <w:pPr>
              <w:spacing w:before="50" w:after="50"/>
              <w:rPr>
                <w:b/>
                <w:sz w:val="20"/>
                <w:szCs w:val="22"/>
              </w:rPr>
            </w:pPr>
            <w:r w:rsidRPr="006B4C77">
              <w:rPr>
                <w:b/>
                <w:sz w:val="20"/>
                <w:szCs w:val="22"/>
              </w:rPr>
              <w:t>Audit Committee</w:t>
            </w:r>
          </w:p>
        </w:tc>
        <w:tc>
          <w:tcPr>
            <w:tcW w:w="3211" w:type="dxa"/>
            <w:shd w:val="clear" w:color="auto" w:fill="auto"/>
          </w:tcPr>
          <w:p w:rsidR="00067612" w:rsidRPr="006B4C77" w:rsidRDefault="00067612" w:rsidP="001F383B">
            <w:pPr>
              <w:spacing w:before="50" w:after="50"/>
              <w:rPr>
                <w:b/>
                <w:sz w:val="20"/>
                <w:szCs w:val="22"/>
              </w:rPr>
            </w:pPr>
            <w:r w:rsidRPr="006B4C77">
              <w:rPr>
                <w:b/>
                <w:sz w:val="20"/>
                <w:szCs w:val="22"/>
              </w:rPr>
              <w:t>Compensation Committee</w:t>
            </w:r>
          </w:p>
        </w:tc>
        <w:tc>
          <w:tcPr>
            <w:tcW w:w="3212" w:type="dxa"/>
            <w:shd w:val="clear" w:color="auto" w:fill="auto"/>
          </w:tcPr>
          <w:p w:rsidR="00067612" w:rsidRPr="006B4C77" w:rsidRDefault="00067612" w:rsidP="001F383B">
            <w:pPr>
              <w:spacing w:before="50" w:after="50"/>
              <w:rPr>
                <w:b/>
                <w:sz w:val="20"/>
                <w:szCs w:val="22"/>
              </w:rPr>
            </w:pPr>
            <w:r w:rsidRPr="006B4C77">
              <w:rPr>
                <w:b/>
                <w:sz w:val="20"/>
                <w:szCs w:val="22"/>
              </w:rPr>
              <w:t>Governance Committee</w:t>
            </w:r>
          </w:p>
        </w:tc>
      </w:tr>
      <w:tr w:rsidR="00067612" w:rsidRPr="006B4C77" w:rsidTr="001F383B">
        <w:tc>
          <w:tcPr>
            <w:tcW w:w="3211" w:type="dxa"/>
            <w:shd w:val="clear" w:color="auto" w:fill="auto"/>
          </w:tcPr>
          <w:p w:rsidR="00067612" w:rsidRPr="006B4C77" w:rsidRDefault="00067612" w:rsidP="001F383B">
            <w:pPr>
              <w:spacing w:before="50" w:after="50"/>
              <w:rPr>
                <w:sz w:val="20"/>
                <w:szCs w:val="22"/>
              </w:rPr>
            </w:pPr>
            <w:r w:rsidRPr="006B4C77">
              <w:rPr>
                <w:sz w:val="20"/>
                <w:szCs w:val="22"/>
              </w:rPr>
              <w:t xml:space="preserve">Keith A. </w:t>
            </w:r>
            <w:proofErr w:type="spellStart"/>
            <w:r w:rsidRPr="006B4C77">
              <w:rPr>
                <w:sz w:val="20"/>
                <w:szCs w:val="22"/>
              </w:rPr>
              <w:t>Fenhaus</w:t>
            </w:r>
            <w:proofErr w:type="spellEnd"/>
            <w:r w:rsidRPr="006B4C77">
              <w:rPr>
                <w:sz w:val="20"/>
                <w:szCs w:val="22"/>
              </w:rPr>
              <w:t>, Chair</w:t>
            </w:r>
          </w:p>
          <w:p w:rsidR="00067612" w:rsidRPr="006B4C77" w:rsidRDefault="00067612" w:rsidP="001F383B">
            <w:pPr>
              <w:spacing w:before="50" w:after="50"/>
              <w:rPr>
                <w:sz w:val="20"/>
                <w:szCs w:val="22"/>
              </w:rPr>
            </w:pPr>
            <w:r w:rsidRPr="006B4C77">
              <w:rPr>
                <w:sz w:val="20"/>
                <w:szCs w:val="22"/>
              </w:rPr>
              <w:t>Trevor A. D’Souza</w:t>
            </w:r>
          </w:p>
          <w:p w:rsidR="00067612" w:rsidRPr="006B4C77" w:rsidRDefault="00067612" w:rsidP="001F383B">
            <w:pPr>
              <w:spacing w:before="50" w:after="50"/>
              <w:rPr>
                <w:sz w:val="20"/>
                <w:szCs w:val="22"/>
              </w:rPr>
            </w:pPr>
            <w:r w:rsidRPr="006B4C77">
              <w:rPr>
                <w:sz w:val="20"/>
                <w:szCs w:val="22"/>
              </w:rPr>
              <w:t>Graham Richmond</w:t>
            </w:r>
          </w:p>
        </w:tc>
        <w:tc>
          <w:tcPr>
            <w:tcW w:w="3211" w:type="dxa"/>
            <w:shd w:val="clear" w:color="auto" w:fill="auto"/>
          </w:tcPr>
          <w:p w:rsidR="00067612" w:rsidRPr="006B4C77" w:rsidRDefault="00067612" w:rsidP="001F383B">
            <w:pPr>
              <w:spacing w:before="50" w:after="50"/>
              <w:rPr>
                <w:sz w:val="20"/>
                <w:szCs w:val="22"/>
              </w:rPr>
            </w:pPr>
            <w:r w:rsidRPr="006B4C77">
              <w:rPr>
                <w:sz w:val="20"/>
                <w:szCs w:val="22"/>
              </w:rPr>
              <w:t>Michael Skinner, Chair</w:t>
            </w:r>
          </w:p>
          <w:p w:rsidR="00067612" w:rsidRPr="006B4C77" w:rsidRDefault="00067612" w:rsidP="001F383B">
            <w:pPr>
              <w:spacing w:before="50" w:after="50"/>
              <w:rPr>
                <w:sz w:val="20"/>
                <w:szCs w:val="22"/>
              </w:rPr>
            </w:pPr>
            <w:r w:rsidRPr="006B4C77">
              <w:rPr>
                <w:sz w:val="20"/>
                <w:szCs w:val="22"/>
              </w:rPr>
              <w:t xml:space="preserve">Keith A. </w:t>
            </w:r>
            <w:proofErr w:type="spellStart"/>
            <w:r w:rsidRPr="006B4C77">
              <w:rPr>
                <w:sz w:val="20"/>
                <w:szCs w:val="22"/>
              </w:rPr>
              <w:t>Fenhaus</w:t>
            </w:r>
            <w:proofErr w:type="spellEnd"/>
          </w:p>
          <w:p w:rsidR="00067612" w:rsidRPr="006B4C77" w:rsidRDefault="00067612" w:rsidP="001F383B">
            <w:pPr>
              <w:spacing w:before="50" w:after="50"/>
              <w:rPr>
                <w:sz w:val="20"/>
                <w:szCs w:val="22"/>
              </w:rPr>
            </w:pPr>
            <w:r w:rsidRPr="006B4C77">
              <w:rPr>
                <w:sz w:val="20"/>
                <w:szCs w:val="22"/>
              </w:rPr>
              <w:t>Robert B. Morrison</w:t>
            </w:r>
          </w:p>
        </w:tc>
        <w:tc>
          <w:tcPr>
            <w:tcW w:w="3212" w:type="dxa"/>
            <w:shd w:val="clear" w:color="auto" w:fill="auto"/>
          </w:tcPr>
          <w:p w:rsidR="00067612" w:rsidRPr="006B4C77" w:rsidRDefault="00067612" w:rsidP="001F383B">
            <w:pPr>
              <w:spacing w:before="50" w:after="50"/>
              <w:rPr>
                <w:sz w:val="20"/>
                <w:szCs w:val="22"/>
              </w:rPr>
            </w:pPr>
            <w:r w:rsidRPr="006B4C77">
              <w:rPr>
                <w:sz w:val="20"/>
                <w:szCs w:val="22"/>
              </w:rPr>
              <w:t>Graham Richmond, Chair</w:t>
            </w:r>
          </w:p>
          <w:p w:rsidR="00067612" w:rsidRPr="006B4C77" w:rsidRDefault="00067612" w:rsidP="001F383B">
            <w:pPr>
              <w:spacing w:before="50" w:after="50"/>
              <w:rPr>
                <w:sz w:val="20"/>
                <w:szCs w:val="22"/>
              </w:rPr>
            </w:pPr>
            <w:r w:rsidRPr="006B4C77">
              <w:rPr>
                <w:sz w:val="20"/>
                <w:szCs w:val="22"/>
              </w:rPr>
              <w:t>Robert B. Morrison</w:t>
            </w:r>
          </w:p>
          <w:p w:rsidR="00067612" w:rsidRPr="006B4C77" w:rsidRDefault="00067612" w:rsidP="001F383B">
            <w:pPr>
              <w:spacing w:before="50" w:after="50"/>
              <w:rPr>
                <w:sz w:val="20"/>
                <w:szCs w:val="22"/>
              </w:rPr>
            </w:pPr>
            <w:r w:rsidRPr="006B4C77">
              <w:rPr>
                <w:sz w:val="20"/>
                <w:szCs w:val="22"/>
              </w:rPr>
              <w:t>Trevor A. D’Souza</w:t>
            </w:r>
          </w:p>
        </w:tc>
      </w:tr>
    </w:tbl>
    <w:p w:rsidR="006A03B5" w:rsidRDefault="006A03B5" w:rsidP="006A03B5">
      <w:pPr>
        <w:spacing w:before="100" w:beforeAutospacing="1" w:after="100" w:afterAutospacing="1"/>
        <w:ind w:firstLine="720"/>
        <w:rPr>
          <w:b/>
          <w:sz w:val="20"/>
          <w:szCs w:val="20"/>
        </w:rPr>
      </w:pPr>
      <w:r>
        <w:rPr>
          <w:b/>
          <w:sz w:val="20"/>
          <w:szCs w:val="20"/>
        </w:rPr>
        <w:t>Karen T. van Lith</w:t>
      </w:r>
      <w:r>
        <w:rPr>
          <w:sz w:val="20"/>
          <w:szCs w:val="20"/>
        </w:rPr>
        <w:t xml:space="preserve"> was appointed as Chief Executive Officer and a director on June 13, 2011. Ms. van Lith has 20 years of leadership experience. For the three years preceding her appointment, Ms. van Lith served as principal of MKB CEO, LLC, providing interim CEO leadership to companies in start-up, high growth and crisis phases, and ran an internet-marketing services company through Beckwith Crowe, LLC. From 2000 through 2007, she held the role of CEO &amp; president of </w:t>
      </w:r>
      <w:proofErr w:type="spellStart"/>
      <w:r>
        <w:rPr>
          <w:sz w:val="20"/>
          <w:szCs w:val="20"/>
        </w:rPr>
        <w:t>Gelco</w:t>
      </w:r>
      <w:proofErr w:type="spellEnd"/>
      <w:r>
        <w:rPr>
          <w:sz w:val="20"/>
          <w:szCs w:val="20"/>
        </w:rPr>
        <w:t xml:space="preserve"> Information Network, a </w:t>
      </w:r>
      <w:proofErr w:type="spellStart"/>
      <w:r>
        <w:rPr>
          <w:sz w:val="20"/>
          <w:szCs w:val="20"/>
        </w:rPr>
        <w:t>SaaS</w:t>
      </w:r>
      <w:proofErr w:type="spellEnd"/>
      <w:r>
        <w:rPr>
          <w:sz w:val="20"/>
          <w:szCs w:val="20"/>
        </w:rPr>
        <w:t xml:space="preserve"> company serving multi-national companies around the world. Prior to that she was president of Ceridian Canada and SVP business development at Ceridian Corporation, where she led the company’s M&amp;A efforts. Ms. van Lith currently serves as a corporate director of Associated Banc-Corp, a publicly-held regional bank holding company headquartered in Green Bay, Wisconsin, and of </w:t>
      </w:r>
      <w:proofErr w:type="spellStart"/>
      <w:r>
        <w:rPr>
          <w:sz w:val="20"/>
          <w:szCs w:val="20"/>
        </w:rPr>
        <w:t>Xata</w:t>
      </w:r>
      <w:proofErr w:type="spellEnd"/>
      <w:r>
        <w:rPr>
          <w:sz w:val="20"/>
          <w:szCs w:val="20"/>
        </w:rPr>
        <w:t xml:space="preserve"> Corp., a publicly-held </w:t>
      </w:r>
      <w:proofErr w:type="spellStart"/>
      <w:r>
        <w:rPr>
          <w:sz w:val="20"/>
          <w:szCs w:val="20"/>
        </w:rPr>
        <w:t>SaaS</w:t>
      </w:r>
      <w:proofErr w:type="spellEnd"/>
      <w:r>
        <w:rPr>
          <w:sz w:val="20"/>
          <w:szCs w:val="20"/>
        </w:rPr>
        <w:t xml:space="preserve"> company serving the trucking industry headquartered in Eden Prairie, Minnesota. She also served on the board of CNS, a publicly-held consumer goods company headquartered in Eden Prairie, Minnesota until its sale to GlaxoSmithKline in December 2006. Additionally, Ms. van Lith serves on the board of Food for Hungry Minds, a non-profit organization that develops and runs schools and provides a path out of poverty for the poorest children in the Philippines and Honduras. Ms. van Lith has a Master’s of Business Administration from the University of Minnesota’s Carlson School of Management in Minneapolis, Minnesota and a Bachelor’s degree in accounting from St. Cloud University, St. Cloud, Minnesota. The Board has determined that, among other attributes, skills, experiences and qualifications, Ms. van </w:t>
      </w:r>
      <w:proofErr w:type="spellStart"/>
      <w:r>
        <w:rPr>
          <w:sz w:val="20"/>
          <w:szCs w:val="20"/>
        </w:rPr>
        <w:t>Lith’s</w:t>
      </w:r>
      <w:proofErr w:type="spellEnd"/>
      <w:r>
        <w:rPr>
          <w:sz w:val="20"/>
          <w:szCs w:val="20"/>
        </w:rPr>
        <w:t xml:space="preserve"> extensive experience in leading the growth of technology-driven companies makes her uniquely qualified to serve on the Board. In addition, the Board believes that having the Chief Executive Officer serve as member of the Board promotes strategy development and implementation and facilitates the flow of information between the Board and management. Further, the Board believes that Ms. van </w:t>
      </w:r>
      <w:proofErr w:type="spellStart"/>
      <w:r>
        <w:rPr>
          <w:sz w:val="20"/>
          <w:szCs w:val="20"/>
        </w:rPr>
        <w:t>Lith’s</w:t>
      </w:r>
      <w:proofErr w:type="spellEnd"/>
      <w:r>
        <w:rPr>
          <w:sz w:val="20"/>
          <w:szCs w:val="20"/>
        </w:rPr>
        <w:t xml:space="preserve"> role on the Board adds value in light of her experience as a director on other public company boards. </w:t>
      </w:r>
    </w:p>
    <w:p w:rsidR="006A03B5" w:rsidRDefault="006A03B5" w:rsidP="006A03B5">
      <w:pPr>
        <w:spacing w:before="100" w:beforeAutospacing="1" w:after="100" w:afterAutospacing="1"/>
        <w:ind w:firstLine="720"/>
        <w:rPr>
          <w:b/>
          <w:sz w:val="20"/>
          <w:szCs w:val="20"/>
        </w:rPr>
      </w:pPr>
      <w:r>
        <w:rPr>
          <w:color w:val="000000"/>
          <w:sz w:val="20"/>
          <w:szCs w:val="22"/>
        </w:rPr>
        <w:t> </w:t>
      </w:r>
      <w:r>
        <w:rPr>
          <w:b/>
          <w:color w:val="000000"/>
          <w:sz w:val="20"/>
          <w:szCs w:val="22"/>
        </w:rPr>
        <w:t>Robert B. Morrison</w:t>
      </w:r>
      <w:r>
        <w:rPr>
          <w:sz w:val="20"/>
          <w:szCs w:val="22"/>
        </w:rPr>
        <w:t> </w:t>
      </w:r>
      <w:r>
        <w:rPr>
          <w:color w:val="000000"/>
          <w:sz w:val="20"/>
          <w:szCs w:val="22"/>
        </w:rPr>
        <w:t>was appointed to the Board of Directors on July 9, 2007 and became Chairman of the Board of Directors on November 10, 2010.  Mr. Morrison serves on the Compensation Committee and Governance Committee.  Mr. Morrison is founder and CEO of Quadrant Arts Education Research, one of the nation's leading research and market intelligence or</w:t>
      </w:r>
      <w:r>
        <w:rPr>
          <w:color w:val="000000"/>
          <w:sz w:val="20"/>
          <w:szCs w:val="20"/>
        </w:rPr>
        <w:t xml:space="preserve">ganizations focusing on music and arts education. Quadrant serves both the commercial and governmental sectors and has pioneered ground breaking research on the status and condition of arts education in the United States. Prior to founding Quadrant, Mr. Morrison was the founder and chairman emeritus of Music for All (MFA), a not-for-profit educational organization whose mission is expand access to music and arts education. Mr. Morrison also served as the Chief Executive Officer of the VH1 Save the Music Foundation, the national non-profit organization committed to restoring music education in America’s public schools. Mr. Morrison has also served as director of market development for NAMM, the international music products association, was an executive director of the American Music Conference (AMC), where he directed AMC’s media efforts, and was a senior executive with the Pearl Corporation. Mr. Morrison has received an honorary doctorate degree from the State University of New York, the Mr. Holland’s Opus Award from the National Academy of Recording Arts and Science and the Life Achievement Award from the Music Distributors Association. Mr. Morrison has </w:t>
      </w:r>
      <w:r>
        <w:rPr>
          <w:rStyle w:val="apple-style-span"/>
          <w:sz w:val="20"/>
          <w:szCs w:val="20"/>
        </w:rPr>
        <w:t>earned</w:t>
      </w:r>
      <w:r>
        <w:rPr>
          <w:rStyle w:val="apple-style-span"/>
          <w:color w:val="000000"/>
          <w:sz w:val="20"/>
          <w:szCs w:val="20"/>
        </w:rPr>
        <w:t xml:space="preserve"> both an Emmy and Peabody Award for his work on behalf of music education. Mr. Morrison served as a member of the board of trustees for the </w:t>
      </w:r>
      <w:proofErr w:type="spellStart"/>
      <w:r>
        <w:rPr>
          <w:rStyle w:val="apple-style-span"/>
          <w:color w:val="000000"/>
          <w:sz w:val="20"/>
          <w:szCs w:val="20"/>
        </w:rPr>
        <w:t>Berklee</w:t>
      </w:r>
      <w:proofErr w:type="spellEnd"/>
      <w:r>
        <w:rPr>
          <w:rStyle w:val="apple-style-span"/>
          <w:color w:val="000000"/>
          <w:sz w:val="20"/>
          <w:szCs w:val="20"/>
        </w:rPr>
        <w:t xml:space="preserve"> College of Music in Boston and currently serves on several national music and arts education policy boards. </w:t>
      </w:r>
      <w:r>
        <w:rPr>
          <w:color w:val="000000"/>
          <w:sz w:val="20"/>
          <w:szCs w:val="20"/>
        </w:rPr>
        <w:t xml:space="preserve">Among other attributes, skills, experiences and qualifications, the Board believes that it is beneficial for Mr. Morrison to serve as a director of </w:t>
      </w:r>
      <w:proofErr w:type="spellStart"/>
      <w:r>
        <w:rPr>
          <w:color w:val="000000"/>
          <w:sz w:val="20"/>
          <w:szCs w:val="20"/>
        </w:rPr>
        <w:t>MakeMusic</w:t>
      </w:r>
      <w:proofErr w:type="spellEnd"/>
      <w:r>
        <w:rPr>
          <w:color w:val="000000"/>
          <w:sz w:val="20"/>
          <w:szCs w:val="20"/>
        </w:rPr>
        <w:t xml:space="preserve"> because his industry experience allows him to understand </w:t>
      </w:r>
      <w:proofErr w:type="spellStart"/>
      <w:r>
        <w:rPr>
          <w:color w:val="000000"/>
          <w:sz w:val="20"/>
          <w:szCs w:val="20"/>
        </w:rPr>
        <w:t>MakeMusic’s</w:t>
      </w:r>
      <w:proofErr w:type="spellEnd"/>
      <w:r>
        <w:rPr>
          <w:color w:val="000000"/>
          <w:sz w:val="20"/>
          <w:szCs w:val="20"/>
        </w:rPr>
        <w:t xml:space="preserve"> challenges, strategies and potential opportunities. He shares </w:t>
      </w:r>
      <w:proofErr w:type="spellStart"/>
      <w:r>
        <w:rPr>
          <w:color w:val="000000"/>
          <w:sz w:val="20"/>
          <w:szCs w:val="20"/>
        </w:rPr>
        <w:t>MakeMusic’s</w:t>
      </w:r>
      <w:proofErr w:type="spellEnd"/>
      <w:r>
        <w:rPr>
          <w:color w:val="000000"/>
          <w:sz w:val="20"/>
          <w:szCs w:val="20"/>
        </w:rPr>
        <w:t xml:space="preserve"> commitment to music education, and his extensive connections in the education market segments and music products industry all contribute to Mr. Morrison’s ability to help develop and guide </w:t>
      </w:r>
      <w:proofErr w:type="spellStart"/>
      <w:r>
        <w:rPr>
          <w:color w:val="000000"/>
          <w:sz w:val="20"/>
          <w:szCs w:val="20"/>
        </w:rPr>
        <w:t>MakeMusic’s</w:t>
      </w:r>
      <w:proofErr w:type="spellEnd"/>
      <w:r>
        <w:rPr>
          <w:color w:val="000000"/>
          <w:sz w:val="20"/>
          <w:szCs w:val="20"/>
        </w:rPr>
        <w:t xml:space="preserve"> long-term strategies.</w:t>
      </w:r>
    </w:p>
    <w:p w:rsidR="006A03B5" w:rsidRDefault="006A03B5" w:rsidP="006A03B5">
      <w:pPr>
        <w:pStyle w:val="NormalWeb"/>
        <w:shd w:val="clear" w:color="auto" w:fill="FFFFFF"/>
        <w:spacing w:before="240" w:beforeAutospacing="0" w:after="0" w:afterAutospacing="0"/>
        <w:ind w:firstLine="490"/>
        <w:rPr>
          <w:color w:val="000000"/>
          <w:sz w:val="20"/>
          <w:szCs w:val="20"/>
        </w:rPr>
      </w:pPr>
      <w:r>
        <w:rPr>
          <w:b/>
          <w:sz w:val="20"/>
          <w:szCs w:val="20"/>
        </w:rPr>
        <w:t>Trevor A. D’Souza</w:t>
      </w:r>
      <w:r>
        <w:rPr>
          <w:b/>
          <w:i/>
          <w:sz w:val="20"/>
          <w:szCs w:val="20"/>
        </w:rPr>
        <w:t xml:space="preserve"> </w:t>
      </w:r>
      <w:r>
        <w:rPr>
          <w:sz w:val="20"/>
          <w:szCs w:val="20"/>
        </w:rPr>
        <w:t xml:space="preserve">joined the Board March 2, 2010, in connection with an agreement dated March 2, 2010 among </w:t>
      </w:r>
      <w:proofErr w:type="spellStart"/>
      <w:r>
        <w:rPr>
          <w:sz w:val="20"/>
          <w:szCs w:val="20"/>
        </w:rPr>
        <w:t>MakeMusic</w:t>
      </w:r>
      <w:proofErr w:type="spellEnd"/>
      <w:r>
        <w:rPr>
          <w:sz w:val="20"/>
          <w:szCs w:val="20"/>
        </w:rPr>
        <w:t xml:space="preserve">, </w:t>
      </w:r>
      <w:proofErr w:type="spellStart"/>
      <w:r>
        <w:rPr>
          <w:sz w:val="20"/>
          <w:szCs w:val="20"/>
        </w:rPr>
        <w:t>LaunchEquity</w:t>
      </w:r>
      <w:proofErr w:type="spellEnd"/>
      <w:r>
        <w:rPr>
          <w:sz w:val="20"/>
          <w:szCs w:val="20"/>
        </w:rPr>
        <w:t xml:space="preserve"> Partners, LLC and </w:t>
      </w:r>
      <w:proofErr w:type="spellStart"/>
      <w:r>
        <w:rPr>
          <w:sz w:val="20"/>
          <w:szCs w:val="20"/>
        </w:rPr>
        <w:t>LaunchEquity</w:t>
      </w:r>
      <w:proofErr w:type="spellEnd"/>
      <w:r>
        <w:rPr>
          <w:sz w:val="20"/>
          <w:szCs w:val="20"/>
        </w:rPr>
        <w:t xml:space="preserve"> Acquisition Partners, LLC – Designated Series Education Partners</w:t>
      </w:r>
      <w:r w:rsidR="00AE6B18">
        <w:rPr>
          <w:sz w:val="20"/>
          <w:szCs w:val="20"/>
        </w:rPr>
        <w:t xml:space="preserve"> (together and with their affiliates, “</w:t>
      </w:r>
      <w:proofErr w:type="spellStart"/>
      <w:r w:rsidR="00AE6B18">
        <w:rPr>
          <w:sz w:val="20"/>
          <w:szCs w:val="20"/>
        </w:rPr>
        <w:t>LaunchEquity</w:t>
      </w:r>
      <w:proofErr w:type="spellEnd"/>
      <w:r w:rsidR="00AE6B18">
        <w:rPr>
          <w:sz w:val="20"/>
          <w:szCs w:val="20"/>
        </w:rPr>
        <w:t>”)</w:t>
      </w:r>
      <w:r>
        <w:rPr>
          <w:sz w:val="20"/>
          <w:szCs w:val="20"/>
        </w:rPr>
        <w:t xml:space="preserve">, which was amended August 23, 2011, and relates to </w:t>
      </w:r>
      <w:proofErr w:type="spellStart"/>
      <w:r>
        <w:rPr>
          <w:sz w:val="20"/>
          <w:szCs w:val="20"/>
        </w:rPr>
        <w:t>MakeMusic’s</w:t>
      </w:r>
      <w:proofErr w:type="spellEnd"/>
      <w:r>
        <w:rPr>
          <w:sz w:val="20"/>
          <w:szCs w:val="20"/>
        </w:rPr>
        <w:t xml:space="preserve"> Board composition and certain other matters</w:t>
      </w:r>
      <w:r w:rsidR="00AE6B18">
        <w:rPr>
          <w:sz w:val="20"/>
          <w:szCs w:val="20"/>
        </w:rPr>
        <w:t xml:space="preserve">, including granting </w:t>
      </w:r>
      <w:proofErr w:type="spellStart"/>
      <w:r w:rsidR="00AE6B18">
        <w:rPr>
          <w:sz w:val="20"/>
          <w:szCs w:val="20"/>
        </w:rPr>
        <w:t>LaunchEquity</w:t>
      </w:r>
      <w:proofErr w:type="spellEnd"/>
      <w:r w:rsidR="00AE6B18">
        <w:rPr>
          <w:sz w:val="20"/>
          <w:szCs w:val="20"/>
        </w:rPr>
        <w:t xml:space="preserve"> the right to designate and propose two individuals for the election to the Board subject to </w:t>
      </w:r>
      <w:proofErr w:type="spellStart"/>
      <w:r w:rsidR="00AE6B18">
        <w:rPr>
          <w:sz w:val="20"/>
          <w:szCs w:val="20"/>
        </w:rPr>
        <w:t>MakeMusic</w:t>
      </w:r>
      <w:proofErr w:type="spellEnd"/>
      <w:r w:rsidR="00AE6B18">
        <w:rPr>
          <w:sz w:val="20"/>
          <w:szCs w:val="20"/>
        </w:rPr>
        <w:t xml:space="preserve"> finding that each is reasonably deemed qualified</w:t>
      </w:r>
      <w:r>
        <w:rPr>
          <w:sz w:val="20"/>
          <w:szCs w:val="20"/>
        </w:rPr>
        <w:t xml:space="preserve"> (the “</w:t>
      </w:r>
      <w:proofErr w:type="spellStart"/>
      <w:r>
        <w:rPr>
          <w:sz w:val="20"/>
          <w:szCs w:val="20"/>
        </w:rPr>
        <w:t>LaunchEquity</w:t>
      </w:r>
      <w:proofErr w:type="spellEnd"/>
      <w:r>
        <w:rPr>
          <w:sz w:val="20"/>
          <w:szCs w:val="20"/>
        </w:rPr>
        <w:t xml:space="preserve"> Agreement”). </w:t>
      </w:r>
      <w:proofErr w:type="spellStart"/>
      <w:r w:rsidR="00AE6B18">
        <w:rPr>
          <w:sz w:val="20"/>
          <w:szCs w:val="20"/>
        </w:rPr>
        <w:t>MakeMusic</w:t>
      </w:r>
      <w:proofErr w:type="spellEnd"/>
      <w:r w:rsidR="00AE6B18">
        <w:rPr>
          <w:sz w:val="20"/>
          <w:szCs w:val="20"/>
        </w:rPr>
        <w:t xml:space="preserve"> has been informed that </w:t>
      </w:r>
      <w:proofErr w:type="spellStart"/>
      <w:r w:rsidR="00AE6B18">
        <w:rPr>
          <w:sz w:val="20"/>
          <w:szCs w:val="20"/>
        </w:rPr>
        <w:t>LaunchEquity</w:t>
      </w:r>
      <w:proofErr w:type="spellEnd"/>
      <w:r w:rsidR="00AE6B18">
        <w:rPr>
          <w:sz w:val="20"/>
          <w:szCs w:val="20"/>
        </w:rPr>
        <w:t xml:space="preserve"> requires a separate arrangement with its nominees, including Mr. D’Souza, by which </w:t>
      </w:r>
      <w:proofErr w:type="spellStart"/>
      <w:r w:rsidR="00AE6B18">
        <w:rPr>
          <w:sz w:val="20"/>
          <w:szCs w:val="20"/>
        </w:rPr>
        <w:t>LaunchEquity</w:t>
      </w:r>
      <w:proofErr w:type="spellEnd"/>
      <w:r w:rsidR="00AE6B18">
        <w:rPr>
          <w:sz w:val="20"/>
          <w:szCs w:val="20"/>
        </w:rPr>
        <w:t xml:space="preserve"> can submit the nominee’s resignation from the Board.</w:t>
      </w:r>
      <w:r>
        <w:rPr>
          <w:sz w:val="20"/>
          <w:szCs w:val="20"/>
        </w:rPr>
        <w:t xml:space="preserve"> Mr. D’Souza serves as a member of the Audit </w:t>
      </w:r>
      <w:r>
        <w:rPr>
          <w:color w:val="000000"/>
          <w:sz w:val="20"/>
          <w:szCs w:val="20"/>
        </w:rPr>
        <w:t xml:space="preserve">Committee and Governance Committee. Mr. D’Souza is a managing director of Great Lakes Ventures, LLC. In addition, since 2000, Mr. D’Souza has served as Managing Director of Mason Wells, where he is responsible for managing the venture investment activities of the firm. Through his role with Mason Wells, Mr. D’Souza has served as a director of a number of companies, including: </w:t>
      </w:r>
      <w:proofErr w:type="spellStart"/>
      <w:r>
        <w:rPr>
          <w:color w:val="000000"/>
          <w:sz w:val="20"/>
          <w:szCs w:val="20"/>
        </w:rPr>
        <w:t>Teramedica</w:t>
      </w:r>
      <w:proofErr w:type="spellEnd"/>
      <w:r>
        <w:rPr>
          <w:color w:val="000000"/>
          <w:sz w:val="20"/>
          <w:szCs w:val="20"/>
        </w:rPr>
        <w:t xml:space="preserve">, Inc. (chairman, 2001-present), </w:t>
      </w:r>
      <w:proofErr w:type="spellStart"/>
      <w:r>
        <w:rPr>
          <w:color w:val="000000"/>
          <w:sz w:val="20"/>
          <w:szCs w:val="20"/>
        </w:rPr>
        <w:t>Zystor</w:t>
      </w:r>
      <w:proofErr w:type="spellEnd"/>
      <w:r>
        <w:rPr>
          <w:color w:val="000000"/>
          <w:sz w:val="20"/>
          <w:szCs w:val="20"/>
        </w:rPr>
        <w:t xml:space="preserve"> Therapeutics, Inc. (2004-2010), </w:t>
      </w:r>
      <w:proofErr w:type="spellStart"/>
      <w:r>
        <w:rPr>
          <w:color w:val="000000"/>
          <w:sz w:val="20"/>
          <w:szCs w:val="20"/>
        </w:rPr>
        <w:t>Deltanoid</w:t>
      </w:r>
      <w:proofErr w:type="spellEnd"/>
      <w:r>
        <w:rPr>
          <w:color w:val="000000"/>
          <w:sz w:val="20"/>
          <w:szCs w:val="20"/>
        </w:rPr>
        <w:t xml:space="preserve"> Pharmaceuticals, Inc. (2001-present), </w:t>
      </w:r>
      <w:proofErr w:type="spellStart"/>
      <w:r>
        <w:rPr>
          <w:color w:val="000000"/>
          <w:sz w:val="20"/>
          <w:szCs w:val="20"/>
        </w:rPr>
        <w:t>OpGen</w:t>
      </w:r>
      <w:proofErr w:type="spellEnd"/>
      <w:r>
        <w:rPr>
          <w:color w:val="000000"/>
          <w:sz w:val="20"/>
          <w:szCs w:val="20"/>
        </w:rPr>
        <w:t xml:space="preserve">, Inc. (2002-2009), </w:t>
      </w:r>
      <w:proofErr w:type="spellStart"/>
      <w:r>
        <w:rPr>
          <w:color w:val="000000"/>
          <w:sz w:val="20"/>
          <w:szCs w:val="20"/>
        </w:rPr>
        <w:t>NameProtect</w:t>
      </w:r>
      <w:proofErr w:type="spellEnd"/>
      <w:r>
        <w:rPr>
          <w:color w:val="000000"/>
          <w:sz w:val="20"/>
          <w:szCs w:val="20"/>
        </w:rPr>
        <w:t xml:space="preserve">, Inc. (chairman, 2001-2007), </w:t>
      </w:r>
      <w:proofErr w:type="spellStart"/>
      <w:r>
        <w:rPr>
          <w:color w:val="000000"/>
          <w:sz w:val="20"/>
          <w:szCs w:val="20"/>
        </w:rPr>
        <w:t>Mezzia</w:t>
      </w:r>
      <w:proofErr w:type="spellEnd"/>
      <w:r>
        <w:rPr>
          <w:color w:val="000000"/>
          <w:sz w:val="20"/>
          <w:szCs w:val="20"/>
        </w:rPr>
        <w:t xml:space="preserve">, Inc. (2001-2006), and Dedicated Computing (2007-2009). Prior to joining Mason Wells, Mr. D’Souza served as the President and CEO of </w:t>
      </w:r>
      <w:proofErr w:type="spellStart"/>
      <w:r>
        <w:rPr>
          <w:color w:val="000000"/>
          <w:sz w:val="20"/>
          <w:szCs w:val="20"/>
        </w:rPr>
        <w:t>Pharmasoft</w:t>
      </w:r>
      <w:proofErr w:type="spellEnd"/>
      <w:r>
        <w:rPr>
          <w:color w:val="000000"/>
          <w:sz w:val="20"/>
          <w:szCs w:val="20"/>
        </w:rPr>
        <w:t xml:space="preserve"> North America, Inc. from 1997 to </w:t>
      </w:r>
      <w:proofErr w:type="gramStart"/>
      <w:r>
        <w:rPr>
          <w:color w:val="000000"/>
          <w:sz w:val="20"/>
          <w:szCs w:val="20"/>
        </w:rPr>
        <w:t>1999,</w:t>
      </w:r>
      <w:proofErr w:type="gramEnd"/>
      <w:r>
        <w:rPr>
          <w:color w:val="000000"/>
          <w:sz w:val="20"/>
          <w:szCs w:val="20"/>
        </w:rPr>
        <w:t xml:space="preserve"> and as a Program Manager for Booz-Allen &amp; Hamilton from 1994 to 1997. Mr. D’Souza earned a Master</w:t>
      </w:r>
      <w:r w:rsidR="00243E2F">
        <w:rPr>
          <w:color w:val="000000"/>
          <w:sz w:val="20"/>
          <w:szCs w:val="20"/>
        </w:rPr>
        <w:t>’</w:t>
      </w:r>
      <w:r>
        <w:rPr>
          <w:color w:val="000000"/>
          <w:sz w:val="20"/>
          <w:szCs w:val="20"/>
        </w:rPr>
        <w:t xml:space="preserve">s Degree in Business Administration from George Washington University, and a Bachelor of Science in Engineering from the Catholic University of America. Among other attributes, skills, experiences and qualifications, the Board believes that it is beneficial for Mr. D’Souza to serve as a director of </w:t>
      </w:r>
      <w:proofErr w:type="spellStart"/>
      <w:r>
        <w:rPr>
          <w:color w:val="000000"/>
          <w:sz w:val="20"/>
          <w:szCs w:val="20"/>
        </w:rPr>
        <w:t>MakeMusic</w:t>
      </w:r>
      <w:proofErr w:type="spellEnd"/>
      <w:r>
        <w:rPr>
          <w:color w:val="000000"/>
          <w:sz w:val="20"/>
          <w:szCs w:val="20"/>
        </w:rPr>
        <w:t xml:space="preserve"> because he has significant board experience, particularly with respect to companies that are similar in size to </w:t>
      </w:r>
      <w:proofErr w:type="spellStart"/>
      <w:r>
        <w:rPr>
          <w:color w:val="000000"/>
          <w:sz w:val="20"/>
          <w:szCs w:val="20"/>
        </w:rPr>
        <w:t>MakeMusic</w:t>
      </w:r>
      <w:proofErr w:type="spellEnd"/>
      <w:r>
        <w:rPr>
          <w:color w:val="000000"/>
          <w:sz w:val="20"/>
          <w:szCs w:val="20"/>
        </w:rPr>
        <w:t xml:space="preserve">, as well as valuable business and management expertise. The Board believes these experiences will allow Mr. D’Souza to understand issues that face </w:t>
      </w:r>
      <w:proofErr w:type="spellStart"/>
      <w:r>
        <w:rPr>
          <w:color w:val="000000"/>
          <w:sz w:val="20"/>
          <w:szCs w:val="20"/>
        </w:rPr>
        <w:t>MakeMusic</w:t>
      </w:r>
      <w:proofErr w:type="spellEnd"/>
      <w:r>
        <w:rPr>
          <w:color w:val="000000"/>
          <w:sz w:val="20"/>
          <w:szCs w:val="20"/>
        </w:rPr>
        <w:t>, and to contribute to oversight of compliance with SEC and accounting rules.</w:t>
      </w:r>
    </w:p>
    <w:p w:rsidR="006A03B5" w:rsidRDefault="006A03B5" w:rsidP="006A03B5">
      <w:pPr>
        <w:spacing w:before="100" w:beforeAutospacing="1" w:after="100" w:afterAutospacing="1"/>
        <w:ind w:firstLine="720"/>
        <w:rPr>
          <w:color w:val="000000"/>
          <w:sz w:val="20"/>
          <w:szCs w:val="20"/>
        </w:rPr>
      </w:pPr>
      <w:r>
        <w:rPr>
          <w:b/>
          <w:bCs/>
          <w:color w:val="000000"/>
          <w:sz w:val="20"/>
          <w:szCs w:val="20"/>
        </w:rPr>
        <w:t xml:space="preserve">Keith A. </w:t>
      </w:r>
      <w:proofErr w:type="spellStart"/>
      <w:r>
        <w:rPr>
          <w:b/>
          <w:bCs/>
          <w:color w:val="000000"/>
          <w:sz w:val="20"/>
          <w:szCs w:val="20"/>
        </w:rPr>
        <w:t>Fenhaus</w:t>
      </w:r>
      <w:proofErr w:type="spellEnd"/>
      <w:r>
        <w:rPr>
          <w:rStyle w:val="apple-converted-space"/>
          <w:b/>
          <w:bCs/>
          <w:color w:val="000000"/>
          <w:sz w:val="20"/>
          <w:szCs w:val="20"/>
        </w:rPr>
        <w:t> </w:t>
      </w:r>
      <w:r>
        <w:rPr>
          <w:color w:val="000000"/>
          <w:sz w:val="20"/>
          <w:szCs w:val="20"/>
        </w:rPr>
        <w:t>was elected as a director on March 15, 2007. Mr. </w:t>
      </w:r>
      <w:proofErr w:type="spellStart"/>
      <w:r>
        <w:rPr>
          <w:color w:val="000000"/>
          <w:sz w:val="20"/>
          <w:szCs w:val="20"/>
        </w:rPr>
        <w:t>Fenhaus</w:t>
      </w:r>
      <w:proofErr w:type="spellEnd"/>
      <w:r>
        <w:rPr>
          <w:color w:val="000000"/>
          <w:sz w:val="20"/>
          <w:szCs w:val="20"/>
        </w:rPr>
        <w:t xml:space="preserve"> has served as the Audit Committee Chairman since the date of his appointment and has served as a member of the Compensation Committee since November 2010. In 2010, Mr. </w:t>
      </w:r>
      <w:proofErr w:type="spellStart"/>
      <w:r>
        <w:rPr>
          <w:color w:val="000000"/>
          <w:sz w:val="20"/>
          <w:szCs w:val="20"/>
        </w:rPr>
        <w:t>Fenhaus</w:t>
      </w:r>
      <w:proofErr w:type="spellEnd"/>
      <w:r>
        <w:rPr>
          <w:color w:val="000000"/>
          <w:sz w:val="20"/>
          <w:szCs w:val="20"/>
        </w:rPr>
        <w:t xml:space="preserve"> was promoted to President of Hallmark Business Connections which includes all the business-to-business entities of Hallmark Cards, Inc. </w:t>
      </w:r>
      <w:proofErr w:type="gramStart"/>
      <w:r>
        <w:rPr>
          <w:color w:val="000000"/>
          <w:sz w:val="20"/>
          <w:szCs w:val="20"/>
        </w:rPr>
        <w:t>Prior</w:t>
      </w:r>
      <w:proofErr w:type="gramEnd"/>
      <w:r>
        <w:rPr>
          <w:color w:val="000000"/>
          <w:sz w:val="20"/>
          <w:szCs w:val="20"/>
        </w:rPr>
        <w:t xml:space="preserve"> to 2010, Mr. </w:t>
      </w:r>
      <w:proofErr w:type="spellStart"/>
      <w:r>
        <w:rPr>
          <w:color w:val="000000"/>
          <w:sz w:val="20"/>
          <w:szCs w:val="20"/>
        </w:rPr>
        <w:t>Fenhaus</w:t>
      </w:r>
      <w:proofErr w:type="spellEnd"/>
      <w:r>
        <w:rPr>
          <w:color w:val="000000"/>
          <w:sz w:val="20"/>
          <w:szCs w:val="20"/>
        </w:rPr>
        <w:t xml:space="preserve"> was President of Hallmark Insights, a wholly-owned subsidiary of Hallmark Cards, specializing in business incentive solutions. Mr. </w:t>
      </w:r>
      <w:proofErr w:type="spellStart"/>
      <w:r>
        <w:rPr>
          <w:color w:val="000000"/>
          <w:sz w:val="20"/>
          <w:szCs w:val="20"/>
        </w:rPr>
        <w:t>Fenhaus</w:t>
      </w:r>
      <w:proofErr w:type="spellEnd"/>
      <w:r>
        <w:rPr>
          <w:color w:val="000000"/>
          <w:sz w:val="20"/>
          <w:szCs w:val="20"/>
        </w:rPr>
        <w:t xml:space="preserve"> has previously served Hallmark Insights, where he has been employed since 1992, as Executive Vice President and Chief Financial Officer. Prior to joining Hallmark Insights, Mr. </w:t>
      </w:r>
      <w:proofErr w:type="spellStart"/>
      <w:r>
        <w:rPr>
          <w:color w:val="000000"/>
          <w:sz w:val="20"/>
          <w:szCs w:val="20"/>
        </w:rPr>
        <w:t>Fenhaus</w:t>
      </w:r>
      <w:proofErr w:type="spellEnd"/>
      <w:r>
        <w:rPr>
          <w:color w:val="000000"/>
          <w:sz w:val="20"/>
          <w:szCs w:val="20"/>
        </w:rPr>
        <w:t xml:space="preserve"> was the Chief Financial Officer of </w:t>
      </w:r>
      <w:proofErr w:type="spellStart"/>
      <w:r>
        <w:rPr>
          <w:color w:val="000000"/>
          <w:sz w:val="20"/>
          <w:szCs w:val="20"/>
        </w:rPr>
        <w:t>Sheffert</w:t>
      </w:r>
      <w:proofErr w:type="spellEnd"/>
      <w:r>
        <w:rPr>
          <w:color w:val="000000"/>
          <w:sz w:val="20"/>
          <w:szCs w:val="20"/>
        </w:rPr>
        <w:t xml:space="preserve"> &amp; </w:t>
      </w:r>
      <w:proofErr w:type="spellStart"/>
      <w:r>
        <w:rPr>
          <w:color w:val="000000"/>
          <w:sz w:val="20"/>
          <w:szCs w:val="20"/>
        </w:rPr>
        <w:t>Wein</w:t>
      </w:r>
      <w:proofErr w:type="spellEnd"/>
      <w:r>
        <w:rPr>
          <w:color w:val="000000"/>
          <w:sz w:val="20"/>
          <w:szCs w:val="20"/>
        </w:rPr>
        <w:t>. His previous positions included Senior Vice President, Finance, Community Financial Services at First Bank (now US Bank), and Vice President and Controller at Norwest Mortgage (now Wells Fargo Home Mortgage). Mr. </w:t>
      </w:r>
      <w:proofErr w:type="spellStart"/>
      <w:r>
        <w:rPr>
          <w:color w:val="000000"/>
          <w:sz w:val="20"/>
          <w:szCs w:val="20"/>
        </w:rPr>
        <w:t>Fenhaus</w:t>
      </w:r>
      <w:proofErr w:type="spellEnd"/>
      <w:r>
        <w:rPr>
          <w:color w:val="000000"/>
          <w:sz w:val="20"/>
          <w:szCs w:val="20"/>
        </w:rPr>
        <w:t xml:space="preserve"> has a bachelor of business administration degree from the University of Wisconsin. Among other attributes, skills, experiences and qualifications, the Board believes that it is beneficial for Mr. </w:t>
      </w:r>
      <w:proofErr w:type="spellStart"/>
      <w:r>
        <w:rPr>
          <w:color w:val="000000"/>
          <w:sz w:val="20"/>
          <w:szCs w:val="20"/>
        </w:rPr>
        <w:t>Fenhaus</w:t>
      </w:r>
      <w:proofErr w:type="spellEnd"/>
      <w:r>
        <w:rPr>
          <w:color w:val="000000"/>
          <w:sz w:val="20"/>
          <w:szCs w:val="20"/>
        </w:rPr>
        <w:t xml:space="preserve"> to serve as a director of </w:t>
      </w:r>
      <w:proofErr w:type="spellStart"/>
      <w:r>
        <w:rPr>
          <w:color w:val="000000"/>
          <w:sz w:val="20"/>
          <w:szCs w:val="20"/>
        </w:rPr>
        <w:t>MakeMusic</w:t>
      </w:r>
      <w:proofErr w:type="spellEnd"/>
      <w:r>
        <w:rPr>
          <w:color w:val="000000"/>
          <w:sz w:val="20"/>
          <w:szCs w:val="20"/>
        </w:rPr>
        <w:t xml:space="preserve"> because his business leadership experience allows him to understand the challenges and requirements applicable to a public company, particularly companies that are to </w:t>
      </w:r>
      <w:proofErr w:type="spellStart"/>
      <w:r>
        <w:rPr>
          <w:color w:val="000000"/>
          <w:sz w:val="20"/>
          <w:szCs w:val="20"/>
        </w:rPr>
        <w:t>MakeMusic</w:t>
      </w:r>
      <w:proofErr w:type="spellEnd"/>
      <w:r>
        <w:rPr>
          <w:color w:val="000000"/>
          <w:sz w:val="20"/>
          <w:szCs w:val="20"/>
        </w:rPr>
        <w:t xml:space="preserve"> in size and structure, and his education and financial industry experience give him an ability to understand generally accepted accounting principles and internal control procedures and analyze and evaluate financial statements.</w:t>
      </w:r>
    </w:p>
    <w:p w:rsidR="006A03B5" w:rsidRDefault="006A03B5" w:rsidP="006A03B5">
      <w:pPr>
        <w:pStyle w:val="NormalWeb"/>
        <w:shd w:val="clear" w:color="auto" w:fill="FFFFFF"/>
        <w:spacing w:before="0" w:beforeAutospacing="0" w:after="0" w:afterAutospacing="0"/>
        <w:ind w:firstLine="490"/>
        <w:rPr>
          <w:color w:val="000000"/>
          <w:sz w:val="20"/>
          <w:szCs w:val="20"/>
        </w:rPr>
      </w:pPr>
      <w:r>
        <w:rPr>
          <w:b/>
          <w:bCs/>
          <w:color w:val="000000"/>
          <w:sz w:val="20"/>
          <w:szCs w:val="20"/>
        </w:rPr>
        <w:t>Graham Richmond</w:t>
      </w:r>
      <w:r>
        <w:rPr>
          <w:rStyle w:val="apple-converted-space"/>
          <w:b/>
          <w:bCs/>
          <w:color w:val="000000"/>
          <w:sz w:val="20"/>
          <w:szCs w:val="20"/>
        </w:rPr>
        <w:t> </w:t>
      </w:r>
      <w:r>
        <w:rPr>
          <w:color w:val="000000"/>
          <w:sz w:val="20"/>
          <w:szCs w:val="20"/>
        </w:rPr>
        <w:t xml:space="preserve">was elected to the Board of Directors on July 25, 2006. Mr. Richmond is Chairman of the Governance Committee and is currently a member of the Audit Committee. Mr. Richmond is the Chief Executive Officer and co-founder of Clear Admit, LLC, an educational counseling company focused on management education. Prior to launching Clear Admit at the end of 2001, Mr. Richmond worked as an admissions counselor and technology consultant for the Wharton School at the University of Pennsylvania. Mr. Richmond’s career also includes a position as Vice President of Marketing and Operations at MCS Multi-App, an educational technology company that served the leading law and business schools with software applications in the 1990s. Beyond his professional career, Mr. Richmond has pursued his passion for music as a classical and jazz flautist and singer/songwriter/guitarist and is a member of the board of the Association of International Graduate Admissions Consultants, a not-for-profit association that assists in setting industry standards for graduate admissions consultants. He holds an undergraduate degree in art history from Swarthmore College and an MBA in entrepreneurial management from the Wharton School at the University of Pennsylvania. Among other attributes, skills, experiences and qualifications, the Board believes that it is beneficial for Mr. Richmond to serve as a director of </w:t>
      </w:r>
      <w:proofErr w:type="spellStart"/>
      <w:r>
        <w:rPr>
          <w:color w:val="000000"/>
          <w:sz w:val="20"/>
          <w:szCs w:val="20"/>
        </w:rPr>
        <w:t>MakeMusic</w:t>
      </w:r>
      <w:proofErr w:type="spellEnd"/>
      <w:r>
        <w:rPr>
          <w:color w:val="000000"/>
          <w:sz w:val="20"/>
          <w:szCs w:val="20"/>
        </w:rPr>
        <w:t xml:space="preserve"> because his business leadership experience and education allow him to understand </w:t>
      </w:r>
      <w:proofErr w:type="spellStart"/>
      <w:r>
        <w:rPr>
          <w:color w:val="000000"/>
          <w:sz w:val="20"/>
          <w:szCs w:val="20"/>
        </w:rPr>
        <w:t>MakeMusic’s</w:t>
      </w:r>
      <w:proofErr w:type="spellEnd"/>
      <w:r>
        <w:rPr>
          <w:color w:val="000000"/>
          <w:sz w:val="20"/>
          <w:szCs w:val="20"/>
        </w:rPr>
        <w:t xml:space="preserve"> challenges and strategies, and his knowledge of e-commerce marketing strategies complement </w:t>
      </w:r>
      <w:proofErr w:type="spellStart"/>
      <w:r>
        <w:rPr>
          <w:color w:val="000000"/>
          <w:sz w:val="20"/>
          <w:szCs w:val="20"/>
        </w:rPr>
        <w:t>MakeMusic’s</w:t>
      </w:r>
      <w:proofErr w:type="spellEnd"/>
      <w:r>
        <w:rPr>
          <w:color w:val="000000"/>
          <w:sz w:val="20"/>
          <w:szCs w:val="20"/>
        </w:rPr>
        <w:t xml:space="preserve"> strategy and products.</w:t>
      </w:r>
    </w:p>
    <w:p w:rsidR="006A03B5" w:rsidRDefault="006A03B5" w:rsidP="006A03B5">
      <w:pPr>
        <w:pStyle w:val="NormalWeb"/>
        <w:shd w:val="clear" w:color="auto" w:fill="FFFFFF"/>
        <w:spacing w:before="240" w:beforeAutospacing="0" w:after="200" w:afterAutospacing="0"/>
        <w:ind w:firstLine="490"/>
        <w:rPr>
          <w:color w:val="000000"/>
          <w:sz w:val="20"/>
          <w:szCs w:val="20"/>
        </w:rPr>
      </w:pPr>
      <w:r>
        <w:rPr>
          <w:b/>
          <w:bCs/>
          <w:color w:val="000000"/>
          <w:sz w:val="20"/>
          <w:szCs w:val="20"/>
        </w:rPr>
        <w:t>Michael Skinner</w:t>
      </w:r>
      <w:r>
        <w:rPr>
          <w:rStyle w:val="apple-converted-space"/>
          <w:b/>
          <w:bCs/>
          <w:color w:val="000000"/>
          <w:sz w:val="20"/>
          <w:szCs w:val="20"/>
        </w:rPr>
        <w:t> </w:t>
      </w:r>
      <w:r>
        <w:rPr>
          <w:color w:val="000000"/>
          <w:sz w:val="20"/>
          <w:szCs w:val="20"/>
        </w:rPr>
        <w:t xml:space="preserve">was appointed to the Board of Directors on November 20, 2006, and is Chairman of the Compensation Committee. Mr. Skinner is a summa cum laude graduate of </w:t>
      </w:r>
      <w:proofErr w:type="spellStart"/>
      <w:r>
        <w:rPr>
          <w:color w:val="000000"/>
          <w:sz w:val="20"/>
          <w:szCs w:val="20"/>
        </w:rPr>
        <w:t>Berklee</w:t>
      </w:r>
      <w:proofErr w:type="spellEnd"/>
      <w:r>
        <w:rPr>
          <w:color w:val="000000"/>
          <w:sz w:val="20"/>
          <w:szCs w:val="20"/>
        </w:rPr>
        <w:t xml:space="preserve"> College of Music with a bachelor’s degree in music education. He received his master’s degree in music composition from the University of Miami. Mr. Skinner has worked as a composer, arranger, clinician, and performer, as well as a music educator, having taught elementary through high school music. In 1986, Mr. Skinner became the national clinician for </w:t>
      </w:r>
      <w:proofErr w:type="spellStart"/>
      <w:r>
        <w:rPr>
          <w:color w:val="000000"/>
          <w:sz w:val="20"/>
          <w:szCs w:val="20"/>
        </w:rPr>
        <w:t>Vandoren</w:t>
      </w:r>
      <w:proofErr w:type="spellEnd"/>
      <w:r>
        <w:rPr>
          <w:color w:val="000000"/>
          <w:sz w:val="20"/>
          <w:szCs w:val="20"/>
        </w:rPr>
        <w:t xml:space="preserve"> and a Yamaha performing artist. He later became marketing manager for J. </w:t>
      </w:r>
      <w:proofErr w:type="spellStart"/>
      <w:r>
        <w:rPr>
          <w:color w:val="000000"/>
          <w:sz w:val="20"/>
          <w:szCs w:val="20"/>
        </w:rPr>
        <w:t>D’Addario</w:t>
      </w:r>
      <w:proofErr w:type="spellEnd"/>
      <w:r>
        <w:rPr>
          <w:color w:val="000000"/>
          <w:sz w:val="20"/>
          <w:szCs w:val="20"/>
        </w:rPr>
        <w:t xml:space="preserve"> &amp; Co., marketing </w:t>
      </w:r>
      <w:proofErr w:type="spellStart"/>
      <w:r>
        <w:rPr>
          <w:color w:val="000000"/>
          <w:sz w:val="20"/>
          <w:szCs w:val="20"/>
        </w:rPr>
        <w:t>Vandoren</w:t>
      </w:r>
      <w:proofErr w:type="spellEnd"/>
      <w:r>
        <w:rPr>
          <w:color w:val="000000"/>
          <w:sz w:val="20"/>
          <w:szCs w:val="20"/>
        </w:rPr>
        <w:t xml:space="preserve"> products as well as J. </w:t>
      </w:r>
      <w:proofErr w:type="spellStart"/>
      <w:r>
        <w:rPr>
          <w:color w:val="000000"/>
          <w:sz w:val="20"/>
          <w:szCs w:val="20"/>
        </w:rPr>
        <w:t>D’Addario</w:t>
      </w:r>
      <w:proofErr w:type="spellEnd"/>
      <w:r>
        <w:rPr>
          <w:color w:val="000000"/>
          <w:sz w:val="20"/>
          <w:szCs w:val="20"/>
        </w:rPr>
        <w:t xml:space="preserve"> education products. From 1991-2001, Mr. Skinner served as the marketing manager for education products for the Band &amp; Orchestral Division, Yamaha Corporation of America. During his tenure at Yamaha Mr. Skinner managed the technology driven education system called Music In Education ™, </w:t>
      </w:r>
      <w:proofErr w:type="gramStart"/>
      <w:r>
        <w:rPr>
          <w:color w:val="000000"/>
          <w:sz w:val="20"/>
          <w:szCs w:val="20"/>
        </w:rPr>
        <w:t>a software</w:t>
      </w:r>
      <w:proofErr w:type="gramEnd"/>
      <w:r>
        <w:rPr>
          <w:color w:val="000000"/>
          <w:sz w:val="20"/>
          <w:szCs w:val="20"/>
        </w:rPr>
        <w:t xml:space="preserve"> and hardware based keyboard system integrating curriculum and assessment into a keyboard lab. In July of 2001, he returned to J. </w:t>
      </w:r>
      <w:proofErr w:type="spellStart"/>
      <w:r>
        <w:rPr>
          <w:color w:val="000000"/>
          <w:sz w:val="20"/>
          <w:szCs w:val="20"/>
        </w:rPr>
        <w:t>D’Addario</w:t>
      </w:r>
      <w:proofErr w:type="spellEnd"/>
      <w:r>
        <w:rPr>
          <w:color w:val="000000"/>
          <w:sz w:val="20"/>
          <w:szCs w:val="20"/>
        </w:rPr>
        <w:t xml:space="preserve"> &amp; Co. as Director of Marketing for Band &amp; Orchestra products. In July 2004, Mr. Skinner formed DANSR and became the sole U.S. importer of </w:t>
      </w:r>
      <w:proofErr w:type="spellStart"/>
      <w:r>
        <w:rPr>
          <w:color w:val="000000"/>
          <w:sz w:val="20"/>
          <w:szCs w:val="20"/>
        </w:rPr>
        <w:t>Vandoren</w:t>
      </w:r>
      <w:proofErr w:type="spellEnd"/>
      <w:r>
        <w:rPr>
          <w:color w:val="000000"/>
          <w:sz w:val="20"/>
          <w:szCs w:val="20"/>
        </w:rPr>
        <w:t xml:space="preserve"> Products. Today, he remains the President of DANSR. In January 2011, Mr. Skinner was appointed to the board of NAMM, a trade association for the global music products industry, for a term ending in 2014. Among other attributes, skills, experiences and qualifications, the Board believes that it is beneficial for Mr. Skinner to serve as a director of </w:t>
      </w:r>
      <w:proofErr w:type="spellStart"/>
      <w:r>
        <w:rPr>
          <w:color w:val="000000"/>
          <w:sz w:val="20"/>
          <w:szCs w:val="20"/>
        </w:rPr>
        <w:t>MakeMusic</w:t>
      </w:r>
      <w:proofErr w:type="spellEnd"/>
      <w:r>
        <w:rPr>
          <w:color w:val="000000"/>
          <w:sz w:val="20"/>
          <w:szCs w:val="20"/>
        </w:rPr>
        <w:t xml:space="preserve"> because his extensive experience in marketing to music educators and music product retailers allow him to understand </w:t>
      </w:r>
      <w:proofErr w:type="spellStart"/>
      <w:r>
        <w:rPr>
          <w:color w:val="000000"/>
          <w:sz w:val="20"/>
          <w:szCs w:val="20"/>
        </w:rPr>
        <w:t>MakeMusic’s</w:t>
      </w:r>
      <w:proofErr w:type="spellEnd"/>
      <w:r>
        <w:rPr>
          <w:color w:val="000000"/>
          <w:sz w:val="20"/>
          <w:szCs w:val="20"/>
        </w:rPr>
        <w:t xml:space="preserve"> opportunities and challenges and make strategic contributions.</w:t>
      </w:r>
    </w:p>
    <w:p w:rsidR="006A03B5" w:rsidRDefault="006A03B5" w:rsidP="006A03B5">
      <w:pPr>
        <w:spacing w:before="100" w:beforeAutospacing="1" w:after="200"/>
        <w:ind w:firstLine="720"/>
        <w:rPr>
          <w:sz w:val="20"/>
          <w:szCs w:val="20"/>
        </w:rPr>
      </w:pPr>
      <w:r>
        <w:rPr>
          <w:b/>
          <w:bCs/>
          <w:iCs/>
          <w:sz w:val="20"/>
          <w:szCs w:val="20"/>
        </w:rPr>
        <w:t>Karen L. VanDerBosch</w:t>
      </w:r>
      <w:r>
        <w:rPr>
          <w:b/>
          <w:bCs/>
          <w:i/>
          <w:iCs/>
          <w:sz w:val="20"/>
          <w:szCs w:val="20"/>
        </w:rPr>
        <w:t xml:space="preserve"> </w:t>
      </w:r>
      <w:r>
        <w:rPr>
          <w:sz w:val="20"/>
          <w:szCs w:val="20"/>
        </w:rPr>
        <w:t xml:space="preserve">joined </w:t>
      </w:r>
      <w:proofErr w:type="spellStart"/>
      <w:r>
        <w:rPr>
          <w:sz w:val="20"/>
          <w:szCs w:val="20"/>
        </w:rPr>
        <w:t>MakeMusic</w:t>
      </w:r>
      <w:proofErr w:type="spellEnd"/>
      <w:r>
        <w:rPr>
          <w:sz w:val="20"/>
          <w:szCs w:val="20"/>
        </w:rPr>
        <w:t xml:space="preserve"> as Chief Financial Officer and Treasurer in December 2006.  On November 10, 2010, Ms. VanDerBosch was appointed Chief Operating Officer.  Ms. VanDerBosch was most recently the CFO of Sagebrush Corporation, a privately held developer of library automation software, and services, analytical software and book re-binder for the K-12 education market. Ms. VanDerBosch previously served as CFO for KB Gear Interactive, a privately held developer and marketer of interactive digital devices and applications serving retail markets. Her extensive background in manufacturing and technology industries also included CFO positions at EMPAK Inc. and the publicly traded Fieldworks Inc. Ms. VanDerBosch holds a </w:t>
      </w:r>
      <w:proofErr w:type="gramStart"/>
      <w:r>
        <w:rPr>
          <w:sz w:val="20"/>
          <w:szCs w:val="20"/>
        </w:rPr>
        <w:t>bachelor of science</w:t>
      </w:r>
      <w:proofErr w:type="gramEnd"/>
      <w:r>
        <w:rPr>
          <w:sz w:val="20"/>
          <w:szCs w:val="20"/>
        </w:rPr>
        <w:t xml:space="preserve"> degree in accounting from the University of Minnesota.</w:t>
      </w:r>
    </w:p>
    <w:p w:rsidR="006A03B5" w:rsidRDefault="006A03B5" w:rsidP="006A03B5">
      <w:pPr>
        <w:spacing w:before="100" w:beforeAutospacing="1" w:after="100" w:afterAutospacing="1"/>
        <w:ind w:firstLine="720"/>
        <w:rPr>
          <w:sz w:val="20"/>
          <w:szCs w:val="20"/>
        </w:rPr>
      </w:pPr>
      <w:r>
        <w:rPr>
          <w:b/>
          <w:color w:val="000000"/>
          <w:sz w:val="20"/>
          <w:szCs w:val="20"/>
        </w:rPr>
        <w:t>Paul D. Carlson</w:t>
      </w:r>
      <w:r>
        <w:rPr>
          <w:color w:val="000000"/>
          <w:sz w:val="20"/>
          <w:szCs w:val="20"/>
        </w:rPr>
        <w:t xml:space="preserve"> joined </w:t>
      </w:r>
      <w:proofErr w:type="spellStart"/>
      <w:r>
        <w:rPr>
          <w:color w:val="000000"/>
          <w:sz w:val="20"/>
          <w:szCs w:val="20"/>
        </w:rPr>
        <w:t>MakeMusic</w:t>
      </w:r>
      <w:proofErr w:type="spellEnd"/>
      <w:r>
        <w:rPr>
          <w:color w:val="000000"/>
          <w:sz w:val="20"/>
          <w:szCs w:val="20"/>
        </w:rPr>
        <w:t xml:space="preserve"> as Chief Technology Officer in Au</w:t>
      </w:r>
      <w:r>
        <w:rPr>
          <w:sz w:val="20"/>
          <w:szCs w:val="20"/>
        </w:rPr>
        <w:t xml:space="preserve">gust 2011. </w:t>
      </w:r>
      <w:r>
        <w:rPr>
          <w:sz w:val="20"/>
          <w:szCs w:val="20"/>
          <w:shd w:val="clear" w:color="auto" w:fill="FFFFFF"/>
        </w:rPr>
        <w:t xml:space="preserve">Mr. Carlson has more than 20 years of experience in a variety of technology roles. From 2006 to 2011, Mr. Carlson held technology and business leadership positions with Ceridian Corporation including Chief Software Engineer, technology leader for Ceridian’s human resources outsourcing division, and Vice President—Product Management. Prior to Ceridian, Mr. Carlson was Chief Technology Officer for </w:t>
      </w:r>
      <w:proofErr w:type="spellStart"/>
      <w:r>
        <w:rPr>
          <w:sz w:val="20"/>
          <w:szCs w:val="20"/>
          <w:shd w:val="clear" w:color="auto" w:fill="FFFFFF"/>
        </w:rPr>
        <w:t>Oculan</w:t>
      </w:r>
      <w:proofErr w:type="spellEnd"/>
      <w:r>
        <w:rPr>
          <w:sz w:val="20"/>
          <w:szCs w:val="20"/>
          <w:shd w:val="clear" w:color="auto" w:fill="FFFFFF"/>
        </w:rPr>
        <w:t xml:space="preserve"> Systems Inc., and Vice President—Service Development for </w:t>
      </w:r>
      <w:proofErr w:type="spellStart"/>
      <w:r>
        <w:rPr>
          <w:sz w:val="20"/>
          <w:szCs w:val="20"/>
          <w:shd w:val="clear" w:color="auto" w:fill="FFFFFF"/>
        </w:rPr>
        <w:t>Agiliti</w:t>
      </w:r>
      <w:proofErr w:type="spellEnd"/>
      <w:r>
        <w:rPr>
          <w:sz w:val="20"/>
          <w:szCs w:val="20"/>
          <w:shd w:val="clear" w:color="auto" w:fill="FFFFFF"/>
        </w:rPr>
        <w:t xml:space="preserve">, Inc. Mr. Carlson holds a </w:t>
      </w:r>
      <w:proofErr w:type="gramStart"/>
      <w:r>
        <w:rPr>
          <w:sz w:val="20"/>
          <w:szCs w:val="20"/>
          <w:shd w:val="clear" w:color="auto" w:fill="FFFFFF"/>
        </w:rPr>
        <w:t>bachelor of science</w:t>
      </w:r>
      <w:proofErr w:type="gramEnd"/>
      <w:r>
        <w:rPr>
          <w:sz w:val="20"/>
          <w:szCs w:val="20"/>
          <w:shd w:val="clear" w:color="auto" w:fill="FFFFFF"/>
        </w:rPr>
        <w:t xml:space="preserve"> degree in computer science from the University of Wisconsin–River Falls and an master of science degree in software engineering from the University of St. Thomas.</w:t>
      </w:r>
    </w:p>
    <w:p w:rsidR="00067612" w:rsidRDefault="00067612" w:rsidP="00067612">
      <w:pPr>
        <w:pStyle w:val="BodyTextFirstIndentSingle"/>
        <w:ind w:firstLine="0"/>
        <w:jc w:val="left"/>
        <w:rPr>
          <w:b/>
          <w:szCs w:val="20"/>
        </w:rPr>
      </w:pPr>
      <w:r>
        <w:rPr>
          <w:b/>
          <w:szCs w:val="20"/>
        </w:rPr>
        <w:t>Section 16(a) Beneficial Ownership Reporting Compliance</w:t>
      </w:r>
    </w:p>
    <w:p w:rsidR="00067612" w:rsidRDefault="00067612" w:rsidP="00067612">
      <w:pPr>
        <w:spacing w:before="100" w:beforeAutospacing="1" w:after="100" w:afterAutospacing="1"/>
        <w:ind w:firstLine="720"/>
        <w:rPr>
          <w:sz w:val="20"/>
          <w:szCs w:val="20"/>
        </w:rPr>
      </w:pPr>
      <w:r>
        <w:rPr>
          <w:sz w:val="20"/>
          <w:szCs w:val="20"/>
        </w:rPr>
        <w:t xml:space="preserve">Section 16(a) of the Securities Exchange Act of 1934 (the “Exchange Act”) requires our executive officers, directors, and persons who own more than 10% of our Common Stock, to file with the Securities and Exchange Commission initial reports of ownership and reports of changes in ownership of Common Stock and other equity securities of </w:t>
      </w:r>
      <w:proofErr w:type="spellStart"/>
      <w:r>
        <w:rPr>
          <w:sz w:val="20"/>
          <w:szCs w:val="20"/>
        </w:rPr>
        <w:t>MakeMusic</w:t>
      </w:r>
      <w:proofErr w:type="spellEnd"/>
      <w:r>
        <w:rPr>
          <w:sz w:val="20"/>
          <w:szCs w:val="20"/>
        </w:rPr>
        <w:t xml:space="preserve">. Officers, directors, and greater than 10% shareholders (“Insiders”) are required by SEC regulations to furnish us with copies of all Section 16(a) forms they file. </w:t>
      </w:r>
    </w:p>
    <w:p w:rsidR="00067612" w:rsidRDefault="00067612" w:rsidP="00067612">
      <w:pPr>
        <w:pStyle w:val="NormalWeb"/>
        <w:spacing w:before="0" w:beforeAutospacing="0" w:after="200" w:afterAutospacing="0"/>
        <w:ind w:firstLine="720"/>
        <w:rPr>
          <w:sz w:val="20"/>
          <w:szCs w:val="20"/>
        </w:rPr>
      </w:pPr>
      <w:r>
        <w:rPr>
          <w:sz w:val="20"/>
          <w:szCs w:val="20"/>
        </w:rPr>
        <w:t>To our knowledge, based solely on review of the copies of such reports furnished to the Company, or written representations from Insiders that no other reports were required, the Company believes that during the fiscal year ended December 31, 2011, all Form 3, Form 4 and Form 5 filing requirements were met.</w:t>
      </w:r>
    </w:p>
    <w:p w:rsidR="00067612" w:rsidRDefault="00067612" w:rsidP="00067612">
      <w:pPr>
        <w:keepNext/>
        <w:rPr>
          <w:b/>
          <w:bCs/>
          <w:sz w:val="20"/>
          <w:szCs w:val="20"/>
        </w:rPr>
      </w:pPr>
      <w:r>
        <w:rPr>
          <w:b/>
          <w:bCs/>
          <w:sz w:val="20"/>
          <w:szCs w:val="20"/>
        </w:rPr>
        <w:t>Code of Ethics and Business Conduct</w:t>
      </w:r>
    </w:p>
    <w:p w:rsidR="00067612" w:rsidRDefault="00067612" w:rsidP="00067612">
      <w:pPr>
        <w:keepNext/>
        <w:rPr>
          <w:sz w:val="20"/>
          <w:szCs w:val="20"/>
        </w:rPr>
      </w:pPr>
    </w:p>
    <w:p w:rsidR="00067612" w:rsidRDefault="00067612" w:rsidP="00067612">
      <w:pPr>
        <w:keepNext/>
        <w:rPr>
          <w:b/>
          <w:bCs/>
          <w:sz w:val="20"/>
          <w:szCs w:val="20"/>
        </w:rPr>
      </w:pPr>
      <w:r>
        <w:rPr>
          <w:sz w:val="20"/>
          <w:szCs w:val="20"/>
        </w:rPr>
        <w:tab/>
        <w:t xml:space="preserve">The Board has adopted a Code of Ethics and Business Conduct (“Code of Ethics”) that applies to all of our employees, directors, and officers, including our principal executive officer, principal financial officer, and controller. The Code of Ethics addresses such topics as protection and proper use of our assets, compliance with applicable laws and regulations, accuracy and preservation of records, accounting and financial reporting, conflicts of interest, and insider trading. The Code of Ethics is available through the Investor Relations page of our website at </w:t>
      </w:r>
      <w:r>
        <w:rPr>
          <w:i/>
          <w:sz w:val="20"/>
          <w:szCs w:val="20"/>
        </w:rPr>
        <w:t>www.makemusic.com</w:t>
      </w:r>
      <w:r>
        <w:rPr>
          <w:sz w:val="20"/>
          <w:szCs w:val="20"/>
        </w:rPr>
        <w:t xml:space="preserve">. </w:t>
      </w:r>
      <w:proofErr w:type="spellStart"/>
      <w:r>
        <w:rPr>
          <w:sz w:val="20"/>
          <w:szCs w:val="20"/>
        </w:rPr>
        <w:t>MakeMusic</w:t>
      </w:r>
      <w:proofErr w:type="spellEnd"/>
      <w:r>
        <w:rPr>
          <w:sz w:val="20"/>
          <w:szCs w:val="20"/>
        </w:rPr>
        <w:t xml:space="preserve"> intends to include on its website any amendment to, or waiver from, a provision of its Code of Ethics that applies to our principal executive officer, principal financial officer, or controller that relates to any element of the code of ethics definition enumerated in Item 406(b) of Regulation S-K.</w:t>
      </w:r>
    </w:p>
    <w:p w:rsidR="00067612" w:rsidRDefault="00067612" w:rsidP="00067612">
      <w:pPr>
        <w:keepNext/>
        <w:rPr>
          <w:b/>
          <w:bCs/>
          <w:sz w:val="20"/>
          <w:szCs w:val="20"/>
        </w:rPr>
      </w:pPr>
    </w:p>
    <w:p w:rsidR="00067612" w:rsidRDefault="00067612" w:rsidP="00067612">
      <w:pPr>
        <w:rPr>
          <w:bCs/>
          <w:sz w:val="20"/>
          <w:szCs w:val="20"/>
        </w:rPr>
      </w:pPr>
      <w:r>
        <w:rPr>
          <w:b/>
          <w:bCs/>
          <w:sz w:val="20"/>
          <w:szCs w:val="20"/>
        </w:rPr>
        <w:t>Director Nominations Process</w:t>
      </w:r>
    </w:p>
    <w:p w:rsidR="00067612" w:rsidRDefault="00067612" w:rsidP="00067612">
      <w:pPr>
        <w:rPr>
          <w:bCs/>
          <w:sz w:val="20"/>
          <w:szCs w:val="20"/>
        </w:rPr>
      </w:pPr>
    </w:p>
    <w:p w:rsidR="00067612" w:rsidRDefault="00067612" w:rsidP="00067612">
      <w:pPr>
        <w:rPr>
          <w:bCs/>
          <w:sz w:val="20"/>
          <w:szCs w:val="20"/>
        </w:rPr>
      </w:pPr>
      <w:r>
        <w:rPr>
          <w:bCs/>
          <w:sz w:val="20"/>
          <w:szCs w:val="20"/>
        </w:rPr>
        <w:tab/>
        <w:t>There have been no material changes to the procedures by which shareholders may recommend director nominees since November 14, 2011, the date we last provided information with regard to our director nomination process.</w:t>
      </w:r>
    </w:p>
    <w:p w:rsidR="00067612" w:rsidRDefault="00067612" w:rsidP="00067612">
      <w:pPr>
        <w:rPr>
          <w:b/>
          <w:bCs/>
          <w:sz w:val="20"/>
          <w:szCs w:val="20"/>
        </w:rPr>
      </w:pPr>
    </w:p>
    <w:p w:rsidR="00067612" w:rsidRDefault="00067612" w:rsidP="00067612">
      <w:pPr>
        <w:rPr>
          <w:sz w:val="20"/>
          <w:szCs w:val="20"/>
        </w:rPr>
      </w:pPr>
      <w:r>
        <w:rPr>
          <w:b/>
          <w:bCs/>
          <w:sz w:val="20"/>
          <w:szCs w:val="20"/>
        </w:rPr>
        <w:t>Audit Committee</w:t>
      </w:r>
    </w:p>
    <w:p w:rsidR="00067612" w:rsidRDefault="00067612" w:rsidP="00067612">
      <w:pPr>
        <w:rPr>
          <w:sz w:val="20"/>
          <w:szCs w:val="20"/>
        </w:rPr>
      </w:pPr>
      <w:r>
        <w:rPr>
          <w:sz w:val="20"/>
          <w:szCs w:val="20"/>
        </w:rPr>
        <w:t> </w:t>
      </w:r>
    </w:p>
    <w:p w:rsidR="00067612" w:rsidRDefault="00067612" w:rsidP="00067612">
      <w:pPr>
        <w:rPr>
          <w:sz w:val="20"/>
          <w:szCs w:val="20"/>
        </w:rPr>
      </w:pPr>
      <w:r>
        <w:rPr>
          <w:sz w:val="20"/>
          <w:szCs w:val="20"/>
        </w:rPr>
        <w:tab/>
        <w:t xml:space="preserve">The current members of our Audit Committee are Mr. </w:t>
      </w:r>
      <w:proofErr w:type="spellStart"/>
      <w:r>
        <w:rPr>
          <w:sz w:val="20"/>
          <w:szCs w:val="20"/>
        </w:rPr>
        <w:t>Fenhaus</w:t>
      </w:r>
      <w:proofErr w:type="spellEnd"/>
      <w:r>
        <w:rPr>
          <w:sz w:val="20"/>
          <w:szCs w:val="20"/>
        </w:rPr>
        <w:t xml:space="preserve"> (Chair), Mr. D’Souza and Mr. Richmond. Our Board of Directors has determined that Mr. </w:t>
      </w:r>
      <w:proofErr w:type="spellStart"/>
      <w:r>
        <w:rPr>
          <w:sz w:val="20"/>
          <w:szCs w:val="20"/>
        </w:rPr>
        <w:t>Fenhaus</w:t>
      </w:r>
      <w:proofErr w:type="spellEnd"/>
      <w:r>
        <w:rPr>
          <w:sz w:val="20"/>
          <w:szCs w:val="20"/>
        </w:rPr>
        <w:t xml:space="preserve"> qualifies as an “audit committee financial expert,” as defined by applicable rules of the SEC. The Board has further determined that all members of the Audit Committee are “independent” within the meaning of the applicable listing standards of the </w:t>
      </w:r>
      <w:proofErr w:type="spellStart"/>
      <w:r>
        <w:rPr>
          <w:sz w:val="20"/>
          <w:szCs w:val="20"/>
        </w:rPr>
        <w:t>Nasdaq</w:t>
      </w:r>
      <w:proofErr w:type="spellEnd"/>
      <w:r>
        <w:rPr>
          <w:sz w:val="20"/>
          <w:szCs w:val="20"/>
        </w:rPr>
        <w:t xml:space="preserve"> Stock Market and Rule 10A-3 of the Exchange Act.</w:t>
      </w:r>
    </w:p>
    <w:p w:rsidR="00067612" w:rsidRDefault="00067612" w:rsidP="00067612">
      <w:pPr>
        <w:rPr>
          <w:sz w:val="20"/>
          <w:szCs w:val="20"/>
        </w:rPr>
      </w:pPr>
    </w:p>
    <w:p w:rsidR="00067612" w:rsidRDefault="00067612" w:rsidP="00067612">
      <w:pPr>
        <w:pStyle w:val="BodyText"/>
        <w:rPr>
          <w:rFonts w:ascii="Times New Roman" w:hAnsi="Times New Roman" w:cs="Times New Roman"/>
          <w:b/>
          <w:sz w:val="20"/>
          <w:szCs w:val="20"/>
        </w:rPr>
      </w:pPr>
    </w:p>
    <w:p w:rsidR="00067612" w:rsidRDefault="00067612" w:rsidP="00D51EA1">
      <w:pPr>
        <w:pStyle w:val="Heading2"/>
      </w:pPr>
      <w:bookmarkStart w:id="34" w:name="_Toc319405352"/>
      <w:proofErr w:type="gramStart"/>
      <w:r>
        <w:t>ITEM 11.</w:t>
      </w:r>
      <w:proofErr w:type="gramEnd"/>
      <w:r>
        <w:t xml:space="preserve">  </w:t>
      </w:r>
      <w:r w:rsidR="00D51EA1">
        <w:tab/>
      </w:r>
      <w:r>
        <w:t>EXECUTIVE COMPENSATION</w:t>
      </w:r>
      <w:bookmarkEnd w:id="34"/>
    </w:p>
    <w:p w:rsidR="00067612" w:rsidRDefault="00067612" w:rsidP="00067612">
      <w:pPr>
        <w:keepNext/>
        <w:rPr>
          <w:b/>
          <w:bCs/>
          <w:sz w:val="20"/>
          <w:szCs w:val="20"/>
        </w:rPr>
      </w:pPr>
    </w:p>
    <w:p w:rsidR="00067612" w:rsidRDefault="00067612" w:rsidP="00067612">
      <w:pPr>
        <w:keepNext/>
        <w:jc w:val="center"/>
        <w:rPr>
          <w:b/>
          <w:bCs/>
          <w:sz w:val="20"/>
          <w:szCs w:val="20"/>
        </w:rPr>
      </w:pPr>
      <w:r>
        <w:rPr>
          <w:b/>
          <w:bCs/>
          <w:sz w:val="20"/>
          <w:szCs w:val="20"/>
        </w:rPr>
        <w:t>EXECUTIVE COMPENSATION</w:t>
      </w:r>
    </w:p>
    <w:p w:rsidR="00067612" w:rsidRDefault="00067612" w:rsidP="00067612">
      <w:pPr>
        <w:keepNext/>
        <w:rPr>
          <w:b/>
          <w:bCs/>
          <w:sz w:val="20"/>
          <w:szCs w:val="20"/>
        </w:rPr>
      </w:pPr>
      <w:bookmarkStart w:id="35" w:name="toc60500_19"/>
      <w:bookmarkEnd w:id="35"/>
    </w:p>
    <w:p w:rsidR="00067612" w:rsidRDefault="00067612" w:rsidP="00067612">
      <w:pPr>
        <w:rPr>
          <w:b/>
          <w:color w:val="000000"/>
          <w:sz w:val="20"/>
          <w:szCs w:val="20"/>
        </w:rPr>
      </w:pPr>
      <w:r>
        <w:rPr>
          <w:b/>
          <w:color w:val="000000"/>
          <w:sz w:val="20"/>
          <w:szCs w:val="20"/>
        </w:rPr>
        <w:t xml:space="preserve">Overview </w:t>
      </w:r>
    </w:p>
    <w:p w:rsidR="00067612" w:rsidRDefault="00067612" w:rsidP="00067612">
      <w:pPr>
        <w:rPr>
          <w:color w:val="000000"/>
          <w:sz w:val="20"/>
          <w:szCs w:val="20"/>
        </w:rPr>
      </w:pPr>
    </w:p>
    <w:p w:rsidR="00067612" w:rsidRDefault="00067612" w:rsidP="00067612">
      <w:pPr>
        <w:rPr>
          <w:color w:val="000000"/>
          <w:sz w:val="20"/>
          <w:szCs w:val="20"/>
        </w:rPr>
      </w:pPr>
      <w:r>
        <w:rPr>
          <w:color w:val="000000"/>
          <w:sz w:val="20"/>
          <w:szCs w:val="20"/>
        </w:rPr>
        <w:tab/>
        <w:t xml:space="preserve">The Compensation Committee views executive compensation as a total package that includes base salary, annual performance-based non-equity incentive plan awards, and long-term equity compensation in the form of stock options and restricted stock awards. Our executives are also eligible to </w:t>
      </w:r>
      <w:r>
        <w:rPr>
          <w:rStyle w:val="apple-style-span"/>
          <w:color w:val="000000"/>
          <w:sz w:val="20"/>
          <w:szCs w:val="20"/>
        </w:rPr>
        <w:t>participate in</w:t>
      </w:r>
      <w:r>
        <w:rPr>
          <w:color w:val="000000"/>
          <w:sz w:val="20"/>
          <w:szCs w:val="20"/>
        </w:rPr>
        <w:t xml:space="preserve"> our medical and dental insurance plans, retirement plans, life insurance plans, disability plans, and other generally available benefit arrangements. </w:t>
      </w:r>
      <w:proofErr w:type="spellStart"/>
      <w:r>
        <w:rPr>
          <w:color w:val="000000"/>
          <w:sz w:val="20"/>
          <w:szCs w:val="20"/>
        </w:rPr>
        <w:t>MakeMusic</w:t>
      </w:r>
      <w:proofErr w:type="spellEnd"/>
      <w:r>
        <w:rPr>
          <w:color w:val="000000"/>
          <w:sz w:val="20"/>
          <w:szCs w:val="20"/>
        </w:rPr>
        <w:t xml:space="preserve"> does not currently provide a defined benefit pension plan or retiree health care. </w:t>
      </w:r>
    </w:p>
    <w:p w:rsidR="00067612" w:rsidRDefault="00067612" w:rsidP="00067612">
      <w:pPr>
        <w:rPr>
          <w:color w:val="000000"/>
          <w:sz w:val="20"/>
          <w:szCs w:val="20"/>
        </w:rPr>
      </w:pPr>
    </w:p>
    <w:p w:rsidR="00067612" w:rsidRDefault="00067612" w:rsidP="00067612">
      <w:pPr>
        <w:rPr>
          <w:rStyle w:val="apple-style-span"/>
          <w:b/>
          <w:color w:val="000000"/>
          <w:sz w:val="20"/>
          <w:szCs w:val="20"/>
        </w:rPr>
      </w:pPr>
      <w:r>
        <w:rPr>
          <w:rStyle w:val="apple-style-span"/>
          <w:b/>
          <w:color w:val="000000"/>
          <w:sz w:val="20"/>
          <w:szCs w:val="20"/>
        </w:rPr>
        <w:t>Compensation Risk Assessment</w:t>
      </w:r>
    </w:p>
    <w:p w:rsidR="00067612" w:rsidRDefault="00067612" w:rsidP="00067612">
      <w:pPr>
        <w:rPr>
          <w:rStyle w:val="apple-style-span"/>
          <w:color w:val="000000"/>
          <w:sz w:val="20"/>
          <w:szCs w:val="20"/>
        </w:rPr>
      </w:pPr>
    </w:p>
    <w:p w:rsidR="00067612" w:rsidRDefault="00067612" w:rsidP="00067612">
      <w:pPr>
        <w:rPr>
          <w:b/>
          <w:i/>
          <w:color w:val="000000"/>
          <w:sz w:val="20"/>
          <w:szCs w:val="20"/>
        </w:rPr>
      </w:pPr>
      <w:r>
        <w:rPr>
          <w:rStyle w:val="apple-style-span"/>
          <w:color w:val="000000"/>
          <w:sz w:val="20"/>
          <w:szCs w:val="20"/>
        </w:rPr>
        <w:tab/>
        <w:t xml:space="preserve">The Compensation Committee is responsible for considering risks relating to the design and implementation of compensation programs and arrangements, including our executive compensation programs. The Compensation Committee believes our employee compensation programs are designed with the appropriate balance of risk and reward in relation to our overall business strategy and do not incentivize executives or other employees to take unnecessary or excessive risks. As a result, we believe that risks arising from our employee compensation policies and practices are not reasonably likely to have a material adverse effect on </w:t>
      </w:r>
      <w:proofErr w:type="spellStart"/>
      <w:r>
        <w:rPr>
          <w:rStyle w:val="apple-style-span"/>
          <w:color w:val="000000"/>
          <w:sz w:val="20"/>
          <w:szCs w:val="20"/>
        </w:rPr>
        <w:t>MakeMusic</w:t>
      </w:r>
      <w:proofErr w:type="spellEnd"/>
      <w:r>
        <w:rPr>
          <w:rStyle w:val="apple-style-span"/>
          <w:color w:val="000000"/>
          <w:sz w:val="20"/>
          <w:szCs w:val="20"/>
        </w:rPr>
        <w:t>.</w:t>
      </w:r>
    </w:p>
    <w:p w:rsidR="00067612" w:rsidRDefault="00067612" w:rsidP="00067612">
      <w:pPr>
        <w:rPr>
          <w:b/>
          <w:i/>
          <w:color w:val="000000"/>
          <w:sz w:val="20"/>
          <w:szCs w:val="20"/>
        </w:rPr>
      </w:pPr>
    </w:p>
    <w:p w:rsidR="00067612" w:rsidRDefault="00067612" w:rsidP="00067612">
      <w:pPr>
        <w:rPr>
          <w:b/>
          <w:color w:val="000000"/>
          <w:sz w:val="20"/>
          <w:szCs w:val="20"/>
        </w:rPr>
      </w:pPr>
      <w:r>
        <w:rPr>
          <w:b/>
          <w:color w:val="000000"/>
          <w:sz w:val="20"/>
          <w:szCs w:val="20"/>
        </w:rPr>
        <w:t xml:space="preserve">Base Salaries </w:t>
      </w:r>
    </w:p>
    <w:p w:rsidR="00067612" w:rsidRDefault="00067612" w:rsidP="00067612">
      <w:pPr>
        <w:rPr>
          <w:color w:val="000000"/>
          <w:sz w:val="20"/>
          <w:szCs w:val="20"/>
        </w:rPr>
      </w:pPr>
    </w:p>
    <w:p w:rsidR="00067612" w:rsidRDefault="00067612" w:rsidP="00067612">
      <w:pPr>
        <w:rPr>
          <w:color w:val="000000"/>
          <w:sz w:val="20"/>
          <w:szCs w:val="20"/>
        </w:rPr>
      </w:pPr>
      <w:r>
        <w:rPr>
          <w:color w:val="000000"/>
          <w:sz w:val="20"/>
          <w:szCs w:val="20"/>
        </w:rPr>
        <w:tab/>
        <w:t xml:space="preserve">During fiscal 2011, our interim Chief Executive Officer, Jeffrey A. Koch, and our Chief Executive Officer, Karen T. van Lith, were entitled, respectively, to annualized base salaries of approximately $229,000 and $288,000 (in each case, pro-rated according to the duration of his or her service).  In addition, our Chief Financial Officer/Chief Operating Officer, Karen L. VanDerBosch, earned a base salary of approximately $207,000, and our Chief Technology Officer, Paul D. Carlson, earned an annualized base salary of approximately $160,000 (pro-rated according to the duration of his service). </w:t>
      </w:r>
    </w:p>
    <w:p w:rsidR="00067612" w:rsidRDefault="00067612" w:rsidP="00067612">
      <w:pPr>
        <w:rPr>
          <w:color w:val="000000"/>
          <w:sz w:val="20"/>
          <w:szCs w:val="20"/>
        </w:rPr>
      </w:pPr>
    </w:p>
    <w:p w:rsidR="00067612" w:rsidRDefault="00067612" w:rsidP="00067612">
      <w:pPr>
        <w:rPr>
          <w:color w:val="000000"/>
          <w:sz w:val="20"/>
          <w:szCs w:val="20"/>
        </w:rPr>
      </w:pPr>
      <w:r>
        <w:rPr>
          <w:color w:val="000000"/>
          <w:sz w:val="20"/>
          <w:szCs w:val="20"/>
        </w:rPr>
        <w:tab/>
        <w:t xml:space="preserve">In determining appropriate base salaries for executives in fiscal 2011, in addition to reviewing market data, the Compensation Committee considered: </w:t>
      </w:r>
    </w:p>
    <w:p w:rsidR="00067612" w:rsidRDefault="00067612" w:rsidP="00067612">
      <w:pPr>
        <w:rPr>
          <w:color w:val="000000"/>
          <w:sz w:val="20"/>
          <w:szCs w:val="20"/>
        </w:rPr>
      </w:pPr>
    </w:p>
    <w:p w:rsidR="00067612" w:rsidRDefault="00067612" w:rsidP="00067612">
      <w:pPr>
        <w:numPr>
          <w:ilvl w:val="0"/>
          <w:numId w:val="31"/>
        </w:numPr>
        <w:tabs>
          <w:tab w:val="clear" w:pos="360"/>
          <w:tab w:val="num" w:pos="1080"/>
        </w:tabs>
        <w:ind w:left="1080"/>
        <w:rPr>
          <w:color w:val="000000"/>
          <w:sz w:val="20"/>
          <w:szCs w:val="20"/>
        </w:rPr>
      </w:pPr>
      <w:r>
        <w:rPr>
          <w:color w:val="000000"/>
          <w:sz w:val="20"/>
          <w:szCs w:val="20"/>
        </w:rPr>
        <w:t xml:space="preserve">the Chief Executive Officer’s recommendation as to compensation for the other executive officers; </w:t>
      </w:r>
    </w:p>
    <w:p w:rsidR="00067612" w:rsidRDefault="00067612" w:rsidP="00067612">
      <w:pPr>
        <w:numPr>
          <w:ilvl w:val="0"/>
          <w:numId w:val="31"/>
        </w:numPr>
        <w:tabs>
          <w:tab w:val="clear" w:pos="360"/>
          <w:tab w:val="num" w:pos="1080"/>
        </w:tabs>
        <w:ind w:left="1080"/>
        <w:rPr>
          <w:color w:val="000000"/>
          <w:sz w:val="20"/>
          <w:szCs w:val="20"/>
        </w:rPr>
      </w:pPr>
      <w:r>
        <w:rPr>
          <w:color w:val="000000"/>
          <w:sz w:val="20"/>
          <w:szCs w:val="20"/>
        </w:rPr>
        <w:t xml:space="preserve">the scope of responsibility, experience, time in position, and individual performance of each officer, including the Chief Executive Officer; </w:t>
      </w:r>
    </w:p>
    <w:p w:rsidR="00067612" w:rsidRDefault="00067612" w:rsidP="00067612">
      <w:pPr>
        <w:numPr>
          <w:ilvl w:val="0"/>
          <w:numId w:val="31"/>
        </w:numPr>
        <w:tabs>
          <w:tab w:val="clear" w:pos="360"/>
          <w:tab w:val="num" w:pos="1080"/>
        </w:tabs>
        <w:ind w:left="1080"/>
        <w:rPr>
          <w:color w:val="000000"/>
          <w:sz w:val="20"/>
          <w:szCs w:val="20"/>
        </w:rPr>
      </w:pPr>
      <w:r>
        <w:rPr>
          <w:color w:val="000000"/>
          <w:sz w:val="20"/>
          <w:szCs w:val="20"/>
        </w:rPr>
        <w:t xml:space="preserve">the effectiveness of each executive’s leadership performance and potential to enhance shareholder value; and </w:t>
      </w:r>
    </w:p>
    <w:p w:rsidR="00067612" w:rsidRDefault="00067612" w:rsidP="00067612">
      <w:pPr>
        <w:numPr>
          <w:ilvl w:val="0"/>
          <w:numId w:val="31"/>
        </w:numPr>
        <w:tabs>
          <w:tab w:val="clear" w:pos="360"/>
          <w:tab w:val="num" w:pos="1080"/>
        </w:tabs>
        <w:ind w:left="1080"/>
        <w:rPr>
          <w:color w:val="000000"/>
          <w:sz w:val="20"/>
          <w:szCs w:val="20"/>
        </w:rPr>
      </w:pPr>
      <w:proofErr w:type="gramStart"/>
      <w:r>
        <w:rPr>
          <w:color w:val="000000"/>
          <w:sz w:val="20"/>
          <w:szCs w:val="20"/>
        </w:rPr>
        <w:t>internal</w:t>
      </w:r>
      <w:proofErr w:type="gramEnd"/>
      <w:r>
        <w:rPr>
          <w:color w:val="000000"/>
          <w:sz w:val="20"/>
          <w:szCs w:val="20"/>
        </w:rPr>
        <w:t xml:space="preserve"> equity. </w:t>
      </w:r>
    </w:p>
    <w:p w:rsidR="00067612" w:rsidRDefault="00067612" w:rsidP="00067612">
      <w:pPr>
        <w:rPr>
          <w:color w:val="000000"/>
          <w:sz w:val="20"/>
          <w:szCs w:val="20"/>
        </w:rPr>
      </w:pPr>
    </w:p>
    <w:p w:rsidR="00067612" w:rsidRDefault="00067612" w:rsidP="00067612">
      <w:pPr>
        <w:rPr>
          <w:color w:val="000000"/>
          <w:sz w:val="20"/>
          <w:szCs w:val="20"/>
        </w:rPr>
      </w:pPr>
      <w:r>
        <w:rPr>
          <w:color w:val="000000"/>
          <w:sz w:val="20"/>
          <w:szCs w:val="20"/>
        </w:rPr>
        <w:t xml:space="preserve">          The Compensation Committee’s analysis is a subjective process that utilizes no specific weighting or formula of the factors above in determining executives’ base salaries. </w:t>
      </w:r>
    </w:p>
    <w:p w:rsidR="00067612" w:rsidRDefault="00067612" w:rsidP="00067612">
      <w:pPr>
        <w:rPr>
          <w:color w:val="000000"/>
          <w:sz w:val="20"/>
          <w:szCs w:val="20"/>
        </w:rPr>
      </w:pPr>
    </w:p>
    <w:p w:rsidR="00067612" w:rsidRDefault="00067612" w:rsidP="00067612">
      <w:pPr>
        <w:rPr>
          <w:color w:val="000000"/>
          <w:sz w:val="20"/>
          <w:szCs w:val="20"/>
        </w:rPr>
      </w:pPr>
      <w:r>
        <w:rPr>
          <w:color w:val="000000"/>
          <w:sz w:val="20"/>
          <w:szCs w:val="20"/>
        </w:rPr>
        <w:t xml:space="preserve">          Adjustments to base salaries are determined based on merit and market. This requires an evaluation of individual performance, competitive market levels and rates of increase, executive experience and internal equity, as well as our overall salary budget. Since annual performance-based incentives (as discussed below) are based on a percentage of base salary, base salary increases also have the effect of increasing the size of annual incentive opportunity. </w:t>
      </w:r>
    </w:p>
    <w:p w:rsidR="00067612" w:rsidRDefault="00067612" w:rsidP="00067612">
      <w:pPr>
        <w:rPr>
          <w:color w:val="000000"/>
          <w:sz w:val="20"/>
          <w:szCs w:val="20"/>
        </w:rPr>
      </w:pPr>
    </w:p>
    <w:p w:rsidR="00067612" w:rsidRDefault="00067612" w:rsidP="00067612">
      <w:pPr>
        <w:rPr>
          <w:color w:val="000000"/>
          <w:sz w:val="20"/>
          <w:szCs w:val="20"/>
        </w:rPr>
      </w:pPr>
      <w:r>
        <w:rPr>
          <w:color w:val="000000"/>
          <w:sz w:val="20"/>
          <w:szCs w:val="20"/>
        </w:rPr>
        <w:tab/>
      </w:r>
      <w:r w:rsidRPr="00312E05">
        <w:rPr>
          <w:color w:val="000000"/>
          <w:sz w:val="20"/>
          <w:szCs w:val="20"/>
        </w:rPr>
        <w:t xml:space="preserve">Effective January 1, 2012, the Compensation Committee approved 2012 base salaries of </w:t>
      </w:r>
      <w:r w:rsidRPr="00BB417D">
        <w:rPr>
          <w:color w:val="000000"/>
          <w:sz w:val="20"/>
          <w:szCs w:val="20"/>
        </w:rPr>
        <w:t>$</w:t>
      </w:r>
      <w:r w:rsidR="00312E05" w:rsidRPr="00BB417D">
        <w:rPr>
          <w:color w:val="000000"/>
          <w:sz w:val="20"/>
          <w:szCs w:val="20"/>
        </w:rPr>
        <w:t>296</w:t>
      </w:r>
      <w:r w:rsidR="00312E05" w:rsidRPr="00312E05">
        <w:rPr>
          <w:color w:val="000000"/>
          <w:sz w:val="20"/>
          <w:szCs w:val="20"/>
        </w:rPr>
        <w:t>,640</w:t>
      </w:r>
      <w:r w:rsidRPr="00312E05">
        <w:rPr>
          <w:color w:val="000000"/>
          <w:sz w:val="20"/>
          <w:szCs w:val="20"/>
        </w:rPr>
        <w:t xml:space="preserve"> for Ms. van Lith, $</w:t>
      </w:r>
      <w:r w:rsidR="00BB417D">
        <w:rPr>
          <w:color w:val="000000"/>
          <w:sz w:val="20"/>
          <w:szCs w:val="20"/>
        </w:rPr>
        <w:t>212,764</w:t>
      </w:r>
      <w:r w:rsidRPr="00312E05">
        <w:rPr>
          <w:color w:val="000000"/>
          <w:sz w:val="20"/>
          <w:szCs w:val="20"/>
        </w:rPr>
        <w:t xml:space="preserve"> for Ms. VanDerBosch, and $</w:t>
      </w:r>
      <w:r w:rsidR="00550ED3">
        <w:rPr>
          <w:color w:val="000000"/>
          <w:sz w:val="20"/>
          <w:szCs w:val="20"/>
        </w:rPr>
        <w:t>170,000</w:t>
      </w:r>
      <w:r w:rsidRPr="00312E05">
        <w:rPr>
          <w:color w:val="000000"/>
          <w:sz w:val="20"/>
          <w:szCs w:val="20"/>
        </w:rPr>
        <w:t xml:space="preserve"> for</w:t>
      </w:r>
      <w:r>
        <w:rPr>
          <w:color w:val="000000"/>
          <w:sz w:val="20"/>
          <w:szCs w:val="20"/>
        </w:rPr>
        <w:t xml:space="preserve"> Mr. Carlson.</w:t>
      </w:r>
    </w:p>
    <w:p w:rsidR="00067612" w:rsidRDefault="00067612" w:rsidP="00067612">
      <w:pPr>
        <w:rPr>
          <w:b/>
          <w:color w:val="000000"/>
          <w:sz w:val="20"/>
          <w:szCs w:val="20"/>
        </w:rPr>
      </w:pPr>
    </w:p>
    <w:p w:rsidR="00067612" w:rsidRDefault="00067612" w:rsidP="00067612">
      <w:pPr>
        <w:rPr>
          <w:b/>
          <w:color w:val="000000"/>
          <w:sz w:val="20"/>
          <w:szCs w:val="20"/>
        </w:rPr>
      </w:pPr>
      <w:r>
        <w:rPr>
          <w:b/>
          <w:color w:val="000000"/>
          <w:sz w:val="20"/>
          <w:szCs w:val="20"/>
        </w:rPr>
        <w:t>Executive Incentive Compensation</w:t>
      </w:r>
    </w:p>
    <w:p w:rsidR="00067612" w:rsidRDefault="00067612" w:rsidP="00067612">
      <w:pPr>
        <w:rPr>
          <w:color w:val="000000"/>
          <w:sz w:val="20"/>
          <w:szCs w:val="20"/>
        </w:rPr>
      </w:pPr>
      <w:r>
        <w:rPr>
          <w:color w:val="000000"/>
          <w:sz w:val="20"/>
          <w:szCs w:val="20"/>
        </w:rPr>
        <w:t xml:space="preserve">   </w:t>
      </w:r>
    </w:p>
    <w:p w:rsidR="00067612" w:rsidRDefault="00067612" w:rsidP="00067612">
      <w:pPr>
        <w:rPr>
          <w:color w:val="000000"/>
          <w:sz w:val="20"/>
          <w:szCs w:val="20"/>
        </w:rPr>
      </w:pPr>
      <w:r>
        <w:rPr>
          <w:color w:val="000000"/>
          <w:sz w:val="20"/>
          <w:szCs w:val="20"/>
        </w:rPr>
        <w:t xml:space="preserve">       </w:t>
      </w:r>
      <w:r>
        <w:rPr>
          <w:color w:val="000000"/>
          <w:sz w:val="20"/>
          <w:szCs w:val="20"/>
        </w:rPr>
        <w:tab/>
        <w:t xml:space="preserve">In order to provide motivation to our Named Executive Officers (as defined below) and other key employees, we award performance-based compensation upon their achievement of goals that the Compensation Committee identifies on an annual basis. Awards are made pursuant to our Executive Incentive Compensation Plan, which was adopted by the Compensation Committee and the Board of Directors on March 2, </w:t>
      </w:r>
      <w:proofErr w:type="gramStart"/>
      <w:r>
        <w:rPr>
          <w:color w:val="000000"/>
          <w:sz w:val="20"/>
          <w:szCs w:val="20"/>
        </w:rPr>
        <w:t>2009,</w:t>
      </w:r>
      <w:proofErr w:type="gramEnd"/>
      <w:r>
        <w:rPr>
          <w:color w:val="000000"/>
          <w:sz w:val="20"/>
          <w:szCs w:val="20"/>
        </w:rPr>
        <w:t xml:space="preserve"> and amended based on a recommendation by the Compensation Committee on May 5, 2009 and June 13, 2011 (as amended, the “Executive Plan”). Executive Plan participants have the potential to earn cash and restricted stock. In addition, the Compensation Committee may grant options to participants or other employees if certain performance levels are achieved. All equity awards made pursuant to the Executive Plan are governed by our 2003 Equity Incentive Plan, or any amended version thereof. </w:t>
      </w:r>
    </w:p>
    <w:p w:rsidR="00067612" w:rsidRDefault="00067612" w:rsidP="00067612">
      <w:pPr>
        <w:rPr>
          <w:color w:val="000000"/>
          <w:sz w:val="20"/>
          <w:szCs w:val="20"/>
        </w:rPr>
      </w:pPr>
      <w:r>
        <w:rPr>
          <w:color w:val="000000"/>
          <w:sz w:val="20"/>
          <w:szCs w:val="20"/>
        </w:rPr>
        <w:t xml:space="preserve">          </w:t>
      </w:r>
    </w:p>
    <w:p w:rsidR="00067612" w:rsidRDefault="00067612" w:rsidP="00067612">
      <w:pPr>
        <w:rPr>
          <w:color w:val="000000"/>
          <w:sz w:val="20"/>
          <w:szCs w:val="20"/>
        </w:rPr>
      </w:pPr>
      <w:r>
        <w:rPr>
          <w:color w:val="000000"/>
          <w:sz w:val="20"/>
          <w:szCs w:val="20"/>
        </w:rPr>
        <w:tab/>
        <w:t xml:space="preserve">The amount of cash and the number of options and shares of restricted stock awarded to our Named Executive Officers in each of our 2011 and 2010 fiscal years was based on our achievement of Management Bonus Objectives (“MBOs”). When selecting the MBOs, the Compensation Committee considers our business plan, the individual skills and potential of the participants, targeted total compensation amounts based on publicly available market data, and recommendations from the Chief Executive Officer, which are provided separately from the Compensation Committee meeting at which the MBOs are determined. For fiscal years 2011 and 2010, the MBOs under the Executive Plan were based on achievement of quantifiable financial performance in accordance with the annual business plan and included free cash flow, operating margins, asset turns, Notation revenue, </w:t>
      </w:r>
      <w:proofErr w:type="spellStart"/>
      <w:r>
        <w:rPr>
          <w:color w:val="000000"/>
          <w:sz w:val="20"/>
          <w:szCs w:val="20"/>
        </w:rPr>
        <w:t>SmartMusic</w:t>
      </w:r>
      <w:proofErr w:type="spellEnd"/>
      <w:r>
        <w:rPr>
          <w:color w:val="000000"/>
          <w:sz w:val="20"/>
          <w:szCs w:val="20"/>
        </w:rPr>
        <w:t xml:space="preserve"> revenue and </w:t>
      </w:r>
      <w:proofErr w:type="spellStart"/>
      <w:r>
        <w:rPr>
          <w:color w:val="000000"/>
          <w:sz w:val="20"/>
          <w:szCs w:val="20"/>
        </w:rPr>
        <w:t>SmartMusic</w:t>
      </w:r>
      <w:proofErr w:type="spellEnd"/>
      <w:r>
        <w:rPr>
          <w:color w:val="000000"/>
          <w:sz w:val="20"/>
          <w:szCs w:val="20"/>
        </w:rPr>
        <w:t xml:space="preserve"> subscriptions. </w:t>
      </w:r>
    </w:p>
    <w:p w:rsidR="00067612" w:rsidRDefault="00067612" w:rsidP="00067612">
      <w:pPr>
        <w:rPr>
          <w:color w:val="000000"/>
          <w:sz w:val="20"/>
          <w:szCs w:val="20"/>
        </w:rPr>
      </w:pPr>
      <w:r>
        <w:rPr>
          <w:color w:val="000000"/>
          <w:sz w:val="20"/>
          <w:szCs w:val="20"/>
        </w:rPr>
        <w:t xml:space="preserve">          </w:t>
      </w:r>
    </w:p>
    <w:p w:rsidR="00067612" w:rsidRDefault="00067612" w:rsidP="00067612">
      <w:pPr>
        <w:rPr>
          <w:color w:val="000000"/>
          <w:sz w:val="20"/>
          <w:szCs w:val="20"/>
        </w:rPr>
      </w:pPr>
      <w:r>
        <w:rPr>
          <w:color w:val="000000"/>
          <w:sz w:val="20"/>
          <w:szCs w:val="20"/>
        </w:rPr>
        <w:tab/>
        <w:t xml:space="preserve">These MBOs, and the target incentive compensation thresholds, reflect the Compensation Committee’s belief that annual incentives should be closely aligned with financial performance. The Compensation Committee evaluates </w:t>
      </w:r>
      <w:proofErr w:type="spellStart"/>
      <w:r>
        <w:rPr>
          <w:color w:val="000000"/>
          <w:sz w:val="20"/>
          <w:szCs w:val="20"/>
        </w:rPr>
        <w:t>MakeMusic’s</w:t>
      </w:r>
      <w:proofErr w:type="spellEnd"/>
      <w:r>
        <w:rPr>
          <w:color w:val="000000"/>
          <w:sz w:val="20"/>
          <w:szCs w:val="20"/>
        </w:rPr>
        <w:t xml:space="preserve"> performance after each completed fiscal year to determine the amount of cash and the number of shares of restricted stock each participant has earned.</w:t>
      </w:r>
    </w:p>
    <w:p w:rsidR="00067612" w:rsidRDefault="00067612" w:rsidP="00067612">
      <w:pPr>
        <w:rPr>
          <w:color w:val="000000"/>
          <w:sz w:val="20"/>
          <w:szCs w:val="20"/>
        </w:rPr>
      </w:pPr>
    </w:p>
    <w:p w:rsidR="00067612" w:rsidRDefault="00067612" w:rsidP="00067612">
      <w:pPr>
        <w:rPr>
          <w:b/>
          <w:i/>
          <w:color w:val="000000"/>
          <w:sz w:val="20"/>
          <w:szCs w:val="20"/>
        </w:rPr>
      </w:pPr>
      <w:r>
        <w:rPr>
          <w:b/>
          <w:i/>
          <w:color w:val="000000"/>
          <w:sz w:val="20"/>
          <w:szCs w:val="20"/>
        </w:rPr>
        <w:t>Material Terms of Non-Equity Incentive Plan Awards</w:t>
      </w:r>
    </w:p>
    <w:p w:rsidR="00067612" w:rsidRDefault="00067612" w:rsidP="00067612">
      <w:pPr>
        <w:rPr>
          <w:b/>
          <w:color w:val="000000"/>
          <w:sz w:val="20"/>
          <w:szCs w:val="20"/>
        </w:rPr>
      </w:pPr>
    </w:p>
    <w:p w:rsidR="00067612" w:rsidRDefault="00067612" w:rsidP="00067612">
      <w:pPr>
        <w:rPr>
          <w:color w:val="000000"/>
          <w:sz w:val="20"/>
          <w:szCs w:val="20"/>
        </w:rPr>
      </w:pPr>
      <w:r>
        <w:rPr>
          <w:color w:val="000000"/>
          <w:sz w:val="20"/>
          <w:szCs w:val="20"/>
        </w:rPr>
        <w:t xml:space="preserve">         </w:t>
      </w:r>
      <w:r>
        <w:rPr>
          <w:color w:val="000000"/>
          <w:sz w:val="20"/>
          <w:szCs w:val="20"/>
        </w:rPr>
        <w:tab/>
        <w:t xml:space="preserve">The Compensation Committee considers annual performance-based cash awards to be a motivational method for encouraging and rewarding individual performance that contributes to our overall company performance. Target performance-based compensation amounts are positioned to be competitive with market data and for awards based on performance in fiscal year 2011 ranged as a percentage of salary from 30% to 80% for the Named Executive Officers with an increasing scale if financial performance was exceeded. These amounts reflect the program’s objective to reward individual performance that contributes to our overall performance.  </w:t>
      </w:r>
    </w:p>
    <w:p w:rsidR="00067612" w:rsidRDefault="00067612" w:rsidP="00067612">
      <w:pPr>
        <w:rPr>
          <w:color w:val="000000"/>
          <w:sz w:val="20"/>
          <w:szCs w:val="20"/>
        </w:rPr>
      </w:pPr>
    </w:p>
    <w:p w:rsidR="00067612" w:rsidRDefault="00067612" w:rsidP="00067612">
      <w:pPr>
        <w:rPr>
          <w:color w:val="000000"/>
          <w:sz w:val="20"/>
          <w:szCs w:val="20"/>
        </w:rPr>
      </w:pPr>
      <w:r>
        <w:rPr>
          <w:color w:val="000000"/>
          <w:sz w:val="20"/>
          <w:szCs w:val="20"/>
        </w:rPr>
        <w:tab/>
        <w:t xml:space="preserve">Amounts listed for each of 2011 and 2010 in the Summary Compensation Table under the column entitled “Non-Equity Incentive Plan Compensation,” were approved by the Compensation Committee on </w:t>
      </w:r>
      <w:r w:rsidRPr="00B75733">
        <w:rPr>
          <w:color w:val="000000"/>
          <w:sz w:val="20"/>
          <w:szCs w:val="20"/>
        </w:rPr>
        <w:t xml:space="preserve">February </w:t>
      </w:r>
      <w:r w:rsidRPr="00C576B1">
        <w:rPr>
          <w:color w:val="000000"/>
          <w:sz w:val="20"/>
          <w:szCs w:val="20"/>
        </w:rPr>
        <w:t>16</w:t>
      </w:r>
      <w:r w:rsidRPr="00B75733">
        <w:rPr>
          <w:color w:val="000000"/>
          <w:sz w:val="20"/>
          <w:szCs w:val="20"/>
        </w:rPr>
        <w:t>,</w:t>
      </w:r>
      <w:r>
        <w:rPr>
          <w:color w:val="000000"/>
          <w:sz w:val="20"/>
          <w:szCs w:val="20"/>
        </w:rPr>
        <w:t xml:space="preserve"> 2012 and February 16, 2011, respectively, under the Executive Plan. These payments are intended to compensate the executive officers for services rendered in fiscal 2011 and 2010, respectively.  </w:t>
      </w:r>
    </w:p>
    <w:p w:rsidR="00067612" w:rsidRDefault="00067612" w:rsidP="00067612">
      <w:pPr>
        <w:rPr>
          <w:color w:val="000000"/>
          <w:sz w:val="20"/>
          <w:szCs w:val="20"/>
        </w:rPr>
      </w:pPr>
      <w:r>
        <w:rPr>
          <w:color w:val="000000"/>
          <w:sz w:val="20"/>
          <w:szCs w:val="20"/>
        </w:rPr>
        <w:tab/>
      </w:r>
    </w:p>
    <w:p w:rsidR="00067612" w:rsidRDefault="00067612" w:rsidP="00067612">
      <w:pPr>
        <w:rPr>
          <w:color w:val="000000"/>
          <w:sz w:val="20"/>
          <w:szCs w:val="20"/>
        </w:rPr>
      </w:pPr>
      <w:r>
        <w:rPr>
          <w:color w:val="000000"/>
          <w:sz w:val="20"/>
          <w:szCs w:val="20"/>
        </w:rPr>
        <w:tab/>
        <w:t xml:space="preserve">On February </w:t>
      </w:r>
      <w:r w:rsidRPr="00C576B1">
        <w:rPr>
          <w:color w:val="000000"/>
          <w:sz w:val="20"/>
          <w:szCs w:val="20"/>
        </w:rPr>
        <w:t>16</w:t>
      </w:r>
      <w:r w:rsidRPr="00B75733">
        <w:rPr>
          <w:color w:val="000000"/>
          <w:sz w:val="20"/>
          <w:szCs w:val="20"/>
        </w:rPr>
        <w:t>,</w:t>
      </w:r>
      <w:r>
        <w:rPr>
          <w:color w:val="000000"/>
          <w:sz w:val="20"/>
          <w:szCs w:val="20"/>
        </w:rPr>
        <w:t xml:space="preserve"> 2012 the Compensation Committee evaluated achievement of the MBOs in fiscal 2011 based on our audited financial statements. The Compensation Committee awarded $62,160 to Karen T. van Lith (which represents the pro-rated amount earned for the portion of the year served, plus an additional $42,000 as provided in Ms. van </w:t>
      </w:r>
      <w:proofErr w:type="spellStart"/>
      <w:r>
        <w:rPr>
          <w:color w:val="000000"/>
          <w:sz w:val="20"/>
          <w:szCs w:val="20"/>
        </w:rPr>
        <w:t>Lith’s</w:t>
      </w:r>
      <w:proofErr w:type="spellEnd"/>
      <w:r>
        <w:rPr>
          <w:color w:val="000000"/>
          <w:sz w:val="20"/>
          <w:szCs w:val="20"/>
        </w:rPr>
        <w:t xml:space="preserve"> employment agreement), $12,603 to Jeffrey A. Koch (which represents the pro-rated amount for the portion of the year served), $18,591 to Karen L. VanDerBosch, and $3,432 to Paul D. Carlson (which represents the pro-rated amount for the portion of the year served). As shown in the “Non-Equity Incentive Plan Compensation” column of the Summary Compensation Table, actual cash incentive awards earned by our Named Executive Officers pursuant to achievement of MBOs ranged from 5.4% to 39.0% of base salary in fiscal 2011. The Compensation Committee did not waive or modify for any Named Executive Officer any of the specified performance targets, goals or conditions to payout for performance-based compensation that were in place during fiscal 2011.  Ms. van Lith had been eligible to earn a maximum of $</w:t>
      </w:r>
      <w:r w:rsidR="003874C5">
        <w:rPr>
          <w:color w:val="000000"/>
          <w:sz w:val="20"/>
          <w:szCs w:val="20"/>
        </w:rPr>
        <w:t>134,400</w:t>
      </w:r>
      <w:r>
        <w:rPr>
          <w:color w:val="000000"/>
          <w:sz w:val="20"/>
          <w:szCs w:val="20"/>
        </w:rPr>
        <w:t xml:space="preserve"> cash incentive compensation</w:t>
      </w:r>
      <w:r w:rsidR="003874C5">
        <w:rPr>
          <w:color w:val="000000"/>
          <w:sz w:val="20"/>
          <w:szCs w:val="20"/>
        </w:rPr>
        <w:t xml:space="preserve"> (which represents an annualized maximum of $230,400, pro-rated for the portion of the year she served)</w:t>
      </w:r>
      <w:r>
        <w:rPr>
          <w:color w:val="000000"/>
          <w:sz w:val="20"/>
          <w:szCs w:val="20"/>
        </w:rPr>
        <w:t>, Mr. Koch had been eligible to earn a maximum of $</w:t>
      </w:r>
      <w:r w:rsidR="003874C5">
        <w:rPr>
          <w:color w:val="000000"/>
          <w:sz w:val="20"/>
          <w:szCs w:val="20"/>
        </w:rPr>
        <w:t>183,324</w:t>
      </w:r>
      <w:r>
        <w:rPr>
          <w:color w:val="000000"/>
          <w:sz w:val="20"/>
          <w:szCs w:val="20"/>
        </w:rPr>
        <w:t xml:space="preserve"> cash incentive compensation, Ms. VanDerBosch had been eligible to earn a maximum of $114,330 cash incentive compensation, and Mr. Carlson had been eligible to earn a maximum of $</w:t>
      </w:r>
      <w:r w:rsidR="003874C5">
        <w:rPr>
          <w:color w:val="000000"/>
          <w:sz w:val="20"/>
          <w:szCs w:val="20"/>
        </w:rPr>
        <w:t>17,290</w:t>
      </w:r>
      <w:r>
        <w:rPr>
          <w:color w:val="000000"/>
          <w:sz w:val="20"/>
          <w:szCs w:val="20"/>
        </w:rPr>
        <w:t xml:space="preserve"> cash incentive compensation (</w:t>
      </w:r>
      <w:r w:rsidR="003874C5">
        <w:rPr>
          <w:color w:val="000000"/>
          <w:sz w:val="20"/>
          <w:szCs w:val="20"/>
        </w:rPr>
        <w:t>which represents an annualized maximum of $48,000, pro-rated for the portion of the year he served</w:t>
      </w:r>
      <w:r>
        <w:rPr>
          <w:color w:val="000000"/>
          <w:sz w:val="20"/>
          <w:szCs w:val="20"/>
        </w:rPr>
        <w:t xml:space="preserve">).  </w:t>
      </w:r>
    </w:p>
    <w:p w:rsidR="00067612" w:rsidRDefault="00067612" w:rsidP="00067612">
      <w:pPr>
        <w:rPr>
          <w:color w:val="000000"/>
          <w:sz w:val="20"/>
          <w:szCs w:val="20"/>
        </w:rPr>
      </w:pPr>
    </w:p>
    <w:p w:rsidR="00067612" w:rsidRDefault="00067612" w:rsidP="00067612">
      <w:pPr>
        <w:rPr>
          <w:color w:val="000000"/>
          <w:sz w:val="20"/>
          <w:szCs w:val="20"/>
        </w:rPr>
      </w:pPr>
      <w:r>
        <w:rPr>
          <w:color w:val="000000"/>
          <w:sz w:val="20"/>
          <w:szCs w:val="20"/>
        </w:rPr>
        <w:tab/>
      </w:r>
      <w:r>
        <w:rPr>
          <w:color w:val="000000"/>
          <w:sz w:val="20"/>
          <w:szCs w:val="20"/>
          <w:shd w:val="clear" w:color="auto" w:fill="FFFFFF"/>
        </w:rPr>
        <w:t xml:space="preserve">On February 16, 2011 the Compensation Committee evaluated achievement of the MBOs in fiscal 2010 based on our audited financial statements. The Compensation Committee awarded $17,007 to Mr. Koch and $77,257 to Ms. VanDerBosch. </w:t>
      </w:r>
      <w:r>
        <w:rPr>
          <w:color w:val="000000"/>
          <w:sz w:val="20"/>
          <w:szCs w:val="20"/>
        </w:rPr>
        <w:t xml:space="preserve">Mr. Koch had been eligible to earn a maximum of $177,984 of cash incentive compensation (pro-rated according to the duration of his service) and Ms. VanDerBosch had been eligible to earn a maximum of $114,330 cash incentive compensation.  </w:t>
      </w:r>
      <w:r>
        <w:rPr>
          <w:color w:val="000000"/>
          <w:sz w:val="20"/>
          <w:szCs w:val="20"/>
          <w:shd w:val="clear" w:color="auto" w:fill="FFFFFF"/>
        </w:rPr>
        <w:t xml:space="preserve">Actual cash incentive awards paid to our Named Executive Officers pursuant to achievement of MBOs ranged from 40% to 54% of base salary in fiscal 2010. The Compensation Committee did not waive or modify for any Named Executive Officer any of the specified performance targets, goals or conditions to payout for performance-based compensation that were in place during fiscal 2010.  </w:t>
      </w:r>
    </w:p>
    <w:p w:rsidR="00067612" w:rsidRDefault="00067612" w:rsidP="00067612">
      <w:pPr>
        <w:rPr>
          <w:b/>
          <w:i/>
          <w:color w:val="000000"/>
          <w:sz w:val="20"/>
          <w:szCs w:val="20"/>
        </w:rPr>
      </w:pPr>
    </w:p>
    <w:p w:rsidR="00067612" w:rsidRDefault="00067612" w:rsidP="00067612">
      <w:pPr>
        <w:rPr>
          <w:b/>
          <w:i/>
          <w:color w:val="000000"/>
          <w:sz w:val="20"/>
          <w:szCs w:val="20"/>
        </w:rPr>
      </w:pPr>
      <w:r>
        <w:rPr>
          <w:b/>
          <w:i/>
          <w:color w:val="000000"/>
          <w:sz w:val="20"/>
          <w:szCs w:val="20"/>
        </w:rPr>
        <w:t>Discretionary Cash Incentive Compensation</w:t>
      </w:r>
    </w:p>
    <w:p w:rsidR="00067612" w:rsidRDefault="00067612" w:rsidP="00067612">
      <w:pPr>
        <w:rPr>
          <w:b/>
          <w:i/>
          <w:color w:val="000000"/>
          <w:sz w:val="20"/>
          <w:szCs w:val="20"/>
        </w:rPr>
      </w:pPr>
    </w:p>
    <w:p w:rsidR="00067612" w:rsidRDefault="00067612" w:rsidP="00067612">
      <w:pPr>
        <w:rPr>
          <w:color w:val="000000"/>
          <w:sz w:val="20"/>
          <w:szCs w:val="20"/>
        </w:rPr>
      </w:pPr>
      <w:r>
        <w:rPr>
          <w:color w:val="000000"/>
          <w:sz w:val="20"/>
          <w:szCs w:val="20"/>
        </w:rPr>
        <w:tab/>
        <w:t xml:space="preserve">On </w:t>
      </w:r>
      <w:r w:rsidR="008C4A7A">
        <w:rPr>
          <w:color w:val="000000"/>
          <w:sz w:val="20"/>
          <w:szCs w:val="20"/>
        </w:rPr>
        <w:t>March 7</w:t>
      </w:r>
      <w:r w:rsidRPr="00A054FE">
        <w:rPr>
          <w:color w:val="000000"/>
          <w:sz w:val="20"/>
          <w:szCs w:val="20"/>
        </w:rPr>
        <w:t>,</w:t>
      </w:r>
      <w:r>
        <w:rPr>
          <w:color w:val="000000"/>
          <w:sz w:val="20"/>
          <w:szCs w:val="20"/>
        </w:rPr>
        <w:t xml:space="preserve"> 2012, the Compensation Committee awarded Karen T. van Lith</w:t>
      </w:r>
      <w:r w:rsidR="00D7243E">
        <w:rPr>
          <w:color w:val="000000"/>
          <w:sz w:val="20"/>
          <w:szCs w:val="20"/>
        </w:rPr>
        <w:t>,</w:t>
      </w:r>
      <w:r w:rsidR="00804A5E">
        <w:rPr>
          <w:color w:val="000000"/>
          <w:sz w:val="20"/>
          <w:szCs w:val="20"/>
        </w:rPr>
        <w:t xml:space="preserve"> </w:t>
      </w:r>
      <w:r>
        <w:rPr>
          <w:color w:val="000000"/>
          <w:sz w:val="20"/>
          <w:szCs w:val="20"/>
        </w:rPr>
        <w:t>Karen L. VanDerBosch</w:t>
      </w:r>
      <w:r w:rsidR="00D7243E">
        <w:rPr>
          <w:color w:val="000000"/>
          <w:sz w:val="20"/>
          <w:szCs w:val="20"/>
        </w:rPr>
        <w:t xml:space="preserve"> and Paul D. Carlson</w:t>
      </w:r>
      <w:r>
        <w:rPr>
          <w:color w:val="000000"/>
          <w:sz w:val="20"/>
          <w:szCs w:val="20"/>
        </w:rPr>
        <w:t xml:space="preserve"> discretionary cash bonuses of $</w:t>
      </w:r>
      <w:r w:rsidR="00D7243E">
        <w:rPr>
          <w:color w:val="000000"/>
          <w:sz w:val="20"/>
          <w:szCs w:val="20"/>
        </w:rPr>
        <w:t>50</w:t>
      </w:r>
      <w:r>
        <w:rPr>
          <w:color w:val="000000"/>
          <w:sz w:val="20"/>
          <w:szCs w:val="20"/>
        </w:rPr>
        <w:t>,000</w:t>
      </w:r>
      <w:r w:rsidR="00D7243E">
        <w:rPr>
          <w:color w:val="000000"/>
          <w:sz w:val="20"/>
          <w:szCs w:val="20"/>
        </w:rPr>
        <w:t>,</w:t>
      </w:r>
      <w:r>
        <w:rPr>
          <w:color w:val="000000"/>
          <w:sz w:val="20"/>
          <w:szCs w:val="20"/>
        </w:rPr>
        <w:t xml:space="preserve"> $20,000</w:t>
      </w:r>
      <w:r w:rsidR="00D7243E">
        <w:rPr>
          <w:color w:val="000000"/>
          <w:sz w:val="20"/>
          <w:szCs w:val="20"/>
        </w:rPr>
        <w:t>, and $10,000</w:t>
      </w:r>
      <w:r>
        <w:rPr>
          <w:color w:val="000000"/>
          <w:sz w:val="20"/>
          <w:szCs w:val="20"/>
        </w:rPr>
        <w:t>, respectively, in each case for such officer’s leadership in successfully completing the Company's acquisitions of</w:t>
      </w:r>
      <w:r w:rsidR="003874C5">
        <w:rPr>
          <w:color w:val="000000"/>
          <w:sz w:val="20"/>
          <w:szCs w:val="20"/>
        </w:rPr>
        <w:t xml:space="preserve"> Garritan Corporation and select assets of</w:t>
      </w:r>
      <w:r>
        <w:rPr>
          <w:color w:val="000000"/>
          <w:sz w:val="20"/>
          <w:szCs w:val="20"/>
        </w:rPr>
        <w:t xml:space="preserve"> </w:t>
      </w:r>
      <w:proofErr w:type="spellStart"/>
      <w:r>
        <w:rPr>
          <w:color w:val="000000"/>
          <w:sz w:val="20"/>
          <w:szCs w:val="20"/>
        </w:rPr>
        <w:t>Recordare</w:t>
      </w:r>
      <w:proofErr w:type="spellEnd"/>
      <w:r>
        <w:rPr>
          <w:color w:val="000000"/>
          <w:sz w:val="20"/>
          <w:szCs w:val="20"/>
        </w:rPr>
        <w:t xml:space="preserve"> LLC during fiscal 2011.</w:t>
      </w:r>
    </w:p>
    <w:p w:rsidR="00067612" w:rsidRDefault="00067612" w:rsidP="00067612">
      <w:pPr>
        <w:rPr>
          <w:b/>
          <w:i/>
          <w:color w:val="000000"/>
          <w:sz w:val="20"/>
          <w:szCs w:val="20"/>
        </w:rPr>
      </w:pPr>
    </w:p>
    <w:p w:rsidR="00067612" w:rsidRDefault="00067612" w:rsidP="00067612">
      <w:pPr>
        <w:rPr>
          <w:b/>
          <w:i/>
          <w:color w:val="000000"/>
          <w:sz w:val="20"/>
          <w:szCs w:val="20"/>
        </w:rPr>
      </w:pPr>
      <w:r>
        <w:rPr>
          <w:b/>
          <w:i/>
          <w:color w:val="000000"/>
          <w:sz w:val="20"/>
          <w:szCs w:val="20"/>
        </w:rPr>
        <w:t>Long-Term Incentive Compensation</w:t>
      </w:r>
    </w:p>
    <w:p w:rsidR="00067612" w:rsidRDefault="00067612" w:rsidP="00067612">
      <w:pPr>
        <w:rPr>
          <w:color w:val="000000"/>
          <w:sz w:val="20"/>
          <w:szCs w:val="20"/>
        </w:rPr>
      </w:pPr>
    </w:p>
    <w:p w:rsidR="00067612" w:rsidRDefault="00067612" w:rsidP="00067612">
      <w:pPr>
        <w:rPr>
          <w:color w:val="000000"/>
          <w:sz w:val="20"/>
          <w:szCs w:val="20"/>
        </w:rPr>
      </w:pPr>
      <w:r>
        <w:rPr>
          <w:color w:val="000000"/>
          <w:sz w:val="20"/>
          <w:szCs w:val="20"/>
        </w:rPr>
        <w:tab/>
        <w:t xml:space="preserve">Our long-term incentive compensation in the form of stock option and restricted stock awards is designed to attract and retain key executives, build an integrated management team, reward innovation and performance, and share long-term successes. The intent is to align executive and shareholder interests, thereby increasing shareholder value. </w:t>
      </w:r>
    </w:p>
    <w:p w:rsidR="00067612" w:rsidRDefault="00067612" w:rsidP="00067612">
      <w:pPr>
        <w:rPr>
          <w:color w:val="000000"/>
          <w:sz w:val="20"/>
          <w:szCs w:val="20"/>
        </w:rPr>
      </w:pPr>
    </w:p>
    <w:p w:rsidR="00067612" w:rsidRDefault="00067612" w:rsidP="00067612">
      <w:pPr>
        <w:rPr>
          <w:b/>
          <w:i/>
          <w:color w:val="000000"/>
          <w:sz w:val="20"/>
          <w:szCs w:val="20"/>
        </w:rPr>
      </w:pPr>
      <w:r>
        <w:rPr>
          <w:i/>
          <w:color w:val="000000"/>
          <w:sz w:val="20"/>
          <w:szCs w:val="20"/>
        </w:rPr>
        <w:tab/>
      </w:r>
      <w:r>
        <w:rPr>
          <w:b/>
          <w:color w:val="000000"/>
          <w:sz w:val="20"/>
          <w:szCs w:val="20"/>
        </w:rPr>
        <w:t>Material Terms of Option Grant</w:t>
      </w:r>
      <w:r>
        <w:rPr>
          <w:b/>
          <w:i/>
          <w:color w:val="000000"/>
          <w:sz w:val="20"/>
          <w:szCs w:val="20"/>
        </w:rPr>
        <w:t>s</w:t>
      </w:r>
    </w:p>
    <w:p w:rsidR="00067612" w:rsidRDefault="00067612" w:rsidP="00067612">
      <w:pPr>
        <w:jc w:val="center"/>
        <w:rPr>
          <w:b/>
          <w:color w:val="000000"/>
          <w:sz w:val="20"/>
          <w:szCs w:val="20"/>
        </w:rPr>
      </w:pPr>
    </w:p>
    <w:p w:rsidR="00067612" w:rsidRDefault="00067612" w:rsidP="00067612">
      <w:pPr>
        <w:rPr>
          <w:color w:val="000000"/>
          <w:sz w:val="20"/>
          <w:szCs w:val="20"/>
        </w:rPr>
      </w:pPr>
      <w:r>
        <w:rPr>
          <w:sz w:val="20"/>
          <w:szCs w:val="22"/>
        </w:rPr>
        <w:tab/>
        <w:t>T</w:t>
      </w:r>
      <w:r>
        <w:rPr>
          <w:color w:val="000000"/>
          <w:sz w:val="20"/>
          <w:szCs w:val="20"/>
        </w:rPr>
        <w:t>he Compensation Committee may grant options from time to time at its discretion, in accordance with the 2003 Equity Incentive Plan.  In addition, under the Executive Plan, the Compensation Committee has authority to grant options to our Named Executive Officers and other employees when 80% of target performance is met or surpassed for all MBOs.  No options were granted under the Executive Plan in 2011 or 2010.</w:t>
      </w:r>
    </w:p>
    <w:p w:rsidR="00067612" w:rsidRDefault="00067612" w:rsidP="00067612">
      <w:pPr>
        <w:rPr>
          <w:color w:val="000000"/>
          <w:sz w:val="20"/>
          <w:szCs w:val="20"/>
        </w:rPr>
      </w:pPr>
    </w:p>
    <w:p w:rsidR="00067612" w:rsidRDefault="00067612" w:rsidP="00067612">
      <w:pPr>
        <w:rPr>
          <w:sz w:val="20"/>
          <w:szCs w:val="22"/>
        </w:rPr>
      </w:pPr>
      <w:r>
        <w:rPr>
          <w:color w:val="000000"/>
          <w:sz w:val="20"/>
          <w:szCs w:val="20"/>
        </w:rPr>
        <w:t xml:space="preserve">          </w:t>
      </w:r>
      <w:r>
        <w:rPr>
          <w:color w:val="000000"/>
          <w:sz w:val="20"/>
          <w:szCs w:val="20"/>
        </w:rPr>
        <w:tab/>
      </w:r>
      <w:r>
        <w:rPr>
          <w:sz w:val="20"/>
          <w:szCs w:val="22"/>
        </w:rPr>
        <w:t xml:space="preserve">On June 13, 2011, we granted a seven-year stock option to Karen T. van Lith upon hiring her to serve as Chief Executive Officer.  The option vests ratably over a four-year period, beginning </w:t>
      </w:r>
      <w:r w:rsidR="00AD185B">
        <w:rPr>
          <w:sz w:val="20"/>
          <w:szCs w:val="22"/>
        </w:rPr>
        <w:t>June 30</w:t>
      </w:r>
      <w:r>
        <w:rPr>
          <w:sz w:val="20"/>
          <w:szCs w:val="22"/>
        </w:rPr>
        <w:t xml:space="preserve">, 2011 and ending </w:t>
      </w:r>
      <w:r w:rsidR="00AD185B">
        <w:rPr>
          <w:sz w:val="20"/>
          <w:szCs w:val="22"/>
        </w:rPr>
        <w:t>May</w:t>
      </w:r>
      <w:r>
        <w:rPr>
          <w:sz w:val="20"/>
          <w:szCs w:val="22"/>
        </w:rPr>
        <w:t xml:space="preserve"> 31, 2015, and allows Ms. van Lith to purchase 125,000 shares at an exercise price of $4.92 per share.  </w:t>
      </w:r>
    </w:p>
    <w:p w:rsidR="00067612" w:rsidRDefault="00067612" w:rsidP="00067612">
      <w:pPr>
        <w:rPr>
          <w:sz w:val="20"/>
          <w:szCs w:val="22"/>
        </w:rPr>
      </w:pPr>
    </w:p>
    <w:p w:rsidR="00067612" w:rsidRDefault="00067612" w:rsidP="00067612">
      <w:pPr>
        <w:rPr>
          <w:color w:val="000000"/>
          <w:sz w:val="20"/>
          <w:szCs w:val="20"/>
        </w:rPr>
      </w:pPr>
      <w:r>
        <w:rPr>
          <w:sz w:val="20"/>
          <w:szCs w:val="22"/>
        </w:rPr>
        <w:tab/>
        <w:t xml:space="preserve">On August 8, 2011, we granted a </w:t>
      </w:r>
      <w:r w:rsidR="00C83B49">
        <w:rPr>
          <w:sz w:val="20"/>
          <w:szCs w:val="22"/>
        </w:rPr>
        <w:t>seven</w:t>
      </w:r>
      <w:r>
        <w:rPr>
          <w:sz w:val="20"/>
          <w:szCs w:val="22"/>
        </w:rPr>
        <w:t xml:space="preserve">-year stock option to Paul D. Carlson upon hiring him to serve as Chief Technology Officer.  The option vests ratably over a four-year period, beginning August 31, 2011 and ending July 31, 2015, and allows Mr. Carlson to purchase 25,000 shares at an exercise price of $4.93 per share.  </w:t>
      </w:r>
    </w:p>
    <w:p w:rsidR="00067612" w:rsidRDefault="00067612" w:rsidP="00067612">
      <w:pPr>
        <w:rPr>
          <w:sz w:val="20"/>
          <w:szCs w:val="22"/>
        </w:rPr>
      </w:pPr>
      <w:r>
        <w:rPr>
          <w:color w:val="000000"/>
          <w:sz w:val="20"/>
          <w:szCs w:val="20"/>
        </w:rPr>
        <w:t xml:space="preserve">        </w:t>
      </w:r>
      <w:r>
        <w:rPr>
          <w:color w:val="000000"/>
          <w:sz w:val="20"/>
          <w:szCs w:val="20"/>
        </w:rPr>
        <w:tab/>
      </w:r>
    </w:p>
    <w:p w:rsidR="00067612" w:rsidRDefault="00067612" w:rsidP="00067612">
      <w:pPr>
        <w:rPr>
          <w:color w:val="000000"/>
          <w:sz w:val="20"/>
          <w:szCs w:val="20"/>
        </w:rPr>
      </w:pPr>
      <w:r>
        <w:rPr>
          <w:color w:val="000000"/>
          <w:sz w:val="20"/>
          <w:szCs w:val="20"/>
        </w:rPr>
        <w:tab/>
        <w:t xml:space="preserve">Option grants to executives are made under the 2003 Equity Incentive Plan and are subject to the terms of our form of incentive stock option agreement. The form of agreement provides that the exercise price of a grant is equal to the fair market value on the date of grant. Incentive stock options typically vest over a four-year period, with the unvested portion of the option typically forfeited if the executive leaves </w:t>
      </w:r>
      <w:proofErr w:type="spellStart"/>
      <w:r>
        <w:rPr>
          <w:color w:val="000000"/>
          <w:sz w:val="20"/>
          <w:szCs w:val="20"/>
        </w:rPr>
        <w:t>MakeMusic</w:t>
      </w:r>
      <w:proofErr w:type="spellEnd"/>
      <w:r>
        <w:rPr>
          <w:color w:val="000000"/>
          <w:sz w:val="20"/>
          <w:szCs w:val="20"/>
        </w:rPr>
        <w:t xml:space="preserve"> for any reason other than death, and with the option expiring no later than 90 days after termination of service. In the event of the termination of an employee’s relationship with </w:t>
      </w:r>
      <w:proofErr w:type="spellStart"/>
      <w:r>
        <w:rPr>
          <w:color w:val="000000"/>
          <w:sz w:val="20"/>
          <w:szCs w:val="20"/>
        </w:rPr>
        <w:t>MakeMusic</w:t>
      </w:r>
      <w:proofErr w:type="spellEnd"/>
      <w:r>
        <w:rPr>
          <w:color w:val="000000"/>
          <w:sz w:val="20"/>
          <w:szCs w:val="20"/>
        </w:rPr>
        <w:t xml:space="preserve"> in connection with a change of control event, the form of agreement provides that all unvested shares of stock subject to the option grant shall immediately vest. </w:t>
      </w:r>
    </w:p>
    <w:p w:rsidR="00067612" w:rsidRDefault="00067612" w:rsidP="00067612">
      <w:pPr>
        <w:rPr>
          <w:b/>
          <w:color w:val="000000"/>
          <w:sz w:val="20"/>
          <w:szCs w:val="20"/>
        </w:rPr>
      </w:pPr>
      <w:r>
        <w:rPr>
          <w:b/>
          <w:color w:val="000000"/>
          <w:sz w:val="20"/>
          <w:szCs w:val="20"/>
        </w:rPr>
        <w:t xml:space="preserve">          </w:t>
      </w:r>
    </w:p>
    <w:p w:rsidR="00067612" w:rsidRDefault="00067612" w:rsidP="00067612">
      <w:pPr>
        <w:rPr>
          <w:b/>
          <w:color w:val="000000"/>
          <w:sz w:val="20"/>
          <w:szCs w:val="20"/>
        </w:rPr>
      </w:pPr>
      <w:r>
        <w:rPr>
          <w:i/>
          <w:color w:val="000000"/>
          <w:sz w:val="20"/>
          <w:szCs w:val="20"/>
        </w:rPr>
        <w:tab/>
      </w:r>
      <w:r>
        <w:rPr>
          <w:b/>
          <w:color w:val="000000"/>
          <w:sz w:val="20"/>
          <w:szCs w:val="20"/>
        </w:rPr>
        <w:t>Material Terms of Restricted Stock Awards</w:t>
      </w:r>
    </w:p>
    <w:p w:rsidR="00067612" w:rsidRDefault="00067612" w:rsidP="00067612">
      <w:pPr>
        <w:rPr>
          <w:color w:val="000000"/>
          <w:sz w:val="20"/>
          <w:szCs w:val="20"/>
        </w:rPr>
      </w:pPr>
      <w:r>
        <w:rPr>
          <w:color w:val="000000"/>
          <w:sz w:val="20"/>
          <w:szCs w:val="20"/>
        </w:rPr>
        <w:tab/>
      </w:r>
    </w:p>
    <w:p w:rsidR="00067612" w:rsidRDefault="00067612" w:rsidP="00067612">
      <w:pPr>
        <w:rPr>
          <w:color w:val="000000"/>
          <w:sz w:val="20"/>
          <w:szCs w:val="20"/>
        </w:rPr>
      </w:pPr>
      <w:r>
        <w:rPr>
          <w:color w:val="000000"/>
          <w:sz w:val="20"/>
          <w:szCs w:val="20"/>
        </w:rPr>
        <w:tab/>
        <w:t xml:space="preserve">The Executive Plan provides that participants will be eligible for a restricted stock award upon certain levels of achievement of MBOs. The maximum value of each participant’s restricted stock award is determined on an annual basis by the Compensation Committee when the MBOs are established, and the grant is made following the end of the applicable fiscal year based on actual performance. When granted, the earned restricted stock awards are subject to risks of forfeiture, which lapse as to 25% of the award on the delivery date and in 25% increments during the following three years. For awards granted in recognition of achievement in 2011 and 2010, the Executive Plan provides that if a participant terminates his or her employment without “good reason” or is terminated by </w:t>
      </w:r>
      <w:proofErr w:type="spellStart"/>
      <w:r>
        <w:rPr>
          <w:color w:val="000000"/>
          <w:sz w:val="20"/>
          <w:szCs w:val="20"/>
        </w:rPr>
        <w:t>MakeMusic</w:t>
      </w:r>
      <w:proofErr w:type="spellEnd"/>
      <w:r>
        <w:rPr>
          <w:color w:val="000000"/>
          <w:sz w:val="20"/>
          <w:szCs w:val="20"/>
        </w:rPr>
        <w:t xml:space="preserve"> for “cause,” he or she will forfeit any portion of the award that remains restricted.</w:t>
      </w:r>
    </w:p>
    <w:p w:rsidR="00067612" w:rsidRDefault="00067612" w:rsidP="00067612">
      <w:pPr>
        <w:rPr>
          <w:color w:val="000000"/>
          <w:sz w:val="20"/>
          <w:szCs w:val="20"/>
        </w:rPr>
      </w:pPr>
    </w:p>
    <w:p w:rsidR="00067612" w:rsidRDefault="00067612" w:rsidP="00067612">
      <w:pPr>
        <w:rPr>
          <w:color w:val="000000"/>
          <w:sz w:val="20"/>
          <w:szCs w:val="20"/>
        </w:rPr>
      </w:pPr>
      <w:r>
        <w:rPr>
          <w:color w:val="000000"/>
          <w:sz w:val="20"/>
          <w:szCs w:val="20"/>
        </w:rPr>
        <w:tab/>
        <w:t xml:space="preserve">Pursuant to the Executive Plan, we granted restricted stock awards in 2011 based on achievement in fiscal 2010 of MBOs for that year.  For the period from November 10, 2010 to December 31, 2010 Jeffrey A. Koch, then our Interim Chief Executive Officer, was eligible for 5,868 shares of restricted stock (with a value of $24,986, based on the average share price for the three months preceding the fiscal year in which the award was earned).  For fiscal 2010, Karen L. VanDerBosch was eligible for 28,851 shares of restricted stock (with a value of $114,330, based on the average share price for the three months preceding the fiscal year in which the award was earned). Actual incentive compensation was dependent upon achievement during 2010 of the MBOs determined by the Compensation Committee. On February 16, 2011 the Compensation Committee evaluated achievement of the MBOs in fiscal 2010 based on our audited financial statements. The Compensation Committee awarded 951 shares of restricted stock to Mr. Koch and 4,320 shares of restricted stock to Ms. VanDerBosch effective March 15, 2011. </w:t>
      </w:r>
    </w:p>
    <w:p w:rsidR="00067612" w:rsidRDefault="00067612" w:rsidP="00067612">
      <w:pPr>
        <w:rPr>
          <w:color w:val="000000"/>
          <w:sz w:val="20"/>
          <w:szCs w:val="20"/>
        </w:rPr>
      </w:pPr>
    </w:p>
    <w:p w:rsidR="00067612" w:rsidRDefault="00067612" w:rsidP="00067612">
      <w:pPr>
        <w:rPr>
          <w:sz w:val="20"/>
          <w:szCs w:val="20"/>
        </w:rPr>
      </w:pPr>
      <w:r>
        <w:rPr>
          <w:color w:val="000000"/>
          <w:sz w:val="20"/>
          <w:szCs w:val="20"/>
        </w:rPr>
        <w:tab/>
      </w:r>
      <w:r>
        <w:rPr>
          <w:sz w:val="20"/>
          <w:szCs w:val="20"/>
        </w:rPr>
        <w:t xml:space="preserve">We have also granted restricted stock awards in 2012 with respect to the achievement in 2011 of the MBOs for that year.  Pursuant to the 2011 MBOs, Ms. van Lith received 1,216 shares of restricted stock (valued at $5,691), Mr. Koch received 761 shares of restricted stock </w:t>
      </w:r>
      <w:r>
        <w:rPr>
          <w:color w:val="000000"/>
          <w:sz w:val="20"/>
          <w:szCs w:val="20"/>
        </w:rPr>
        <w:t>(valued at $3,558)</w:t>
      </w:r>
      <w:r>
        <w:rPr>
          <w:sz w:val="20"/>
          <w:szCs w:val="20"/>
        </w:rPr>
        <w:t xml:space="preserve"> and Ms. VanDerBosch received 1,122 shares of restricted stock (valued at $5,428) (which amounts for Ms. van Lith and Mr. Koch are pro-rated for the duration of their service, and which amount in each case are</w:t>
      </w:r>
      <w:r>
        <w:rPr>
          <w:color w:val="000000"/>
          <w:sz w:val="20"/>
          <w:szCs w:val="20"/>
        </w:rPr>
        <w:t xml:space="preserve"> based on the average share price for the three months preceding the fiscal year in which the award was earned)</w:t>
      </w:r>
      <w:r>
        <w:rPr>
          <w:sz w:val="20"/>
          <w:szCs w:val="20"/>
        </w:rPr>
        <w:t xml:space="preserve">. Under the Executive Plan, Ms. van Lith had been eligible for </w:t>
      </w:r>
      <w:r w:rsidR="003313A9">
        <w:rPr>
          <w:sz w:val="20"/>
          <w:szCs w:val="20"/>
        </w:rPr>
        <w:t>28,718</w:t>
      </w:r>
      <w:r>
        <w:rPr>
          <w:sz w:val="20"/>
          <w:szCs w:val="20"/>
        </w:rPr>
        <w:t xml:space="preserve"> shares of restricted stock (with a value of $</w:t>
      </w:r>
      <w:r w:rsidR="003313A9">
        <w:rPr>
          <w:sz w:val="20"/>
          <w:szCs w:val="20"/>
        </w:rPr>
        <w:t>134,400</w:t>
      </w:r>
      <w:r>
        <w:rPr>
          <w:sz w:val="20"/>
          <w:szCs w:val="20"/>
        </w:rPr>
        <w:t xml:space="preserve">), Mr. Koch had been eligible for 17,954 shares of restricted stock (with a value of $84,023), and Ms. VanDerBosch had been eligible for </w:t>
      </w:r>
      <w:r w:rsidR="003313A9">
        <w:rPr>
          <w:sz w:val="20"/>
          <w:szCs w:val="20"/>
        </w:rPr>
        <w:t>26,</w:t>
      </w:r>
      <w:r w:rsidR="00030AE6">
        <w:rPr>
          <w:sz w:val="20"/>
          <w:szCs w:val="20"/>
        </w:rPr>
        <w:t xml:space="preserve">483 </w:t>
      </w:r>
      <w:r>
        <w:rPr>
          <w:sz w:val="20"/>
          <w:szCs w:val="20"/>
        </w:rPr>
        <w:t>shares of restricted stock (with a value of $</w:t>
      </w:r>
      <w:r w:rsidR="003313A9">
        <w:rPr>
          <w:sz w:val="20"/>
          <w:szCs w:val="20"/>
        </w:rPr>
        <w:t>123,940</w:t>
      </w:r>
      <w:r>
        <w:rPr>
          <w:sz w:val="20"/>
          <w:szCs w:val="20"/>
        </w:rPr>
        <w:t>) (which amounts for Ms. van Lith and Mr. Koch are pro-rated for the duration of their service, and which amount in each case are</w:t>
      </w:r>
      <w:r>
        <w:rPr>
          <w:color w:val="000000"/>
          <w:sz w:val="20"/>
          <w:szCs w:val="20"/>
        </w:rPr>
        <w:t xml:space="preserve"> based on the average share price for the three months preceding the fiscal year in which the award was earned)</w:t>
      </w:r>
      <w:r>
        <w:rPr>
          <w:sz w:val="20"/>
          <w:szCs w:val="20"/>
        </w:rPr>
        <w:t xml:space="preserve">.The actual dollar value of stock awards earned by our executive officers in 2011 pursuant to achievement of MBOs ranged from 2.5% to 3.6% of base salary earned in fiscal year 2011, which is consistent with the committee’s overall compensation objectives.   </w:t>
      </w:r>
    </w:p>
    <w:p w:rsidR="00067612" w:rsidRDefault="00067612" w:rsidP="00067612">
      <w:pPr>
        <w:rPr>
          <w:color w:val="000000"/>
          <w:sz w:val="20"/>
          <w:szCs w:val="20"/>
        </w:rPr>
      </w:pPr>
    </w:p>
    <w:p w:rsidR="00067612" w:rsidRDefault="00067612" w:rsidP="00067612">
      <w:pPr>
        <w:rPr>
          <w:color w:val="000000"/>
          <w:sz w:val="20"/>
          <w:szCs w:val="20"/>
        </w:rPr>
      </w:pPr>
      <w:r>
        <w:rPr>
          <w:color w:val="000000"/>
          <w:sz w:val="20"/>
          <w:szCs w:val="20"/>
        </w:rPr>
        <w:tab/>
        <w:t>Restricted stock awards are made under our 2003 Equity Incentive Plan and are subject to the terms thereof and our form of restricted stock award agreement.</w:t>
      </w:r>
    </w:p>
    <w:p w:rsidR="00067612" w:rsidRDefault="00067612" w:rsidP="00067612">
      <w:pPr>
        <w:rPr>
          <w:b/>
          <w:color w:val="000000"/>
          <w:sz w:val="20"/>
          <w:szCs w:val="20"/>
        </w:rPr>
      </w:pPr>
    </w:p>
    <w:p w:rsidR="00067612" w:rsidRDefault="00067612" w:rsidP="00067612">
      <w:pPr>
        <w:rPr>
          <w:b/>
          <w:color w:val="000000"/>
          <w:sz w:val="20"/>
          <w:szCs w:val="20"/>
        </w:rPr>
      </w:pPr>
      <w:r>
        <w:rPr>
          <w:b/>
          <w:color w:val="000000"/>
          <w:sz w:val="20"/>
          <w:szCs w:val="20"/>
        </w:rPr>
        <w:t xml:space="preserve">Employment Agreements and Termination of Employment Agreements </w:t>
      </w:r>
    </w:p>
    <w:p w:rsidR="00067612" w:rsidRDefault="00067612" w:rsidP="00067612">
      <w:pPr>
        <w:rPr>
          <w:color w:val="000000"/>
          <w:sz w:val="20"/>
          <w:szCs w:val="20"/>
        </w:rPr>
      </w:pPr>
      <w:r>
        <w:rPr>
          <w:color w:val="000000"/>
          <w:sz w:val="20"/>
          <w:szCs w:val="20"/>
        </w:rPr>
        <w:t xml:space="preserve">          </w:t>
      </w:r>
    </w:p>
    <w:p w:rsidR="00067612" w:rsidRDefault="00067612" w:rsidP="00067612">
      <w:pPr>
        <w:rPr>
          <w:color w:val="000000"/>
          <w:sz w:val="20"/>
          <w:szCs w:val="20"/>
        </w:rPr>
      </w:pPr>
      <w:r>
        <w:rPr>
          <w:color w:val="000000"/>
          <w:sz w:val="20"/>
          <w:szCs w:val="20"/>
        </w:rPr>
        <w:tab/>
        <w:t xml:space="preserve">On June 13, 2011, </w:t>
      </w:r>
      <w:proofErr w:type="spellStart"/>
      <w:r>
        <w:rPr>
          <w:color w:val="000000"/>
          <w:sz w:val="20"/>
          <w:szCs w:val="20"/>
        </w:rPr>
        <w:t>MakeMusic</w:t>
      </w:r>
      <w:proofErr w:type="spellEnd"/>
      <w:r>
        <w:rPr>
          <w:color w:val="000000"/>
          <w:sz w:val="20"/>
          <w:szCs w:val="20"/>
        </w:rPr>
        <w:t xml:space="preserve"> entered into an employment agreement with Karen T. van Lith upon hiring her to serve as Chief Executive Officer.  Ms. van </w:t>
      </w:r>
      <w:proofErr w:type="spellStart"/>
      <w:r>
        <w:rPr>
          <w:color w:val="000000"/>
          <w:sz w:val="20"/>
          <w:szCs w:val="20"/>
        </w:rPr>
        <w:t>Lith’s</w:t>
      </w:r>
      <w:proofErr w:type="spellEnd"/>
      <w:r>
        <w:rPr>
          <w:color w:val="000000"/>
          <w:sz w:val="20"/>
          <w:szCs w:val="20"/>
        </w:rPr>
        <w:t xml:space="preserve"> employment agreement has an indefinite term and is effective until Ms. van </w:t>
      </w:r>
      <w:proofErr w:type="spellStart"/>
      <w:r>
        <w:rPr>
          <w:color w:val="000000"/>
          <w:sz w:val="20"/>
          <w:szCs w:val="20"/>
        </w:rPr>
        <w:t>Lith’s</w:t>
      </w:r>
      <w:proofErr w:type="spellEnd"/>
      <w:r>
        <w:rPr>
          <w:color w:val="000000"/>
          <w:sz w:val="20"/>
          <w:szCs w:val="20"/>
        </w:rPr>
        <w:t xml:space="preserve"> employment is terminated pursuant to the agreement. The agreement may be terminated by mutual agreement of the parties, by </w:t>
      </w:r>
      <w:proofErr w:type="spellStart"/>
      <w:r>
        <w:rPr>
          <w:color w:val="000000"/>
          <w:sz w:val="20"/>
          <w:szCs w:val="20"/>
        </w:rPr>
        <w:t>MakeMusic</w:t>
      </w:r>
      <w:proofErr w:type="spellEnd"/>
      <w:r>
        <w:rPr>
          <w:color w:val="000000"/>
          <w:sz w:val="20"/>
          <w:szCs w:val="20"/>
        </w:rPr>
        <w:t xml:space="preserve"> with or without cause, or by Ms. van Lith. If we terminate Ms. van Lith without cause, or if she resigns for good reason (including diminution of duties, reduction of salary, failure of a successor to assume </w:t>
      </w:r>
      <w:proofErr w:type="spellStart"/>
      <w:r>
        <w:rPr>
          <w:color w:val="000000"/>
          <w:sz w:val="20"/>
          <w:szCs w:val="20"/>
        </w:rPr>
        <w:t>MakeMusic’s</w:t>
      </w:r>
      <w:proofErr w:type="spellEnd"/>
      <w:r>
        <w:rPr>
          <w:color w:val="000000"/>
          <w:sz w:val="20"/>
          <w:szCs w:val="20"/>
        </w:rPr>
        <w:t xml:space="preserve"> duties under the agreement or a breach of the agreement by </w:t>
      </w:r>
      <w:proofErr w:type="spellStart"/>
      <w:r>
        <w:rPr>
          <w:color w:val="000000"/>
          <w:sz w:val="20"/>
          <w:szCs w:val="20"/>
        </w:rPr>
        <w:t>MakeMusic</w:t>
      </w:r>
      <w:proofErr w:type="spellEnd"/>
      <w:r>
        <w:rPr>
          <w:color w:val="000000"/>
          <w:sz w:val="20"/>
          <w:szCs w:val="20"/>
        </w:rPr>
        <w:t xml:space="preserve">) she would be entitled to receive monthly cash payments equal to her then-current base salary for one year and a pro-rated portion of any incentive compensation earned through the date of termination. </w:t>
      </w:r>
    </w:p>
    <w:p w:rsidR="00067612" w:rsidRDefault="00067612" w:rsidP="00067612">
      <w:pPr>
        <w:rPr>
          <w:color w:val="000000"/>
          <w:sz w:val="20"/>
          <w:szCs w:val="20"/>
        </w:rPr>
      </w:pPr>
    </w:p>
    <w:p w:rsidR="00067612" w:rsidRDefault="00067612" w:rsidP="00067612">
      <w:pPr>
        <w:rPr>
          <w:color w:val="000000"/>
          <w:sz w:val="20"/>
          <w:szCs w:val="20"/>
        </w:rPr>
      </w:pPr>
      <w:r>
        <w:rPr>
          <w:color w:val="000000"/>
          <w:sz w:val="20"/>
          <w:szCs w:val="20"/>
        </w:rPr>
        <w:tab/>
      </w:r>
      <w:proofErr w:type="spellStart"/>
      <w:r>
        <w:rPr>
          <w:color w:val="000000"/>
          <w:sz w:val="20"/>
          <w:szCs w:val="20"/>
        </w:rPr>
        <w:t>MakeMusic</w:t>
      </w:r>
      <w:proofErr w:type="spellEnd"/>
      <w:r>
        <w:rPr>
          <w:color w:val="000000"/>
          <w:sz w:val="20"/>
          <w:szCs w:val="20"/>
        </w:rPr>
        <w:t xml:space="preserve"> entered into an employment agreement with Jeffrey A. Koch on November 10, 2010, upon hiring him to serve as interim Chief Executive Officer. </w:t>
      </w:r>
      <w:proofErr w:type="spellStart"/>
      <w:r>
        <w:rPr>
          <w:color w:val="000000"/>
          <w:sz w:val="20"/>
          <w:szCs w:val="20"/>
        </w:rPr>
        <w:t>MakeMusic</w:t>
      </w:r>
      <w:proofErr w:type="spellEnd"/>
      <w:r>
        <w:rPr>
          <w:color w:val="000000"/>
          <w:sz w:val="20"/>
          <w:szCs w:val="20"/>
        </w:rPr>
        <w:t xml:space="preserve"> terminated the position of interim Chief Executive Officer on June 13, 2011, upon appointment Ms. van Lith to serve as Chief Executive Officer. Pursuant to Mr. Koch’s employment agreement, he became entitled upon termination of his employment to severance pay in the aggregate amount of approximately $93,865 (the remainder of base salary that would have been paid had he served as interim Chief Executive Officer through November 9, 2011), along with the pro-rated value of any incentive compensation earned through June 13, 2011. Mr. Koch’s November 2010 stock option also became fully exercisable, but expired without exercise in September 2011.</w:t>
      </w:r>
    </w:p>
    <w:p w:rsidR="00067612" w:rsidRDefault="00067612" w:rsidP="00067612">
      <w:pPr>
        <w:rPr>
          <w:color w:val="000000"/>
          <w:sz w:val="20"/>
          <w:szCs w:val="20"/>
        </w:rPr>
      </w:pPr>
    </w:p>
    <w:p w:rsidR="00067612" w:rsidRDefault="00067612" w:rsidP="00067612">
      <w:pPr>
        <w:rPr>
          <w:color w:val="000000"/>
          <w:sz w:val="20"/>
          <w:szCs w:val="20"/>
        </w:rPr>
      </w:pPr>
      <w:r>
        <w:rPr>
          <w:color w:val="000000"/>
          <w:sz w:val="20"/>
          <w:szCs w:val="20"/>
        </w:rPr>
        <w:tab/>
        <w:t xml:space="preserve">On May 8, 2009, </w:t>
      </w:r>
      <w:proofErr w:type="spellStart"/>
      <w:r>
        <w:rPr>
          <w:color w:val="000000"/>
          <w:sz w:val="20"/>
          <w:szCs w:val="20"/>
        </w:rPr>
        <w:t>MakeMusic</w:t>
      </w:r>
      <w:proofErr w:type="spellEnd"/>
      <w:r>
        <w:rPr>
          <w:color w:val="000000"/>
          <w:sz w:val="20"/>
          <w:szCs w:val="20"/>
        </w:rPr>
        <w:t xml:space="preserve"> entered into an employment agreement with Karen L. VanDerBosch. Ms. </w:t>
      </w:r>
      <w:proofErr w:type="spellStart"/>
      <w:r>
        <w:rPr>
          <w:color w:val="000000"/>
          <w:sz w:val="20"/>
          <w:szCs w:val="20"/>
        </w:rPr>
        <w:t>VanDerBosch’s</w:t>
      </w:r>
      <w:proofErr w:type="spellEnd"/>
      <w:r>
        <w:rPr>
          <w:color w:val="000000"/>
          <w:sz w:val="20"/>
          <w:szCs w:val="20"/>
        </w:rPr>
        <w:t xml:space="preserve"> employment agreement has an indefinite term and is effective until Ms. </w:t>
      </w:r>
      <w:proofErr w:type="spellStart"/>
      <w:r>
        <w:rPr>
          <w:color w:val="000000"/>
          <w:sz w:val="20"/>
          <w:szCs w:val="20"/>
        </w:rPr>
        <w:t>VanDerBosch’s</w:t>
      </w:r>
      <w:proofErr w:type="spellEnd"/>
      <w:r>
        <w:rPr>
          <w:color w:val="000000"/>
          <w:sz w:val="20"/>
          <w:szCs w:val="20"/>
        </w:rPr>
        <w:t xml:space="preserve"> employment is terminated pursuant to the agreement. The agreement may be terminated by mutual agreement of the parties, by </w:t>
      </w:r>
      <w:proofErr w:type="spellStart"/>
      <w:r>
        <w:rPr>
          <w:color w:val="000000"/>
          <w:sz w:val="20"/>
          <w:szCs w:val="20"/>
        </w:rPr>
        <w:t>MakeMusic</w:t>
      </w:r>
      <w:proofErr w:type="spellEnd"/>
      <w:r>
        <w:rPr>
          <w:color w:val="000000"/>
          <w:sz w:val="20"/>
          <w:szCs w:val="20"/>
        </w:rPr>
        <w:t xml:space="preserve"> with or without cause, or by Ms. VanDerBosch. If we terminate Ms. VanDerBosch without cause, or if she resigns for good reason upon or within 12 months of a change in control, she would be entitled to receive monthly cash payments equal to her then-current base salary for one year and a pro-rated portion of any incentive compensation earned through the date of termination. </w:t>
      </w:r>
    </w:p>
    <w:p w:rsidR="00067612" w:rsidRDefault="00067612" w:rsidP="00067612">
      <w:pPr>
        <w:rPr>
          <w:color w:val="000000"/>
          <w:sz w:val="20"/>
          <w:szCs w:val="20"/>
        </w:rPr>
      </w:pPr>
    </w:p>
    <w:p w:rsidR="00067612" w:rsidRPr="00C576B1" w:rsidRDefault="00B75733" w:rsidP="00067612">
      <w:pPr>
        <w:rPr>
          <w:color w:val="000000"/>
          <w:sz w:val="20"/>
          <w:szCs w:val="20"/>
        </w:rPr>
      </w:pPr>
      <w:r>
        <w:rPr>
          <w:b/>
          <w:color w:val="000000"/>
          <w:sz w:val="20"/>
          <w:szCs w:val="20"/>
        </w:rPr>
        <w:tab/>
      </w:r>
      <w:proofErr w:type="spellStart"/>
      <w:r w:rsidR="002B6605">
        <w:rPr>
          <w:color w:val="000000"/>
          <w:sz w:val="20"/>
          <w:szCs w:val="20"/>
        </w:rPr>
        <w:t>MakeMusic</w:t>
      </w:r>
      <w:proofErr w:type="spellEnd"/>
      <w:r w:rsidR="002B6605">
        <w:rPr>
          <w:color w:val="000000"/>
          <w:sz w:val="20"/>
          <w:szCs w:val="20"/>
        </w:rPr>
        <w:t xml:space="preserve"> has not entered into an employment agreement with </w:t>
      </w:r>
      <w:r>
        <w:rPr>
          <w:color w:val="000000"/>
          <w:sz w:val="20"/>
          <w:szCs w:val="20"/>
        </w:rPr>
        <w:t>Chief Technology Officer, Paul D. Carlson.</w:t>
      </w:r>
    </w:p>
    <w:p w:rsidR="00067612" w:rsidRDefault="00067612" w:rsidP="00067612">
      <w:pPr>
        <w:rPr>
          <w:b/>
          <w:color w:val="000000"/>
          <w:sz w:val="20"/>
          <w:szCs w:val="20"/>
        </w:rPr>
      </w:pPr>
    </w:p>
    <w:p w:rsidR="00067612" w:rsidRDefault="00067612" w:rsidP="00067612">
      <w:pPr>
        <w:rPr>
          <w:b/>
          <w:color w:val="000000"/>
          <w:sz w:val="20"/>
          <w:szCs w:val="20"/>
        </w:rPr>
      </w:pPr>
      <w:r>
        <w:rPr>
          <w:b/>
          <w:color w:val="000000"/>
          <w:sz w:val="20"/>
          <w:szCs w:val="20"/>
        </w:rPr>
        <w:t>Summary Compensation Table</w:t>
      </w:r>
    </w:p>
    <w:p w:rsidR="00067612" w:rsidRDefault="00067612" w:rsidP="00067612">
      <w:pPr>
        <w:rPr>
          <w:b/>
          <w:color w:val="000000"/>
          <w:sz w:val="20"/>
          <w:szCs w:val="20"/>
        </w:rPr>
      </w:pPr>
    </w:p>
    <w:p w:rsidR="00067612" w:rsidRDefault="00067612" w:rsidP="00067612">
      <w:pPr>
        <w:rPr>
          <w:color w:val="000000"/>
          <w:sz w:val="20"/>
          <w:szCs w:val="20"/>
        </w:rPr>
      </w:pPr>
      <w:r>
        <w:rPr>
          <w:b/>
          <w:color w:val="000000"/>
          <w:sz w:val="20"/>
          <w:szCs w:val="20"/>
        </w:rPr>
        <w:t xml:space="preserve">     </w:t>
      </w:r>
      <w:r>
        <w:rPr>
          <w:color w:val="000000"/>
          <w:sz w:val="20"/>
          <w:szCs w:val="20"/>
        </w:rPr>
        <w:t xml:space="preserve">     The following table sets forth all of the compensation awarded to, earned by or paid to (</w:t>
      </w:r>
      <w:proofErr w:type="spellStart"/>
      <w:r>
        <w:rPr>
          <w:color w:val="000000"/>
          <w:sz w:val="20"/>
          <w:szCs w:val="20"/>
        </w:rPr>
        <w:t>i</w:t>
      </w:r>
      <w:proofErr w:type="spellEnd"/>
      <w:r>
        <w:rPr>
          <w:color w:val="000000"/>
          <w:sz w:val="20"/>
          <w:szCs w:val="20"/>
        </w:rPr>
        <w:t xml:space="preserve">) each individual who served as our principal executive officer during the fiscal year ended December 31, 2011; and (ii) each other individual that served as an executive officer at the conclusion of the fiscal year ended December 31, 2011 and who received total compensation in excess of $100,000 during such fiscal year. We refer to these individuals as our “Named Executive Officers.” </w:t>
      </w:r>
    </w:p>
    <w:p w:rsidR="00067612" w:rsidRDefault="00067612" w:rsidP="00067612">
      <w:pPr>
        <w:rPr>
          <w:color w:val="000000"/>
          <w:sz w:val="20"/>
          <w:szCs w:val="20"/>
        </w:rPr>
      </w:pPr>
    </w:p>
    <w:tbl>
      <w:tblPr>
        <w:tblW w:w="10569" w:type="dxa"/>
        <w:tblInd w:w="-450" w:type="dxa"/>
        <w:tblCellMar>
          <w:left w:w="0" w:type="dxa"/>
          <w:right w:w="0" w:type="dxa"/>
        </w:tblCellMar>
        <w:tblLook w:val="0000" w:firstRow="0" w:lastRow="0" w:firstColumn="0" w:lastColumn="0" w:noHBand="0" w:noVBand="0"/>
      </w:tblPr>
      <w:tblGrid>
        <w:gridCol w:w="1822"/>
        <w:gridCol w:w="583"/>
        <w:gridCol w:w="745"/>
        <w:gridCol w:w="720"/>
        <w:gridCol w:w="720"/>
        <w:gridCol w:w="798"/>
        <w:gridCol w:w="102"/>
        <w:gridCol w:w="1710"/>
        <w:gridCol w:w="1552"/>
        <w:gridCol w:w="1217"/>
        <w:gridCol w:w="600"/>
      </w:tblGrid>
      <w:tr w:rsidR="00786C20" w:rsidTr="00F671C5">
        <w:trPr>
          <w:cantSplit/>
        </w:trPr>
        <w:tc>
          <w:tcPr>
            <w:tcW w:w="0" w:type="auto"/>
            <w:tcBorders>
              <w:top w:val="nil"/>
              <w:left w:val="nil"/>
              <w:bottom w:val="single" w:sz="4" w:space="0" w:color="000000"/>
              <w:right w:val="nil"/>
            </w:tcBorders>
            <w:vAlign w:val="bottom"/>
          </w:tcPr>
          <w:p w:rsidR="00067612" w:rsidRPr="00F671C5" w:rsidRDefault="00067612" w:rsidP="001F383B">
            <w:pPr>
              <w:keepNext/>
              <w:autoSpaceDE w:val="0"/>
              <w:autoSpaceDN w:val="0"/>
              <w:adjustRightInd w:val="0"/>
              <w:ind w:right="-120"/>
              <w:rPr>
                <w:color w:val="000000"/>
                <w:sz w:val="18"/>
                <w:szCs w:val="20"/>
              </w:rPr>
            </w:pPr>
            <w:r w:rsidRPr="00F671C5">
              <w:rPr>
                <w:color w:val="000000"/>
                <w:sz w:val="18"/>
                <w:szCs w:val="20"/>
              </w:rPr>
              <w:t>Name and Principal Position</w:t>
            </w:r>
          </w:p>
        </w:tc>
        <w:tc>
          <w:tcPr>
            <w:tcW w:w="583" w:type="dxa"/>
            <w:tcBorders>
              <w:top w:val="nil"/>
              <w:left w:val="nil"/>
              <w:bottom w:val="single" w:sz="4" w:space="0" w:color="000000"/>
              <w:right w:val="nil"/>
            </w:tcBorders>
            <w:vAlign w:val="bottom"/>
          </w:tcPr>
          <w:p w:rsidR="00067612" w:rsidRPr="00F671C5" w:rsidRDefault="00067612" w:rsidP="001F383B">
            <w:pPr>
              <w:keepNext/>
              <w:autoSpaceDE w:val="0"/>
              <w:autoSpaceDN w:val="0"/>
              <w:adjustRightInd w:val="0"/>
              <w:jc w:val="center"/>
              <w:rPr>
                <w:color w:val="000000"/>
                <w:sz w:val="18"/>
                <w:szCs w:val="20"/>
              </w:rPr>
            </w:pPr>
            <w:r w:rsidRPr="00F671C5">
              <w:rPr>
                <w:color w:val="000000"/>
                <w:sz w:val="18"/>
                <w:szCs w:val="20"/>
              </w:rPr>
              <w:t>Year</w:t>
            </w:r>
          </w:p>
        </w:tc>
        <w:tc>
          <w:tcPr>
            <w:tcW w:w="745" w:type="dxa"/>
            <w:tcBorders>
              <w:top w:val="nil"/>
              <w:left w:val="nil"/>
              <w:bottom w:val="single" w:sz="4" w:space="0" w:color="000000"/>
              <w:right w:val="nil"/>
            </w:tcBorders>
            <w:vAlign w:val="bottom"/>
          </w:tcPr>
          <w:p w:rsidR="00067612" w:rsidRPr="00F671C5" w:rsidRDefault="00067612" w:rsidP="001F383B">
            <w:pPr>
              <w:keepNext/>
              <w:autoSpaceDE w:val="0"/>
              <w:autoSpaceDN w:val="0"/>
              <w:adjustRightInd w:val="0"/>
              <w:jc w:val="center"/>
              <w:rPr>
                <w:color w:val="000000"/>
                <w:sz w:val="18"/>
                <w:szCs w:val="20"/>
              </w:rPr>
            </w:pPr>
            <w:r w:rsidRPr="00F671C5">
              <w:rPr>
                <w:color w:val="000000"/>
                <w:sz w:val="18"/>
                <w:szCs w:val="20"/>
              </w:rPr>
              <w:t xml:space="preserve">Salary </w:t>
            </w:r>
          </w:p>
          <w:p w:rsidR="00067612" w:rsidRPr="00F671C5" w:rsidRDefault="00067612" w:rsidP="001F383B">
            <w:pPr>
              <w:keepNext/>
              <w:autoSpaceDE w:val="0"/>
              <w:autoSpaceDN w:val="0"/>
              <w:adjustRightInd w:val="0"/>
              <w:jc w:val="center"/>
              <w:rPr>
                <w:color w:val="000000"/>
                <w:sz w:val="18"/>
                <w:szCs w:val="20"/>
              </w:rPr>
            </w:pPr>
          </w:p>
          <w:p w:rsidR="00067612" w:rsidRPr="00F671C5" w:rsidRDefault="00067612" w:rsidP="001F383B">
            <w:pPr>
              <w:keepNext/>
              <w:autoSpaceDE w:val="0"/>
              <w:autoSpaceDN w:val="0"/>
              <w:adjustRightInd w:val="0"/>
              <w:jc w:val="center"/>
              <w:rPr>
                <w:color w:val="000000"/>
                <w:sz w:val="18"/>
                <w:szCs w:val="20"/>
              </w:rPr>
            </w:pPr>
            <w:r w:rsidRPr="00F671C5">
              <w:rPr>
                <w:color w:val="000000"/>
                <w:sz w:val="18"/>
                <w:szCs w:val="20"/>
              </w:rPr>
              <w:t>($)</w:t>
            </w:r>
          </w:p>
        </w:tc>
        <w:tc>
          <w:tcPr>
            <w:tcW w:w="720" w:type="dxa"/>
            <w:tcBorders>
              <w:top w:val="nil"/>
              <w:left w:val="nil"/>
              <w:bottom w:val="single" w:sz="4" w:space="0" w:color="000000"/>
              <w:right w:val="nil"/>
            </w:tcBorders>
            <w:vAlign w:val="bottom"/>
          </w:tcPr>
          <w:p w:rsidR="00067612" w:rsidRPr="00F671C5" w:rsidRDefault="00067612" w:rsidP="001F383B">
            <w:pPr>
              <w:keepNext/>
              <w:autoSpaceDE w:val="0"/>
              <w:autoSpaceDN w:val="0"/>
              <w:adjustRightInd w:val="0"/>
              <w:jc w:val="center"/>
              <w:rPr>
                <w:color w:val="000000"/>
                <w:sz w:val="18"/>
                <w:szCs w:val="20"/>
              </w:rPr>
            </w:pPr>
            <w:r w:rsidRPr="00F671C5">
              <w:rPr>
                <w:color w:val="000000"/>
                <w:sz w:val="18"/>
                <w:szCs w:val="20"/>
              </w:rPr>
              <w:t>Bonus</w:t>
            </w:r>
          </w:p>
          <w:p w:rsidR="00067612" w:rsidRPr="00F671C5" w:rsidRDefault="00067612" w:rsidP="001F383B">
            <w:pPr>
              <w:keepNext/>
              <w:autoSpaceDE w:val="0"/>
              <w:autoSpaceDN w:val="0"/>
              <w:adjustRightInd w:val="0"/>
              <w:jc w:val="center"/>
              <w:rPr>
                <w:color w:val="000000"/>
                <w:sz w:val="18"/>
                <w:szCs w:val="20"/>
                <w:vertAlign w:val="superscript"/>
              </w:rPr>
            </w:pPr>
            <w:r w:rsidRPr="00F671C5">
              <w:rPr>
                <w:color w:val="000000"/>
                <w:sz w:val="18"/>
                <w:szCs w:val="20"/>
                <w:vertAlign w:val="superscript"/>
              </w:rPr>
              <w:t>(1)</w:t>
            </w:r>
            <w:r w:rsidRPr="00F671C5">
              <w:rPr>
                <w:color w:val="000000"/>
                <w:sz w:val="18"/>
                <w:szCs w:val="20"/>
              </w:rPr>
              <w:t xml:space="preserve"> </w:t>
            </w:r>
          </w:p>
          <w:p w:rsidR="00067612" w:rsidRPr="00F671C5" w:rsidRDefault="00067612" w:rsidP="001F383B">
            <w:pPr>
              <w:keepNext/>
              <w:autoSpaceDE w:val="0"/>
              <w:autoSpaceDN w:val="0"/>
              <w:adjustRightInd w:val="0"/>
              <w:jc w:val="center"/>
              <w:rPr>
                <w:color w:val="000000"/>
                <w:sz w:val="18"/>
                <w:szCs w:val="20"/>
              </w:rPr>
            </w:pPr>
          </w:p>
          <w:p w:rsidR="00067612" w:rsidRPr="00F671C5" w:rsidRDefault="00067612" w:rsidP="001F383B">
            <w:pPr>
              <w:keepNext/>
              <w:autoSpaceDE w:val="0"/>
              <w:autoSpaceDN w:val="0"/>
              <w:adjustRightInd w:val="0"/>
              <w:jc w:val="center"/>
              <w:rPr>
                <w:color w:val="000000"/>
                <w:sz w:val="18"/>
                <w:szCs w:val="20"/>
              </w:rPr>
            </w:pPr>
            <w:r w:rsidRPr="00F671C5">
              <w:rPr>
                <w:color w:val="000000"/>
                <w:sz w:val="18"/>
                <w:szCs w:val="20"/>
              </w:rPr>
              <w:t>($)</w:t>
            </w:r>
          </w:p>
        </w:tc>
        <w:tc>
          <w:tcPr>
            <w:tcW w:w="720" w:type="dxa"/>
            <w:tcBorders>
              <w:top w:val="nil"/>
              <w:left w:val="nil"/>
              <w:bottom w:val="single" w:sz="4" w:space="0" w:color="000000"/>
              <w:right w:val="nil"/>
            </w:tcBorders>
            <w:vAlign w:val="bottom"/>
          </w:tcPr>
          <w:p w:rsidR="00067612" w:rsidRPr="00F671C5" w:rsidRDefault="00067612" w:rsidP="001F383B">
            <w:pPr>
              <w:keepNext/>
              <w:autoSpaceDE w:val="0"/>
              <w:autoSpaceDN w:val="0"/>
              <w:adjustRightInd w:val="0"/>
              <w:jc w:val="center"/>
              <w:rPr>
                <w:color w:val="000000"/>
                <w:sz w:val="18"/>
                <w:szCs w:val="20"/>
              </w:rPr>
            </w:pPr>
            <w:r w:rsidRPr="00F671C5">
              <w:rPr>
                <w:color w:val="000000"/>
                <w:sz w:val="18"/>
                <w:szCs w:val="20"/>
              </w:rPr>
              <w:t xml:space="preserve">Stock Awards </w:t>
            </w:r>
          </w:p>
          <w:p w:rsidR="00067612" w:rsidRPr="00F671C5" w:rsidRDefault="00067612" w:rsidP="001F383B">
            <w:pPr>
              <w:keepNext/>
              <w:autoSpaceDE w:val="0"/>
              <w:autoSpaceDN w:val="0"/>
              <w:adjustRightInd w:val="0"/>
              <w:jc w:val="center"/>
              <w:rPr>
                <w:color w:val="000000"/>
                <w:sz w:val="18"/>
                <w:szCs w:val="20"/>
                <w:vertAlign w:val="superscript"/>
              </w:rPr>
            </w:pPr>
            <w:r w:rsidRPr="00F671C5">
              <w:rPr>
                <w:color w:val="000000"/>
                <w:sz w:val="18"/>
                <w:szCs w:val="20"/>
                <w:vertAlign w:val="superscript"/>
              </w:rPr>
              <w:t>(2)</w:t>
            </w:r>
          </w:p>
          <w:p w:rsidR="00067612" w:rsidRPr="00F671C5" w:rsidRDefault="00067612" w:rsidP="001F383B">
            <w:pPr>
              <w:keepNext/>
              <w:autoSpaceDE w:val="0"/>
              <w:autoSpaceDN w:val="0"/>
              <w:adjustRightInd w:val="0"/>
              <w:jc w:val="center"/>
              <w:rPr>
                <w:color w:val="000000"/>
                <w:sz w:val="18"/>
                <w:szCs w:val="20"/>
              </w:rPr>
            </w:pPr>
            <w:r w:rsidRPr="00F671C5">
              <w:rPr>
                <w:color w:val="000000"/>
                <w:sz w:val="18"/>
                <w:szCs w:val="20"/>
              </w:rPr>
              <w:t>($)</w:t>
            </w:r>
          </w:p>
        </w:tc>
        <w:tc>
          <w:tcPr>
            <w:tcW w:w="900" w:type="dxa"/>
            <w:gridSpan w:val="2"/>
            <w:tcBorders>
              <w:top w:val="nil"/>
              <w:left w:val="nil"/>
              <w:bottom w:val="single" w:sz="4" w:space="0" w:color="000000"/>
              <w:right w:val="nil"/>
            </w:tcBorders>
            <w:vAlign w:val="bottom"/>
          </w:tcPr>
          <w:p w:rsidR="00067612" w:rsidRPr="00F671C5" w:rsidRDefault="00067612" w:rsidP="001F383B">
            <w:pPr>
              <w:keepNext/>
              <w:autoSpaceDE w:val="0"/>
              <w:autoSpaceDN w:val="0"/>
              <w:adjustRightInd w:val="0"/>
              <w:jc w:val="center"/>
              <w:rPr>
                <w:color w:val="000000"/>
                <w:sz w:val="18"/>
                <w:szCs w:val="20"/>
              </w:rPr>
            </w:pPr>
            <w:r w:rsidRPr="00F671C5">
              <w:rPr>
                <w:color w:val="000000"/>
                <w:sz w:val="18"/>
                <w:szCs w:val="20"/>
              </w:rPr>
              <w:t>Option Awards</w:t>
            </w:r>
          </w:p>
          <w:p w:rsidR="00067612" w:rsidRPr="00F671C5" w:rsidRDefault="00067612" w:rsidP="001F383B">
            <w:pPr>
              <w:keepNext/>
              <w:autoSpaceDE w:val="0"/>
              <w:autoSpaceDN w:val="0"/>
              <w:adjustRightInd w:val="0"/>
              <w:jc w:val="center"/>
              <w:rPr>
                <w:color w:val="000000"/>
                <w:sz w:val="18"/>
                <w:szCs w:val="20"/>
                <w:vertAlign w:val="superscript"/>
              </w:rPr>
            </w:pPr>
            <w:r w:rsidRPr="00F671C5">
              <w:rPr>
                <w:color w:val="000000"/>
                <w:sz w:val="18"/>
                <w:szCs w:val="20"/>
                <w:vertAlign w:val="superscript"/>
              </w:rPr>
              <w:t>(2)</w:t>
            </w:r>
          </w:p>
          <w:p w:rsidR="00067612" w:rsidRPr="00F671C5" w:rsidRDefault="00067612" w:rsidP="001F383B">
            <w:pPr>
              <w:keepNext/>
              <w:autoSpaceDE w:val="0"/>
              <w:autoSpaceDN w:val="0"/>
              <w:adjustRightInd w:val="0"/>
              <w:jc w:val="center"/>
              <w:rPr>
                <w:color w:val="000000"/>
                <w:sz w:val="18"/>
                <w:szCs w:val="20"/>
              </w:rPr>
            </w:pPr>
            <w:r w:rsidRPr="00F671C5">
              <w:rPr>
                <w:color w:val="000000"/>
                <w:sz w:val="18"/>
                <w:szCs w:val="20"/>
              </w:rPr>
              <w:t xml:space="preserve"> </w:t>
            </w:r>
          </w:p>
          <w:p w:rsidR="00067612" w:rsidRPr="00F671C5" w:rsidRDefault="00067612" w:rsidP="001F383B">
            <w:pPr>
              <w:keepNext/>
              <w:autoSpaceDE w:val="0"/>
              <w:autoSpaceDN w:val="0"/>
              <w:adjustRightInd w:val="0"/>
              <w:jc w:val="center"/>
              <w:rPr>
                <w:color w:val="000000"/>
                <w:sz w:val="18"/>
                <w:szCs w:val="20"/>
              </w:rPr>
            </w:pPr>
            <w:r w:rsidRPr="00F671C5">
              <w:rPr>
                <w:color w:val="000000"/>
                <w:sz w:val="18"/>
                <w:szCs w:val="20"/>
              </w:rPr>
              <w:t>($)</w:t>
            </w:r>
          </w:p>
        </w:tc>
        <w:tc>
          <w:tcPr>
            <w:tcW w:w="1710" w:type="dxa"/>
            <w:tcBorders>
              <w:top w:val="nil"/>
              <w:left w:val="nil"/>
              <w:bottom w:val="single" w:sz="4" w:space="0" w:color="000000"/>
              <w:right w:val="nil"/>
            </w:tcBorders>
            <w:vAlign w:val="bottom"/>
          </w:tcPr>
          <w:p w:rsidR="00067612" w:rsidRPr="00F671C5" w:rsidRDefault="00067612" w:rsidP="001F383B">
            <w:pPr>
              <w:keepNext/>
              <w:autoSpaceDE w:val="0"/>
              <w:autoSpaceDN w:val="0"/>
              <w:adjustRightInd w:val="0"/>
              <w:jc w:val="center"/>
              <w:rPr>
                <w:color w:val="000000"/>
                <w:sz w:val="18"/>
                <w:szCs w:val="20"/>
                <w:vertAlign w:val="superscript"/>
              </w:rPr>
            </w:pPr>
            <w:r w:rsidRPr="00F671C5">
              <w:rPr>
                <w:color w:val="000000"/>
                <w:sz w:val="18"/>
                <w:szCs w:val="20"/>
              </w:rPr>
              <w:t>Non-Equity Incentive Plan Compensation</w:t>
            </w:r>
            <w:r w:rsidRPr="00F671C5">
              <w:rPr>
                <w:color w:val="000000"/>
                <w:sz w:val="18"/>
                <w:szCs w:val="20"/>
                <w:vertAlign w:val="superscript"/>
              </w:rPr>
              <w:t xml:space="preserve"> </w:t>
            </w:r>
          </w:p>
          <w:p w:rsidR="00067612" w:rsidRPr="00F671C5" w:rsidRDefault="00067612" w:rsidP="001F383B">
            <w:pPr>
              <w:keepNext/>
              <w:autoSpaceDE w:val="0"/>
              <w:autoSpaceDN w:val="0"/>
              <w:adjustRightInd w:val="0"/>
              <w:jc w:val="center"/>
              <w:rPr>
                <w:color w:val="000000"/>
                <w:sz w:val="18"/>
                <w:szCs w:val="20"/>
                <w:vertAlign w:val="superscript"/>
              </w:rPr>
            </w:pPr>
            <w:r w:rsidRPr="00F671C5">
              <w:rPr>
                <w:color w:val="000000"/>
                <w:sz w:val="18"/>
                <w:szCs w:val="20"/>
                <w:vertAlign w:val="superscript"/>
              </w:rPr>
              <w:t>(1)</w:t>
            </w:r>
          </w:p>
          <w:p w:rsidR="00067612" w:rsidRPr="00F671C5" w:rsidRDefault="00067612" w:rsidP="001F383B">
            <w:pPr>
              <w:keepNext/>
              <w:autoSpaceDE w:val="0"/>
              <w:autoSpaceDN w:val="0"/>
              <w:adjustRightInd w:val="0"/>
              <w:jc w:val="center"/>
              <w:rPr>
                <w:color w:val="000000"/>
                <w:sz w:val="18"/>
                <w:szCs w:val="20"/>
              </w:rPr>
            </w:pPr>
            <w:r w:rsidRPr="00F671C5">
              <w:rPr>
                <w:color w:val="000000"/>
                <w:sz w:val="18"/>
                <w:szCs w:val="20"/>
              </w:rPr>
              <w:t xml:space="preserve"> </w:t>
            </w:r>
          </w:p>
          <w:p w:rsidR="00067612" w:rsidRPr="00F671C5" w:rsidRDefault="00067612" w:rsidP="001F383B">
            <w:pPr>
              <w:keepNext/>
              <w:autoSpaceDE w:val="0"/>
              <w:autoSpaceDN w:val="0"/>
              <w:adjustRightInd w:val="0"/>
              <w:jc w:val="center"/>
              <w:rPr>
                <w:color w:val="000000"/>
                <w:sz w:val="18"/>
                <w:szCs w:val="20"/>
              </w:rPr>
            </w:pPr>
            <w:r w:rsidRPr="00F671C5">
              <w:rPr>
                <w:color w:val="000000"/>
                <w:sz w:val="18"/>
                <w:szCs w:val="20"/>
              </w:rPr>
              <w:t xml:space="preserve">($) </w:t>
            </w:r>
          </w:p>
        </w:tc>
        <w:tc>
          <w:tcPr>
            <w:tcW w:w="1552" w:type="dxa"/>
            <w:tcBorders>
              <w:top w:val="nil"/>
              <w:left w:val="nil"/>
              <w:bottom w:val="single" w:sz="4" w:space="0" w:color="000000"/>
              <w:right w:val="nil"/>
            </w:tcBorders>
            <w:vAlign w:val="bottom"/>
          </w:tcPr>
          <w:p w:rsidR="00067612" w:rsidRPr="00F671C5" w:rsidRDefault="00067612" w:rsidP="001F383B">
            <w:pPr>
              <w:keepNext/>
              <w:autoSpaceDE w:val="0"/>
              <w:autoSpaceDN w:val="0"/>
              <w:adjustRightInd w:val="0"/>
              <w:jc w:val="center"/>
              <w:rPr>
                <w:color w:val="000000"/>
                <w:sz w:val="18"/>
                <w:szCs w:val="20"/>
              </w:rPr>
            </w:pPr>
            <w:r w:rsidRPr="00F671C5">
              <w:rPr>
                <w:color w:val="000000"/>
                <w:sz w:val="18"/>
                <w:szCs w:val="20"/>
              </w:rPr>
              <w:t xml:space="preserve">Change in Pension Value and Nonqualified Deferred Compensation Earnings </w:t>
            </w:r>
          </w:p>
          <w:p w:rsidR="00067612" w:rsidRPr="00F671C5" w:rsidRDefault="00067612" w:rsidP="001F383B">
            <w:pPr>
              <w:keepNext/>
              <w:autoSpaceDE w:val="0"/>
              <w:autoSpaceDN w:val="0"/>
              <w:adjustRightInd w:val="0"/>
              <w:jc w:val="center"/>
              <w:rPr>
                <w:color w:val="000000"/>
                <w:sz w:val="18"/>
                <w:szCs w:val="20"/>
              </w:rPr>
            </w:pPr>
          </w:p>
          <w:p w:rsidR="00067612" w:rsidRPr="00F671C5" w:rsidRDefault="00067612" w:rsidP="001F383B">
            <w:pPr>
              <w:keepNext/>
              <w:autoSpaceDE w:val="0"/>
              <w:autoSpaceDN w:val="0"/>
              <w:adjustRightInd w:val="0"/>
              <w:jc w:val="center"/>
              <w:rPr>
                <w:color w:val="000000"/>
                <w:sz w:val="18"/>
                <w:szCs w:val="20"/>
              </w:rPr>
            </w:pPr>
            <w:r w:rsidRPr="00F671C5">
              <w:rPr>
                <w:color w:val="000000"/>
                <w:sz w:val="18"/>
                <w:szCs w:val="20"/>
              </w:rPr>
              <w:t>($)</w:t>
            </w:r>
          </w:p>
        </w:tc>
        <w:tc>
          <w:tcPr>
            <w:tcW w:w="0" w:type="auto"/>
            <w:tcBorders>
              <w:top w:val="nil"/>
              <w:left w:val="nil"/>
              <w:bottom w:val="single" w:sz="4" w:space="0" w:color="000000"/>
              <w:right w:val="nil"/>
            </w:tcBorders>
            <w:vAlign w:val="bottom"/>
          </w:tcPr>
          <w:p w:rsidR="00067612" w:rsidRPr="00F671C5" w:rsidRDefault="00067612" w:rsidP="001F383B">
            <w:pPr>
              <w:keepNext/>
              <w:autoSpaceDE w:val="0"/>
              <w:autoSpaceDN w:val="0"/>
              <w:adjustRightInd w:val="0"/>
              <w:jc w:val="center"/>
              <w:rPr>
                <w:color w:val="000000"/>
                <w:sz w:val="18"/>
                <w:szCs w:val="20"/>
              </w:rPr>
            </w:pPr>
            <w:r w:rsidRPr="00F671C5">
              <w:rPr>
                <w:color w:val="000000"/>
                <w:sz w:val="18"/>
                <w:szCs w:val="20"/>
              </w:rPr>
              <w:t>All Other Compensation</w:t>
            </w:r>
          </w:p>
          <w:p w:rsidR="00067612" w:rsidRPr="00F671C5" w:rsidRDefault="00067612" w:rsidP="001F383B">
            <w:pPr>
              <w:keepNext/>
              <w:autoSpaceDE w:val="0"/>
              <w:autoSpaceDN w:val="0"/>
              <w:adjustRightInd w:val="0"/>
              <w:jc w:val="center"/>
              <w:rPr>
                <w:color w:val="000000"/>
                <w:sz w:val="18"/>
                <w:szCs w:val="20"/>
              </w:rPr>
            </w:pPr>
          </w:p>
          <w:p w:rsidR="00067612" w:rsidRPr="00F671C5" w:rsidRDefault="00067612" w:rsidP="001F383B">
            <w:pPr>
              <w:keepNext/>
              <w:autoSpaceDE w:val="0"/>
              <w:autoSpaceDN w:val="0"/>
              <w:adjustRightInd w:val="0"/>
              <w:jc w:val="center"/>
              <w:rPr>
                <w:color w:val="000000"/>
                <w:sz w:val="18"/>
                <w:szCs w:val="20"/>
              </w:rPr>
            </w:pPr>
            <w:r w:rsidRPr="00F671C5">
              <w:rPr>
                <w:color w:val="000000"/>
                <w:sz w:val="18"/>
                <w:szCs w:val="20"/>
              </w:rPr>
              <w:t>($)</w:t>
            </w:r>
          </w:p>
        </w:tc>
        <w:tc>
          <w:tcPr>
            <w:tcW w:w="0" w:type="auto"/>
            <w:tcBorders>
              <w:top w:val="nil"/>
              <w:left w:val="nil"/>
              <w:bottom w:val="single" w:sz="4" w:space="0" w:color="000000"/>
              <w:right w:val="nil"/>
            </w:tcBorders>
            <w:vAlign w:val="bottom"/>
          </w:tcPr>
          <w:p w:rsidR="00067612" w:rsidRPr="00F671C5" w:rsidRDefault="00067612" w:rsidP="001F383B">
            <w:pPr>
              <w:keepNext/>
              <w:autoSpaceDE w:val="0"/>
              <w:autoSpaceDN w:val="0"/>
              <w:adjustRightInd w:val="0"/>
              <w:jc w:val="center"/>
              <w:rPr>
                <w:color w:val="000000"/>
                <w:sz w:val="18"/>
                <w:szCs w:val="20"/>
              </w:rPr>
            </w:pPr>
            <w:r w:rsidRPr="00F671C5">
              <w:rPr>
                <w:color w:val="000000"/>
                <w:sz w:val="18"/>
                <w:szCs w:val="20"/>
              </w:rPr>
              <w:t xml:space="preserve">Total </w:t>
            </w:r>
          </w:p>
          <w:p w:rsidR="00067612" w:rsidRPr="00F671C5" w:rsidRDefault="00067612" w:rsidP="001F383B">
            <w:pPr>
              <w:keepNext/>
              <w:autoSpaceDE w:val="0"/>
              <w:autoSpaceDN w:val="0"/>
              <w:adjustRightInd w:val="0"/>
              <w:jc w:val="center"/>
              <w:rPr>
                <w:color w:val="000000"/>
                <w:sz w:val="18"/>
                <w:szCs w:val="20"/>
              </w:rPr>
            </w:pPr>
          </w:p>
          <w:p w:rsidR="00067612" w:rsidRPr="00F671C5" w:rsidRDefault="00067612" w:rsidP="001F383B">
            <w:pPr>
              <w:keepNext/>
              <w:autoSpaceDE w:val="0"/>
              <w:autoSpaceDN w:val="0"/>
              <w:adjustRightInd w:val="0"/>
              <w:jc w:val="center"/>
              <w:rPr>
                <w:color w:val="000000"/>
                <w:sz w:val="18"/>
                <w:szCs w:val="20"/>
              </w:rPr>
            </w:pPr>
            <w:r w:rsidRPr="00F671C5">
              <w:rPr>
                <w:color w:val="000000"/>
                <w:sz w:val="18"/>
                <w:szCs w:val="20"/>
              </w:rPr>
              <w:t>($)</w:t>
            </w:r>
          </w:p>
        </w:tc>
      </w:tr>
      <w:tr w:rsidR="00786C20" w:rsidRPr="005366C7" w:rsidTr="00F671C5">
        <w:trPr>
          <w:cantSplit/>
        </w:trPr>
        <w:tc>
          <w:tcPr>
            <w:tcW w:w="0" w:type="auto"/>
            <w:tcBorders>
              <w:left w:val="nil"/>
              <w:right w:val="nil"/>
            </w:tcBorders>
          </w:tcPr>
          <w:p w:rsidR="00067612" w:rsidRPr="00F671C5" w:rsidRDefault="00067612" w:rsidP="001F383B">
            <w:pPr>
              <w:keepNext/>
              <w:autoSpaceDE w:val="0"/>
              <w:autoSpaceDN w:val="0"/>
              <w:adjustRightInd w:val="0"/>
              <w:rPr>
                <w:color w:val="000000"/>
                <w:sz w:val="18"/>
                <w:szCs w:val="20"/>
              </w:rPr>
            </w:pPr>
            <w:r w:rsidRPr="00F671C5">
              <w:rPr>
                <w:color w:val="000000"/>
                <w:sz w:val="18"/>
                <w:szCs w:val="20"/>
              </w:rPr>
              <w:t>Karen T. van Lith</w:t>
            </w:r>
          </w:p>
        </w:tc>
        <w:tc>
          <w:tcPr>
            <w:tcW w:w="583" w:type="dxa"/>
            <w:tcBorders>
              <w:left w:val="nil"/>
              <w:right w:val="nil"/>
            </w:tcBorders>
          </w:tcPr>
          <w:p w:rsidR="00067612" w:rsidRPr="00F671C5" w:rsidRDefault="00067612" w:rsidP="001F383B">
            <w:pPr>
              <w:keepNext/>
              <w:autoSpaceDE w:val="0"/>
              <w:autoSpaceDN w:val="0"/>
              <w:adjustRightInd w:val="0"/>
              <w:jc w:val="center"/>
              <w:rPr>
                <w:color w:val="000000"/>
                <w:sz w:val="18"/>
                <w:szCs w:val="20"/>
              </w:rPr>
            </w:pPr>
            <w:r w:rsidRPr="00F671C5">
              <w:rPr>
                <w:color w:val="000000"/>
                <w:sz w:val="18"/>
                <w:szCs w:val="20"/>
              </w:rPr>
              <w:t xml:space="preserve">2011 </w:t>
            </w:r>
          </w:p>
        </w:tc>
        <w:tc>
          <w:tcPr>
            <w:tcW w:w="745" w:type="dxa"/>
            <w:tcBorders>
              <w:left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$159,323</w:t>
            </w:r>
          </w:p>
        </w:tc>
        <w:tc>
          <w:tcPr>
            <w:tcW w:w="720" w:type="dxa"/>
            <w:tcBorders>
              <w:left w:val="nil"/>
              <w:right w:val="nil"/>
            </w:tcBorders>
          </w:tcPr>
          <w:p w:rsidR="00067612" w:rsidRPr="00F671C5" w:rsidRDefault="00067612" w:rsidP="0029060C">
            <w:pPr>
              <w:keepNext/>
              <w:autoSpaceDE w:val="0"/>
              <w:autoSpaceDN w:val="0"/>
              <w:adjustRightInd w:val="0"/>
              <w:jc w:val="center"/>
              <w:rPr>
                <w:color w:val="000000"/>
                <w:sz w:val="16"/>
                <w:szCs w:val="20"/>
              </w:rPr>
            </w:pPr>
            <w:r w:rsidRPr="00F671C5">
              <w:rPr>
                <w:color w:val="000000"/>
                <w:sz w:val="16"/>
                <w:szCs w:val="20"/>
              </w:rPr>
              <w:t>$</w:t>
            </w:r>
            <w:r w:rsidR="0029060C">
              <w:rPr>
                <w:color w:val="000000"/>
                <w:sz w:val="16"/>
                <w:szCs w:val="20"/>
              </w:rPr>
              <w:t>50</w:t>
            </w:r>
            <w:r w:rsidRPr="00F671C5">
              <w:rPr>
                <w:color w:val="000000"/>
                <w:sz w:val="16"/>
                <w:szCs w:val="20"/>
              </w:rPr>
              <w:t>,000</w:t>
            </w:r>
            <w:r w:rsidRPr="00F671C5">
              <w:rPr>
                <w:color w:val="000000"/>
                <w:sz w:val="16"/>
                <w:szCs w:val="20"/>
                <w:vertAlign w:val="superscript"/>
              </w:rPr>
              <w:t>(3)</w:t>
            </w:r>
          </w:p>
        </w:tc>
        <w:tc>
          <w:tcPr>
            <w:tcW w:w="720" w:type="dxa"/>
            <w:tcBorders>
              <w:left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246,150</w:t>
            </w:r>
            <w:r w:rsidRPr="00F671C5">
              <w:rPr>
                <w:color w:val="000000"/>
                <w:sz w:val="16"/>
                <w:szCs w:val="20"/>
                <w:vertAlign w:val="superscript"/>
              </w:rPr>
              <w:t>(4)</w:t>
            </w:r>
          </w:p>
        </w:tc>
        <w:tc>
          <w:tcPr>
            <w:tcW w:w="900" w:type="dxa"/>
            <w:gridSpan w:val="2"/>
            <w:tcBorders>
              <w:left w:val="nil"/>
              <w:right w:val="nil"/>
            </w:tcBorders>
          </w:tcPr>
          <w:p w:rsidR="00067612" w:rsidRPr="00F671C5" w:rsidRDefault="00067612" w:rsidP="001F383B">
            <w:pPr>
              <w:keepNext/>
              <w:autoSpaceDE w:val="0"/>
              <w:autoSpaceDN w:val="0"/>
              <w:adjustRightInd w:val="0"/>
              <w:jc w:val="center"/>
              <w:rPr>
                <w:b/>
                <w:color w:val="000000"/>
                <w:sz w:val="16"/>
                <w:szCs w:val="20"/>
              </w:rPr>
            </w:pPr>
            <w:r w:rsidRPr="00F671C5">
              <w:rPr>
                <w:color w:val="000000"/>
                <w:sz w:val="16"/>
                <w:szCs w:val="20"/>
              </w:rPr>
              <w:t>$346,429</w:t>
            </w:r>
            <w:r w:rsidRPr="00F671C5">
              <w:rPr>
                <w:color w:val="000000"/>
                <w:sz w:val="16"/>
                <w:szCs w:val="20"/>
                <w:vertAlign w:val="superscript"/>
              </w:rPr>
              <w:t>(5)</w:t>
            </w:r>
          </w:p>
        </w:tc>
        <w:tc>
          <w:tcPr>
            <w:tcW w:w="1710" w:type="dxa"/>
            <w:tcBorders>
              <w:left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$62,160</w:t>
            </w:r>
          </w:p>
        </w:tc>
        <w:tc>
          <w:tcPr>
            <w:tcW w:w="1552" w:type="dxa"/>
            <w:tcBorders>
              <w:left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w:t>
            </w:r>
          </w:p>
        </w:tc>
        <w:tc>
          <w:tcPr>
            <w:tcW w:w="0" w:type="auto"/>
            <w:tcBorders>
              <w:left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w:t>
            </w:r>
          </w:p>
        </w:tc>
        <w:tc>
          <w:tcPr>
            <w:tcW w:w="0" w:type="auto"/>
            <w:tcBorders>
              <w:left w:val="nil"/>
              <w:right w:val="nil"/>
            </w:tcBorders>
          </w:tcPr>
          <w:p w:rsidR="00067612" w:rsidRPr="00F671C5" w:rsidRDefault="00067612" w:rsidP="00804A5E">
            <w:pPr>
              <w:keepNext/>
              <w:autoSpaceDE w:val="0"/>
              <w:autoSpaceDN w:val="0"/>
              <w:adjustRightInd w:val="0"/>
              <w:jc w:val="center"/>
              <w:rPr>
                <w:color w:val="000000"/>
                <w:sz w:val="16"/>
                <w:szCs w:val="20"/>
              </w:rPr>
            </w:pPr>
            <w:r w:rsidRPr="00F671C5">
              <w:rPr>
                <w:color w:val="000000"/>
                <w:sz w:val="16"/>
                <w:szCs w:val="20"/>
              </w:rPr>
              <w:t>$</w:t>
            </w:r>
            <w:r w:rsidR="00804A5E" w:rsidRPr="00F671C5">
              <w:rPr>
                <w:color w:val="000000"/>
                <w:sz w:val="16"/>
                <w:szCs w:val="20"/>
              </w:rPr>
              <w:t>8</w:t>
            </w:r>
            <w:r w:rsidR="00804A5E">
              <w:rPr>
                <w:color w:val="000000"/>
                <w:sz w:val="16"/>
                <w:szCs w:val="20"/>
              </w:rPr>
              <w:t>64</w:t>
            </w:r>
            <w:r w:rsidRPr="00F671C5">
              <w:rPr>
                <w:color w:val="000000"/>
                <w:sz w:val="16"/>
                <w:szCs w:val="20"/>
              </w:rPr>
              <w:t>,062</w:t>
            </w:r>
          </w:p>
        </w:tc>
      </w:tr>
      <w:tr w:rsidR="00786C20" w:rsidRPr="005366C7" w:rsidTr="00F671C5">
        <w:trPr>
          <w:cantSplit/>
        </w:trPr>
        <w:tc>
          <w:tcPr>
            <w:tcW w:w="0" w:type="auto"/>
            <w:tcBorders>
              <w:left w:val="nil"/>
              <w:right w:val="nil"/>
            </w:tcBorders>
          </w:tcPr>
          <w:p w:rsidR="00067612" w:rsidRPr="00F671C5" w:rsidRDefault="00067612" w:rsidP="001F383B">
            <w:pPr>
              <w:keepNext/>
              <w:autoSpaceDE w:val="0"/>
              <w:autoSpaceDN w:val="0"/>
              <w:adjustRightInd w:val="0"/>
              <w:rPr>
                <w:i/>
                <w:color w:val="000000"/>
                <w:sz w:val="18"/>
                <w:szCs w:val="20"/>
              </w:rPr>
            </w:pPr>
            <w:r w:rsidRPr="00F671C5">
              <w:rPr>
                <w:i/>
                <w:color w:val="000000"/>
                <w:sz w:val="18"/>
                <w:szCs w:val="20"/>
              </w:rPr>
              <w:t>Chief Executive Officer</w:t>
            </w:r>
          </w:p>
        </w:tc>
        <w:tc>
          <w:tcPr>
            <w:tcW w:w="583" w:type="dxa"/>
            <w:tcBorders>
              <w:left w:val="nil"/>
              <w:right w:val="nil"/>
            </w:tcBorders>
          </w:tcPr>
          <w:p w:rsidR="00067612" w:rsidRPr="00F671C5" w:rsidRDefault="00067612" w:rsidP="001F383B">
            <w:pPr>
              <w:keepNext/>
              <w:autoSpaceDE w:val="0"/>
              <w:autoSpaceDN w:val="0"/>
              <w:adjustRightInd w:val="0"/>
              <w:jc w:val="center"/>
              <w:rPr>
                <w:color w:val="000000"/>
                <w:sz w:val="18"/>
                <w:szCs w:val="20"/>
              </w:rPr>
            </w:pPr>
            <w:r w:rsidRPr="00F671C5">
              <w:rPr>
                <w:color w:val="000000"/>
                <w:sz w:val="18"/>
                <w:szCs w:val="20"/>
              </w:rPr>
              <w:t xml:space="preserve">2010 </w:t>
            </w:r>
          </w:p>
        </w:tc>
        <w:tc>
          <w:tcPr>
            <w:tcW w:w="745" w:type="dxa"/>
            <w:tcBorders>
              <w:left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w:t>
            </w:r>
          </w:p>
        </w:tc>
        <w:tc>
          <w:tcPr>
            <w:tcW w:w="720" w:type="dxa"/>
            <w:tcBorders>
              <w:left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w:t>
            </w:r>
          </w:p>
        </w:tc>
        <w:tc>
          <w:tcPr>
            <w:tcW w:w="720" w:type="dxa"/>
            <w:tcBorders>
              <w:left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w:t>
            </w:r>
          </w:p>
        </w:tc>
        <w:tc>
          <w:tcPr>
            <w:tcW w:w="900" w:type="dxa"/>
            <w:gridSpan w:val="2"/>
            <w:tcBorders>
              <w:left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w:t>
            </w:r>
          </w:p>
        </w:tc>
        <w:tc>
          <w:tcPr>
            <w:tcW w:w="1710" w:type="dxa"/>
            <w:tcBorders>
              <w:left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w:t>
            </w:r>
          </w:p>
        </w:tc>
        <w:tc>
          <w:tcPr>
            <w:tcW w:w="1552" w:type="dxa"/>
            <w:tcBorders>
              <w:left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w:t>
            </w:r>
          </w:p>
        </w:tc>
        <w:tc>
          <w:tcPr>
            <w:tcW w:w="0" w:type="auto"/>
            <w:tcBorders>
              <w:left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w:t>
            </w:r>
          </w:p>
        </w:tc>
        <w:tc>
          <w:tcPr>
            <w:tcW w:w="0" w:type="auto"/>
            <w:tcBorders>
              <w:left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w:t>
            </w:r>
          </w:p>
        </w:tc>
      </w:tr>
      <w:tr w:rsidR="00786C20" w:rsidRPr="005366C7" w:rsidTr="00F671C5">
        <w:trPr>
          <w:cantSplit/>
        </w:trPr>
        <w:tc>
          <w:tcPr>
            <w:tcW w:w="0" w:type="auto"/>
            <w:tcBorders>
              <w:top w:val="nil"/>
              <w:left w:val="nil"/>
              <w:right w:val="nil"/>
            </w:tcBorders>
          </w:tcPr>
          <w:p w:rsidR="00067612" w:rsidRPr="00F671C5" w:rsidRDefault="00067612" w:rsidP="001F383B">
            <w:pPr>
              <w:keepNext/>
              <w:autoSpaceDE w:val="0"/>
              <w:autoSpaceDN w:val="0"/>
              <w:adjustRightInd w:val="0"/>
              <w:rPr>
                <w:i/>
                <w:color w:val="000000"/>
                <w:sz w:val="18"/>
                <w:szCs w:val="20"/>
              </w:rPr>
            </w:pPr>
          </w:p>
        </w:tc>
        <w:tc>
          <w:tcPr>
            <w:tcW w:w="583" w:type="dxa"/>
            <w:tcBorders>
              <w:top w:val="nil"/>
              <w:left w:val="nil"/>
              <w:right w:val="nil"/>
            </w:tcBorders>
          </w:tcPr>
          <w:p w:rsidR="00067612" w:rsidRPr="00F671C5" w:rsidRDefault="00067612" w:rsidP="001F383B">
            <w:pPr>
              <w:keepNext/>
              <w:autoSpaceDE w:val="0"/>
              <w:autoSpaceDN w:val="0"/>
              <w:adjustRightInd w:val="0"/>
              <w:jc w:val="center"/>
              <w:rPr>
                <w:color w:val="000000"/>
                <w:sz w:val="18"/>
                <w:szCs w:val="20"/>
              </w:rPr>
            </w:pPr>
          </w:p>
        </w:tc>
        <w:tc>
          <w:tcPr>
            <w:tcW w:w="745" w:type="dxa"/>
            <w:tcBorders>
              <w:top w:val="nil"/>
              <w:left w:val="nil"/>
              <w:right w:val="nil"/>
            </w:tcBorders>
          </w:tcPr>
          <w:p w:rsidR="00067612" w:rsidRPr="00F671C5" w:rsidRDefault="00067612" w:rsidP="001F383B">
            <w:pPr>
              <w:keepNext/>
              <w:autoSpaceDE w:val="0"/>
              <w:autoSpaceDN w:val="0"/>
              <w:adjustRightInd w:val="0"/>
              <w:jc w:val="center"/>
              <w:rPr>
                <w:color w:val="000000"/>
                <w:sz w:val="16"/>
                <w:szCs w:val="20"/>
              </w:rPr>
            </w:pPr>
          </w:p>
        </w:tc>
        <w:tc>
          <w:tcPr>
            <w:tcW w:w="720" w:type="dxa"/>
            <w:tcBorders>
              <w:top w:val="nil"/>
              <w:left w:val="nil"/>
              <w:right w:val="nil"/>
            </w:tcBorders>
          </w:tcPr>
          <w:p w:rsidR="00067612" w:rsidRPr="00F671C5" w:rsidRDefault="00067612" w:rsidP="001F383B">
            <w:pPr>
              <w:keepNext/>
              <w:autoSpaceDE w:val="0"/>
              <w:autoSpaceDN w:val="0"/>
              <w:adjustRightInd w:val="0"/>
              <w:jc w:val="center"/>
              <w:rPr>
                <w:color w:val="000000"/>
                <w:sz w:val="16"/>
                <w:szCs w:val="20"/>
              </w:rPr>
            </w:pPr>
          </w:p>
        </w:tc>
        <w:tc>
          <w:tcPr>
            <w:tcW w:w="720" w:type="dxa"/>
            <w:tcBorders>
              <w:top w:val="nil"/>
              <w:left w:val="nil"/>
              <w:right w:val="nil"/>
            </w:tcBorders>
          </w:tcPr>
          <w:p w:rsidR="00067612" w:rsidRPr="00F671C5" w:rsidRDefault="00067612" w:rsidP="001F383B">
            <w:pPr>
              <w:keepNext/>
              <w:autoSpaceDE w:val="0"/>
              <w:autoSpaceDN w:val="0"/>
              <w:adjustRightInd w:val="0"/>
              <w:jc w:val="center"/>
              <w:rPr>
                <w:color w:val="000000"/>
                <w:sz w:val="16"/>
                <w:szCs w:val="20"/>
              </w:rPr>
            </w:pPr>
          </w:p>
        </w:tc>
        <w:tc>
          <w:tcPr>
            <w:tcW w:w="900" w:type="dxa"/>
            <w:gridSpan w:val="2"/>
            <w:tcBorders>
              <w:top w:val="nil"/>
              <w:left w:val="nil"/>
              <w:right w:val="nil"/>
            </w:tcBorders>
          </w:tcPr>
          <w:p w:rsidR="00067612" w:rsidRPr="00F671C5" w:rsidRDefault="00067612" w:rsidP="001F383B">
            <w:pPr>
              <w:keepNext/>
              <w:autoSpaceDE w:val="0"/>
              <w:autoSpaceDN w:val="0"/>
              <w:adjustRightInd w:val="0"/>
              <w:jc w:val="center"/>
              <w:rPr>
                <w:color w:val="000000"/>
                <w:sz w:val="16"/>
                <w:szCs w:val="20"/>
              </w:rPr>
            </w:pPr>
          </w:p>
        </w:tc>
        <w:tc>
          <w:tcPr>
            <w:tcW w:w="1710" w:type="dxa"/>
            <w:tcBorders>
              <w:top w:val="nil"/>
              <w:left w:val="nil"/>
              <w:right w:val="nil"/>
            </w:tcBorders>
          </w:tcPr>
          <w:p w:rsidR="00067612" w:rsidRPr="00F671C5" w:rsidRDefault="00067612" w:rsidP="001F383B">
            <w:pPr>
              <w:keepNext/>
              <w:autoSpaceDE w:val="0"/>
              <w:autoSpaceDN w:val="0"/>
              <w:adjustRightInd w:val="0"/>
              <w:jc w:val="center"/>
              <w:rPr>
                <w:color w:val="000000"/>
                <w:sz w:val="16"/>
                <w:szCs w:val="20"/>
              </w:rPr>
            </w:pPr>
          </w:p>
        </w:tc>
        <w:tc>
          <w:tcPr>
            <w:tcW w:w="1552" w:type="dxa"/>
            <w:tcBorders>
              <w:top w:val="nil"/>
              <w:left w:val="nil"/>
              <w:right w:val="nil"/>
            </w:tcBorders>
          </w:tcPr>
          <w:p w:rsidR="00067612" w:rsidRPr="00F671C5" w:rsidRDefault="00067612" w:rsidP="001F383B">
            <w:pPr>
              <w:keepNext/>
              <w:autoSpaceDE w:val="0"/>
              <w:autoSpaceDN w:val="0"/>
              <w:adjustRightInd w:val="0"/>
              <w:jc w:val="center"/>
              <w:rPr>
                <w:color w:val="000000"/>
                <w:sz w:val="16"/>
                <w:szCs w:val="20"/>
              </w:rPr>
            </w:pPr>
          </w:p>
        </w:tc>
        <w:tc>
          <w:tcPr>
            <w:tcW w:w="0" w:type="auto"/>
            <w:tcBorders>
              <w:top w:val="nil"/>
              <w:left w:val="nil"/>
              <w:right w:val="nil"/>
            </w:tcBorders>
          </w:tcPr>
          <w:p w:rsidR="00067612" w:rsidRPr="00F671C5" w:rsidRDefault="00067612" w:rsidP="001F383B">
            <w:pPr>
              <w:keepNext/>
              <w:autoSpaceDE w:val="0"/>
              <w:autoSpaceDN w:val="0"/>
              <w:adjustRightInd w:val="0"/>
              <w:jc w:val="center"/>
              <w:rPr>
                <w:color w:val="000000"/>
                <w:sz w:val="16"/>
                <w:szCs w:val="20"/>
              </w:rPr>
            </w:pPr>
          </w:p>
        </w:tc>
        <w:tc>
          <w:tcPr>
            <w:tcW w:w="0" w:type="auto"/>
            <w:tcBorders>
              <w:top w:val="nil"/>
              <w:left w:val="nil"/>
              <w:right w:val="nil"/>
            </w:tcBorders>
          </w:tcPr>
          <w:p w:rsidR="00067612" w:rsidRPr="00F671C5" w:rsidRDefault="00067612" w:rsidP="001F383B">
            <w:pPr>
              <w:keepNext/>
              <w:autoSpaceDE w:val="0"/>
              <w:autoSpaceDN w:val="0"/>
              <w:adjustRightInd w:val="0"/>
              <w:jc w:val="center"/>
              <w:rPr>
                <w:color w:val="000000"/>
                <w:sz w:val="16"/>
                <w:szCs w:val="20"/>
              </w:rPr>
            </w:pPr>
          </w:p>
        </w:tc>
      </w:tr>
      <w:tr w:rsidR="00786C20" w:rsidRPr="005366C7" w:rsidTr="00F671C5">
        <w:trPr>
          <w:cantSplit/>
        </w:trPr>
        <w:tc>
          <w:tcPr>
            <w:tcW w:w="0" w:type="auto"/>
            <w:tcBorders>
              <w:top w:val="nil"/>
              <w:left w:val="nil"/>
              <w:right w:val="nil"/>
            </w:tcBorders>
          </w:tcPr>
          <w:p w:rsidR="00067612" w:rsidRPr="00F671C5" w:rsidRDefault="00067612" w:rsidP="001F383B">
            <w:pPr>
              <w:keepNext/>
              <w:autoSpaceDE w:val="0"/>
              <w:autoSpaceDN w:val="0"/>
              <w:adjustRightInd w:val="0"/>
              <w:rPr>
                <w:i/>
                <w:color w:val="000000"/>
                <w:sz w:val="18"/>
                <w:szCs w:val="20"/>
              </w:rPr>
            </w:pPr>
            <w:r w:rsidRPr="00F671C5">
              <w:rPr>
                <w:color w:val="000000"/>
                <w:sz w:val="18"/>
                <w:szCs w:val="20"/>
              </w:rPr>
              <w:t>Jeffrey A. Koch</w:t>
            </w:r>
            <w:r w:rsidR="00EB0698" w:rsidRPr="00F671C5">
              <w:rPr>
                <w:color w:val="000000"/>
                <w:sz w:val="16"/>
                <w:szCs w:val="20"/>
                <w:vertAlign w:val="superscript"/>
              </w:rPr>
              <w:t>(6)</w:t>
            </w:r>
          </w:p>
        </w:tc>
        <w:tc>
          <w:tcPr>
            <w:tcW w:w="583" w:type="dxa"/>
            <w:tcBorders>
              <w:top w:val="nil"/>
              <w:left w:val="nil"/>
              <w:right w:val="nil"/>
            </w:tcBorders>
          </w:tcPr>
          <w:p w:rsidR="00067612" w:rsidRPr="00F671C5" w:rsidRDefault="00067612" w:rsidP="001F383B">
            <w:pPr>
              <w:keepNext/>
              <w:autoSpaceDE w:val="0"/>
              <w:autoSpaceDN w:val="0"/>
              <w:adjustRightInd w:val="0"/>
              <w:jc w:val="center"/>
              <w:rPr>
                <w:color w:val="000000"/>
                <w:sz w:val="18"/>
                <w:szCs w:val="20"/>
              </w:rPr>
            </w:pPr>
            <w:r w:rsidRPr="00F671C5">
              <w:rPr>
                <w:color w:val="000000"/>
                <w:sz w:val="18"/>
                <w:szCs w:val="20"/>
              </w:rPr>
              <w:t xml:space="preserve">2011  </w:t>
            </w:r>
          </w:p>
        </w:tc>
        <w:tc>
          <w:tcPr>
            <w:tcW w:w="745" w:type="dxa"/>
            <w:tcBorders>
              <w:top w:val="nil"/>
              <w:left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$110,826</w:t>
            </w:r>
          </w:p>
        </w:tc>
        <w:tc>
          <w:tcPr>
            <w:tcW w:w="720" w:type="dxa"/>
            <w:tcBorders>
              <w:top w:val="nil"/>
              <w:left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w:t>
            </w:r>
          </w:p>
        </w:tc>
        <w:tc>
          <w:tcPr>
            <w:tcW w:w="720" w:type="dxa"/>
            <w:tcBorders>
              <w:top w:val="nil"/>
              <w:left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$4,641</w:t>
            </w:r>
          </w:p>
        </w:tc>
        <w:tc>
          <w:tcPr>
            <w:tcW w:w="798" w:type="dxa"/>
            <w:tcBorders>
              <w:top w:val="nil"/>
              <w:left w:val="nil"/>
              <w:right w:val="nil"/>
            </w:tcBorders>
          </w:tcPr>
          <w:p w:rsidR="00067612" w:rsidRPr="00F671C5" w:rsidRDefault="00067612" w:rsidP="00EB0698">
            <w:pPr>
              <w:keepNext/>
              <w:autoSpaceDE w:val="0"/>
              <w:autoSpaceDN w:val="0"/>
              <w:adjustRightInd w:val="0"/>
              <w:jc w:val="center"/>
              <w:rPr>
                <w:color w:val="000000"/>
                <w:sz w:val="16"/>
                <w:szCs w:val="20"/>
              </w:rPr>
            </w:pPr>
            <w:r w:rsidRPr="00F671C5">
              <w:rPr>
                <w:color w:val="000000"/>
                <w:sz w:val="16"/>
                <w:szCs w:val="20"/>
              </w:rPr>
              <w:t>$5,011</w:t>
            </w:r>
            <w:r w:rsidRPr="00F671C5">
              <w:rPr>
                <w:color w:val="000000"/>
                <w:sz w:val="16"/>
                <w:szCs w:val="20"/>
                <w:vertAlign w:val="superscript"/>
              </w:rPr>
              <w:t>(</w:t>
            </w:r>
            <w:r w:rsidR="00EB0698">
              <w:rPr>
                <w:color w:val="000000"/>
                <w:sz w:val="16"/>
                <w:szCs w:val="20"/>
                <w:vertAlign w:val="superscript"/>
              </w:rPr>
              <w:t>7</w:t>
            </w:r>
            <w:r w:rsidRPr="00F671C5">
              <w:rPr>
                <w:color w:val="000000"/>
                <w:sz w:val="16"/>
                <w:szCs w:val="20"/>
                <w:vertAlign w:val="superscript"/>
              </w:rPr>
              <w:t>)</w:t>
            </w:r>
          </w:p>
        </w:tc>
        <w:tc>
          <w:tcPr>
            <w:tcW w:w="1812" w:type="dxa"/>
            <w:gridSpan w:val="2"/>
            <w:tcBorders>
              <w:top w:val="nil"/>
              <w:left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$12,603</w:t>
            </w:r>
          </w:p>
        </w:tc>
        <w:tc>
          <w:tcPr>
            <w:tcW w:w="1552" w:type="dxa"/>
            <w:tcBorders>
              <w:top w:val="nil"/>
              <w:left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w:t>
            </w:r>
          </w:p>
        </w:tc>
        <w:tc>
          <w:tcPr>
            <w:tcW w:w="0" w:type="auto"/>
            <w:tcBorders>
              <w:top w:val="nil"/>
              <w:left w:val="nil"/>
              <w:right w:val="nil"/>
            </w:tcBorders>
          </w:tcPr>
          <w:p w:rsidR="00067612" w:rsidRPr="00F671C5" w:rsidRDefault="00067612" w:rsidP="00EB0698">
            <w:pPr>
              <w:keepNext/>
              <w:autoSpaceDE w:val="0"/>
              <w:autoSpaceDN w:val="0"/>
              <w:adjustRightInd w:val="0"/>
              <w:jc w:val="center"/>
              <w:rPr>
                <w:color w:val="000000"/>
                <w:sz w:val="16"/>
                <w:szCs w:val="20"/>
              </w:rPr>
            </w:pPr>
            <w:r w:rsidRPr="00F671C5">
              <w:rPr>
                <w:color w:val="000000"/>
                <w:sz w:val="16"/>
                <w:szCs w:val="20"/>
              </w:rPr>
              <w:t>$135,465</w:t>
            </w:r>
            <w:r w:rsidRPr="00F671C5">
              <w:rPr>
                <w:color w:val="000000"/>
                <w:sz w:val="16"/>
                <w:szCs w:val="20"/>
                <w:vertAlign w:val="superscript"/>
              </w:rPr>
              <w:t>(</w:t>
            </w:r>
            <w:r w:rsidR="00EB0698">
              <w:rPr>
                <w:color w:val="000000"/>
                <w:sz w:val="16"/>
                <w:szCs w:val="20"/>
                <w:vertAlign w:val="superscript"/>
              </w:rPr>
              <w:t>8</w:t>
            </w:r>
            <w:r w:rsidRPr="00F671C5">
              <w:rPr>
                <w:color w:val="000000"/>
                <w:sz w:val="16"/>
                <w:szCs w:val="20"/>
                <w:vertAlign w:val="superscript"/>
              </w:rPr>
              <w:t>)</w:t>
            </w:r>
          </w:p>
        </w:tc>
        <w:tc>
          <w:tcPr>
            <w:tcW w:w="0" w:type="auto"/>
            <w:tcBorders>
              <w:top w:val="nil"/>
              <w:left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$268,546</w:t>
            </w:r>
          </w:p>
        </w:tc>
      </w:tr>
      <w:tr w:rsidR="00786C20" w:rsidRPr="005366C7" w:rsidTr="00F671C5">
        <w:trPr>
          <w:cantSplit/>
        </w:trPr>
        <w:tc>
          <w:tcPr>
            <w:tcW w:w="0" w:type="auto"/>
            <w:tcBorders>
              <w:top w:val="nil"/>
              <w:left w:val="nil"/>
              <w:right w:val="nil"/>
            </w:tcBorders>
          </w:tcPr>
          <w:p w:rsidR="00067612" w:rsidRPr="00F671C5" w:rsidRDefault="00067612" w:rsidP="00EB0698">
            <w:pPr>
              <w:keepNext/>
              <w:autoSpaceDE w:val="0"/>
              <w:autoSpaceDN w:val="0"/>
              <w:adjustRightInd w:val="0"/>
              <w:rPr>
                <w:i/>
                <w:color w:val="000000"/>
                <w:sz w:val="18"/>
                <w:szCs w:val="20"/>
              </w:rPr>
            </w:pPr>
            <w:r w:rsidRPr="00F671C5">
              <w:rPr>
                <w:i/>
                <w:color w:val="000000"/>
                <w:sz w:val="18"/>
                <w:szCs w:val="20"/>
              </w:rPr>
              <w:t>Former Interim Chief Executive Officer</w:t>
            </w:r>
          </w:p>
        </w:tc>
        <w:tc>
          <w:tcPr>
            <w:tcW w:w="583" w:type="dxa"/>
            <w:tcBorders>
              <w:top w:val="nil"/>
              <w:left w:val="nil"/>
              <w:right w:val="nil"/>
            </w:tcBorders>
          </w:tcPr>
          <w:p w:rsidR="00067612" w:rsidRPr="00F671C5" w:rsidRDefault="00067612" w:rsidP="001F383B">
            <w:pPr>
              <w:keepNext/>
              <w:autoSpaceDE w:val="0"/>
              <w:autoSpaceDN w:val="0"/>
              <w:adjustRightInd w:val="0"/>
              <w:jc w:val="center"/>
              <w:rPr>
                <w:color w:val="000000"/>
                <w:sz w:val="18"/>
                <w:szCs w:val="20"/>
              </w:rPr>
            </w:pPr>
            <w:r w:rsidRPr="00F671C5">
              <w:rPr>
                <w:color w:val="000000"/>
                <w:sz w:val="18"/>
                <w:szCs w:val="20"/>
              </w:rPr>
              <w:t xml:space="preserve">2010 </w:t>
            </w:r>
          </w:p>
        </w:tc>
        <w:tc>
          <w:tcPr>
            <w:tcW w:w="745" w:type="dxa"/>
            <w:tcBorders>
              <w:top w:val="nil"/>
              <w:left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$31,233</w:t>
            </w:r>
          </w:p>
          <w:p w:rsidR="00067612" w:rsidRPr="00F671C5" w:rsidRDefault="00067612" w:rsidP="001F383B">
            <w:pPr>
              <w:keepNext/>
              <w:autoSpaceDE w:val="0"/>
              <w:autoSpaceDN w:val="0"/>
              <w:adjustRightInd w:val="0"/>
              <w:jc w:val="center"/>
              <w:rPr>
                <w:color w:val="000000"/>
                <w:sz w:val="16"/>
                <w:szCs w:val="20"/>
              </w:rPr>
            </w:pPr>
          </w:p>
        </w:tc>
        <w:tc>
          <w:tcPr>
            <w:tcW w:w="720" w:type="dxa"/>
            <w:tcBorders>
              <w:top w:val="nil"/>
              <w:left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w:t>
            </w:r>
          </w:p>
          <w:p w:rsidR="00067612" w:rsidRPr="00F671C5" w:rsidRDefault="00067612" w:rsidP="001F383B">
            <w:pPr>
              <w:keepNext/>
              <w:autoSpaceDE w:val="0"/>
              <w:autoSpaceDN w:val="0"/>
              <w:adjustRightInd w:val="0"/>
              <w:jc w:val="center"/>
              <w:rPr>
                <w:color w:val="000000"/>
                <w:sz w:val="16"/>
                <w:szCs w:val="20"/>
              </w:rPr>
            </w:pPr>
          </w:p>
        </w:tc>
        <w:tc>
          <w:tcPr>
            <w:tcW w:w="720" w:type="dxa"/>
            <w:tcBorders>
              <w:top w:val="nil"/>
              <w:left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w:t>
            </w:r>
          </w:p>
          <w:p w:rsidR="00067612" w:rsidRPr="00F671C5" w:rsidRDefault="00067612" w:rsidP="001F383B">
            <w:pPr>
              <w:keepNext/>
              <w:autoSpaceDE w:val="0"/>
              <w:autoSpaceDN w:val="0"/>
              <w:adjustRightInd w:val="0"/>
              <w:jc w:val="center"/>
              <w:rPr>
                <w:color w:val="000000"/>
                <w:sz w:val="16"/>
                <w:szCs w:val="20"/>
              </w:rPr>
            </w:pPr>
          </w:p>
        </w:tc>
        <w:tc>
          <w:tcPr>
            <w:tcW w:w="798" w:type="dxa"/>
            <w:tcBorders>
              <w:top w:val="nil"/>
              <w:left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$122,083</w:t>
            </w:r>
            <w:r w:rsidRPr="00F671C5">
              <w:rPr>
                <w:color w:val="000000"/>
                <w:sz w:val="16"/>
                <w:szCs w:val="20"/>
                <w:vertAlign w:val="superscript"/>
              </w:rPr>
              <w:t>(9)</w:t>
            </w:r>
          </w:p>
          <w:p w:rsidR="00067612" w:rsidRPr="00F671C5" w:rsidRDefault="00067612" w:rsidP="001F383B">
            <w:pPr>
              <w:keepNext/>
              <w:autoSpaceDE w:val="0"/>
              <w:autoSpaceDN w:val="0"/>
              <w:adjustRightInd w:val="0"/>
              <w:jc w:val="center"/>
              <w:rPr>
                <w:color w:val="000000"/>
                <w:sz w:val="16"/>
                <w:szCs w:val="20"/>
              </w:rPr>
            </w:pPr>
          </w:p>
        </w:tc>
        <w:tc>
          <w:tcPr>
            <w:tcW w:w="1812" w:type="dxa"/>
            <w:gridSpan w:val="2"/>
            <w:tcBorders>
              <w:top w:val="nil"/>
              <w:left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$17,007</w:t>
            </w:r>
          </w:p>
          <w:p w:rsidR="00067612" w:rsidRPr="00F671C5" w:rsidRDefault="00067612" w:rsidP="001F383B">
            <w:pPr>
              <w:keepNext/>
              <w:autoSpaceDE w:val="0"/>
              <w:autoSpaceDN w:val="0"/>
              <w:adjustRightInd w:val="0"/>
              <w:jc w:val="center"/>
              <w:rPr>
                <w:color w:val="000000"/>
                <w:sz w:val="16"/>
                <w:szCs w:val="20"/>
              </w:rPr>
            </w:pPr>
          </w:p>
        </w:tc>
        <w:tc>
          <w:tcPr>
            <w:tcW w:w="1552" w:type="dxa"/>
            <w:tcBorders>
              <w:top w:val="nil"/>
              <w:left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w:t>
            </w:r>
          </w:p>
          <w:p w:rsidR="00067612" w:rsidRPr="00F671C5" w:rsidRDefault="00067612" w:rsidP="001F383B">
            <w:pPr>
              <w:keepNext/>
              <w:autoSpaceDE w:val="0"/>
              <w:autoSpaceDN w:val="0"/>
              <w:adjustRightInd w:val="0"/>
              <w:jc w:val="center"/>
              <w:rPr>
                <w:color w:val="000000"/>
                <w:sz w:val="16"/>
                <w:szCs w:val="20"/>
              </w:rPr>
            </w:pPr>
          </w:p>
        </w:tc>
        <w:tc>
          <w:tcPr>
            <w:tcW w:w="0" w:type="auto"/>
            <w:tcBorders>
              <w:top w:val="nil"/>
              <w:left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$31,875</w:t>
            </w:r>
            <w:r w:rsidRPr="00F671C5">
              <w:rPr>
                <w:color w:val="000000"/>
                <w:sz w:val="16"/>
                <w:szCs w:val="20"/>
                <w:vertAlign w:val="superscript"/>
              </w:rPr>
              <w:t>(10)</w:t>
            </w:r>
          </w:p>
          <w:p w:rsidR="00067612" w:rsidRPr="00F671C5" w:rsidRDefault="00067612" w:rsidP="001F383B">
            <w:pPr>
              <w:keepNext/>
              <w:autoSpaceDE w:val="0"/>
              <w:autoSpaceDN w:val="0"/>
              <w:adjustRightInd w:val="0"/>
              <w:jc w:val="center"/>
              <w:rPr>
                <w:color w:val="000000"/>
                <w:sz w:val="16"/>
                <w:szCs w:val="20"/>
              </w:rPr>
            </w:pPr>
          </w:p>
        </w:tc>
        <w:tc>
          <w:tcPr>
            <w:tcW w:w="0" w:type="auto"/>
            <w:tcBorders>
              <w:top w:val="nil"/>
              <w:left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$202,198</w:t>
            </w:r>
          </w:p>
        </w:tc>
      </w:tr>
      <w:tr w:rsidR="00786C20" w:rsidRPr="005366C7" w:rsidTr="00F671C5">
        <w:trPr>
          <w:cantSplit/>
        </w:trPr>
        <w:tc>
          <w:tcPr>
            <w:tcW w:w="0" w:type="auto"/>
            <w:tcBorders>
              <w:top w:val="nil"/>
              <w:left w:val="nil"/>
              <w:right w:val="nil"/>
            </w:tcBorders>
          </w:tcPr>
          <w:p w:rsidR="00067612" w:rsidRPr="00F671C5" w:rsidRDefault="00067612" w:rsidP="001F383B">
            <w:pPr>
              <w:keepNext/>
              <w:autoSpaceDE w:val="0"/>
              <w:autoSpaceDN w:val="0"/>
              <w:adjustRightInd w:val="0"/>
              <w:rPr>
                <w:i/>
                <w:color w:val="000000"/>
                <w:sz w:val="18"/>
                <w:szCs w:val="20"/>
              </w:rPr>
            </w:pPr>
          </w:p>
        </w:tc>
        <w:tc>
          <w:tcPr>
            <w:tcW w:w="583" w:type="dxa"/>
            <w:tcBorders>
              <w:top w:val="nil"/>
              <w:left w:val="nil"/>
              <w:right w:val="nil"/>
            </w:tcBorders>
          </w:tcPr>
          <w:p w:rsidR="00067612" w:rsidRPr="00F671C5" w:rsidRDefault="00067612" w:rsidP="001F383B">
            <w:pPr>
              <w:keepNext/>
              <w:autoSpaceDE w:val="0"/>
              <w:autoSpaceDN w:val="0"/>
              <w:adjustRightInd w:val="0"/>
              <w:jc w:val="center"/>
              <w:rPr>
                <w:color w:val="000000"/>
                <w:sz w:val="18"/>
                <w:szCs w:val="20"/>
              </w:rPr>
            </w:pPr>
          </w:p>
        </w:tc>
        <w:tc>
          <w:tcPr>
            <w:tcW w:w="745" w:type="dxa"/>
            <w:tcBorders>
              <w:top w:val="nil"/>
              <w:left w:val="nil"/>
              <w:right w:val="nil"/>
            </w:tcBorders>
          </w:tcPr>
          <w:p w:rsidR="00067612" w:rsidRPr="00F671C5" w:rsidRDefault="00067612" w:rsidP="001F383B">
            <w:pPr>
              <w:keepNext/>
              <w:autoSpaceDE w:val="0"/>
              <w:autoSpaceDN w:val="0"/>
              <w:adjustRightInd w:val="0"/>
              <w:jc w:val="center"/>
              <w:rPr>
                <w:color w:val="000000"/>
                <w:sz w:val="16"/>
                <w:szCs w:val="20"/>
              </w:rPr>
            </w:pPr>
          </w:p>
        </w:tc>
        <w:tc>
          <w:tcPr>
            <w:tcW w:w="720" w:type="dxa"/>
            <w:tcBorders>
              <w:top w:val="nil"/>
              <w:left w:val="nil"/>
              <w:right w:val="nil"/>
            </w:tcBorders>
          </w:tcPr>
          <w:p w:rsidR="00067612" w:rsidRPr="00F671C5" w:rsidRDefault="00067612" w:rsidP="001F383B">
            <w:pPr>
              <w:keepNext/>
              <w:autoSpaceDE w:val="0"/>
              <w:autoSpaceDN w:val="0"/>
              <w:adjustRightInd w:val="0"/>
              <w:jc w:val="center"/>
              <w:rPr>
                <w:color w:val="000000"/>
                <w:sz w:val="16"/>
                <w:szCs w:val="20"/>
              </w:rPr>
            </w:pPr>
          </w:p>
        </w:tc>
        <w:tc>
          <w:tcPr>
            <w:tcW w:w="720" w:type="dxa"/>
            <w:tcBorders>
              <w:top w:val="nil"/>
              <w:left w:val="nil"/>
              <w:right w:val="nil"/>
            </w:tcBorders>
          </w:tcPr>
          <w:p w:rsidR="00067612" w:rsidRPr="00F671C5" w:rsidRDefault="00067612" w:rsidP="001F383B">
            <w:pPr>
              <w:keepNext/>
              <w:autoSpaceDE w:val="0"/>
              <w:autoSpaceDN w:val="0"/>
              <w:adjustRightInd w:val="0"/>
              <w:jc w:val="center"/>
              <w:rPr>
                <w:color w:val="000000"/>
                <w:sz w:val="16"/>
                <w:szCs w:val="20"/>
              </w:rPr>
            </w:pPr>
          </w:p>
        </w:tc>
        <w:tc>
          <w:tcPr>
            <w:tcW w:w="798" w:type="dxa"/>
            <w:tcBorders>
              <w:top w:val="nil"/>
              <w:left w:val="nil"/>
              <w:right w:val="nil"/>
            </w:tcBorders>
          </w:tcPr>
          <w:p w:rsidR="00067612" w:rsidRPr="00F671C5" w:rsidRDefault="00067612" w:rsidP="001F383B">
            <w:pPr>
              <w:keepNext/>
              <w:autoSpaceDE w:val="0"/>
              <w:autoSpaceDN w:val="0"/>
              <w:adjustRightInd w:val="0"/>
              <w:jc w:val="center"/>
              <w:rPr>
                <w:color w:val="000000"/>
                <w:sz w:val="16"/>
                <w:szCs w:val="20"/>
              </w:rPr>
            </w:pPr>
          </w:p>
        </w:tc>
        <w:tc>
          <w:tcPr>
            <w:tcW w:w="1812" w:type="dxa"/>
            <w:gridSpan w:val="2"/>
            <w:tcBorders>
              <w:top w:val="nil"/>
              <w:left w:val="nil"/>
              <w:right w:val="nil"/>
            </w:tcBorders>
          </w:tcPr>
          <w:p w:rsidR="00067612" w:rsidRPr="00F671C5" w:rsidRDefault="00067612" w:rsidP="001F383B">
            <w:pPr>
              <w:keepNext/>
              <w:autoSpaceDE w:val="0"/>
              <w:autoSpaceDN w:val="0"/>
              <w:adjustRightInd w:val="0"/>
              <w:jc w:val="center"/>
              <w:rPr>
                <w:color w:val="000000"/>
                <w:sz w:val="16"/>
                <w:szCs w:val="20"/>
              </w:rPr>
            </w:pPr>
          </w:p>
        </w:tc>
        <w:tc>
          <w:tcPr>
            <w:tcW w:w="1552" w:type="dxa"/>
            <w:tcBorders>
              <w:top w:val="nil"/>
              <w:left w:val="nil"/>
              <w:right w:val="nil"/>
            </w:tcBorders>
          </w:tcPr>
          <w:p w:rsidR="00067612" w:rsidRPr="00F671C5" w:rsidRDefault="00067612" w:rsidP="001F383B">
            <w:pPr>
              <w:keepNext/>
              <w:autoSpaceDE w:val="0"/>
              <w:autoSpaceDN w:val="0"/>
              <w:adjustRightInd w:val="0"/>
              <w:jc w:val="center"/>
              <w:rPr>
                <w:color w:val="000000"/>
                <w:sz w:val="16"/>
                <w:szCs w:val="20"/>
              </w:rPr>
            </w:pPr>
          </w:p>
        </w:tc>
        <w:tc>
          <w:tcPr>
            <w:tcW w:w="0" w:type="auto"/>
            <w:tcBorders>
              <w:top w:val="nil"/>
              <w:left w:val="nil"/>
              <w:right w:val="nil"/>
            </w:tcBorders>
          </w:tcPr>
          <w:p w:rsidR="00067612" w:rsidRPr="00F671C5" w:rsidRDefault="00067612" w:rsidP="001F383B">
            <w:pPr>
              <w:keepNext/>
              <w:autoSpaceDE w:val="0"/>
              <w:autoSpaceDN w:val="0"/>
              <w:adjustRightInd w:val="0"/>
              <w:jc w:val="center"/>
              <w:rPr>
                <w:color w:val="000000"/>
                <w:sz w:val="16"/>
                <w:szCs w:val="20"/>
              </w:rPr>
            </w:pPr>
          </w:p>
        </w:tc>
        <w:tc>
          <w:tcPr>
            <w:tcW w:w="0" w:type="auto"/>
            <w:tcBorders>
              <w:top w:val="nil"/>
              <w:left w:val="nil"/>
              <w:right w:val="nil"/>
            </w:tcBorders>
          </w:tcPr>
          <w:p w:rsidR="00067612" w:rsidRPr="00F671C5" w:rsidRDefault="00067612" w:rsidP="001F383B">
            <w:pPr>
              <w:keepNext/>
              <w:autoSpaceDE w:val="0"/>
              <w:autoSpaceDN w:val="0"/>
              <w:adjustRightInd w:val="0"/>
              <w:jc w:val="center"/>
              <w:rPr>
                <w:color w:val="000000"/>
                <w:sz w:val="16"/>
                <w:szCs w:val="20"/>
              </w:rPr>
            </w:pPr>
          </w:p>
        </w:tc>
      </w:tr>
      <w:tr w:rsidR="00786C20" w:rsidRPr="005366C7" w:rsidTr="00F671C5">
        <w:trPr>
          <w:cantSplit/>
        </w:trPr>
        <w:tc>
          <w:tcPr>
            <w:tcW w:w="0" w:type="auto"/>
            <w:tcBorders>
              <w:left w:val="nil"/>
              <w:right w:val="nil"/>
            </w:tcBorders>
          </w:tcPr>
          <w:p w:rsidR="00067612" w:rsidRPr="00F671C5" w:rsidRDefault="00067612" w:rsidP="001F383B">
            <w:pPr>
              <w:keepNext/>
              <w:autoSpaceDE w:val="0"/>
              <w:autoSpaceDN w:val="0"/>
              <w:adjustRightInd w:val="0"/>
              <w:rPr>
                <w:color w:val="000000"/>
                <w:sz w:val="18"/>
                <w:szCs w:val="20"/>
              </w:rPr>
            </w:pPr>
            <w:r w:rsidRPr="00F671C5">
              <w:rPr>
                <w:color w:val="000000"/>
                <w:sz w:val="18"/>
                <w:szCs w:val="20"/>
              </w:rPr>
              <w:t>Karen L. VanDerBosch</w:t>
            </w:r>
          </w:p>
        </w:tc>
        <w:tc>
          <w:tcPr>
            <w:tcW w:w="583" w:type="dxa"/>
            <w:tcBorders>
              <w:left w:val="nil"/>
              <w:right w:val="nil"/>
            </w:tcBorders>
          </w:tcPr>
          <w:p w:rsidR="00067612" w:rsidRPr="00F671C5" w:rsidRDefault="00067612" w:rsidP="001F383B">
            <w:pPr>
              <w:keepNext/>
              <w:autoSpaceDE w:val="0"/>
              <w:autoSpaceDN w:val="0"/>
              <w:adjustRightInd w:val="0"/>
              <w:jc w:val="center"/>
              <w:rPr>
                <w:color w:val="000000"/>
                <w:sz w:val="18"/>
                <w:szCs w:val="20"/>
              </w:rPr>
            </w:pPr>
            <w:r w:rsidRPr="00F671C5">
              <w:rPr>
                <w:color w:val="000000"/>
                <w:sz w:val="18"/>
                <w:szCs w:val="20"/>
              </w:rPr>
              <w:t xml:space="preserve">2011 </w:t>
            </w:r>
          </w:p>
        </w:tc>
        <w:tc>
          <w:tcPr>
            <w:tcW w:w="745" w:type="dxa"/>
            <w:tcBorders>
              <w:left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$206,567</w:t>
            </w:r>
          </w:p>
        </w:tc>
        <w:tc>
          <w:tcPr>
            <w:tcW w:w="720" w:type="dxa"/>
            <w:tcBorders>
              <w:left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$20,000</w:t>
            </w:r>
            <w:r w:rsidRPr="00F671C5">
              <w:rPr>
                <w:color w:val="000000"/>
                <w:sz w:val="16"/>
                <w:szCs w:val="20"/>
                <w:vertAlign w:val="superscript"/>
              </w:rPr>
              <w:t>(11)</w:t>
            </w:r>
          </w:p>
        </w:tc>
        <w:tc>
          <w:tcPr>
            <w:tcW w:w="720" w:type="dxa"/>
            <w:tcBorders>
              <w:left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$21,082</w:t>
            </w:r>
          </w:p>
        </w:tc>
        <w:tc>
          <w:tcPr>
            <w:tcW w:w="798" w:type="dxa"/>
            <w:tcBorders>
              <w:left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$0</w:t>
            </w:r>
          </w:p>
        </w:tc>
        <w:tc>
          <w:tcPr>
            <w:tcW w:w="1812" w:type="dxa"/>
            <w:gridSpan w:val="2"/>
            <w:tcBorders>
              <w:left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$18,591</w:t>
            </w:r>
          </w:p>
        </w:tc>
        <w:tc>
          <w:tcPr>
            <w:tcW w:w="1552" w:type="dxa"/>
            <w:tcBorders>
              <w:left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w:t>
            </w:r>
          </w:p>
        </w:tc>
        <w:tc>
          <w:tcPr>
            <w:tcW w:w="0" w:type="auto"/>
            <w:tcBorders>
              <w:left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w:t>
            </w:r>
          </w:p>
        </w:tc>
        <w:tc>
          <w:tcPr>
            <w:tcW w:w="0" w:type="auto"/>
            <w:tcBorders>
              <w:left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$266,240</w:t>
            </w:r>
          </w:p>
        </w:tc>
      </w:tr>
      <w:tr w:rsidR="00786C20" w:rsidRPr="005366C7" w:rsidTr="00F671C5">
        <w:trPr>
          <w:cantSplit/>
        </w:trPr>
        <w:tc>
          <w:tcPr>
            <w:tcW w:w="0" w:type="auto"/>
            <w:tcBorders>
              <w:top w:val="nil"/>
              <w:left w:val="nil"/>
              <w:bottom w:val="nil"/>
              <w:right w:val="nil"/>
            </w:tcBorders>
          </w:tcPr>
          <w:p w:rsidR="00067612" w:rsidRPr="00F671C5" w:rsidRDefault="00067612" w:rsidP="001F383B">
            <w:pPr>
              <w:keepNext/>
              <w:autoSpaceDE w:val="0"/>
              <w:autoSpaceDN w:val="0"/>
              <w:adjustRightInd w:val="0"/>
              <w:rPr>
                <w:i/>
                <w:color w:val="000000"/>
                <w:sz w:val="18"/>
                <w:szCs w:val="20"/>
              </w:rPr>
            </w:pPr>
            <w:r w:rsidRPr="00F671C5">
              <w:rPr>
                <w:i/>
                <w:color w:val="000000"/>
                <w:sz w:val="18"/>
                <w:szCs w:val="20"/>
              </w:rPr>
              <w:t>Chief Financial Officer, Chief Operating Officer, Treasurer</w:t>
            </w:r>
          </w:p>
        </w:tc>
        <w:tc>
          <w:tcPr>
            <w:tcW w:w="583" w:type="dxa"/>
            <w:tcBorders>
              <w:top w:val="nil"/>
              <w:left w:val="nil"/>
              <w:bottom w:val="nil"/>
              <w:right w:val="nil"/>
            </w:tcBorders>
          </w:tcPr>
          <w:p w:rsidR="00067612" w:rsidRPr="00F671C5" w:rsidRDefault="00067612" w:rsidP="001F383B">
            <w:pPr>
              <w:keepNext/>
              <w:autoSpaceDE w:val="0"/>
              <w:autoSpaceDN w:val="0"/>
              <w:adjustRightInd w:val="0"/>
              <w:jc w:val="center"/>
              <w:rPr>
                <w:color w:val="000000"/>
                <w:sz w:val="18"/>
                <w:szCs w:val="20"/>
              </w:rPr>
            </w:pPr>
            <w:r w:rsidRPr="00F671C5">
              <w:rPr>
                <w:color w:val="000000"/>
                <w:sz w:val="18"/>
                <w:szCs w:val="20"/>
              </w:rPr>
              <w:t xml:space="preserve">2010 </w:t>
            </w:r>
          </w:p>
        </w:tc>
        <w:tc>
          <w:tcPr>
            <w:tcW w:w="745" w:type="dxa"/>
            <w:tcBorders>
              <w:top w:val="nil"/>
              <w:left w:val="nil"/>
              <w:bottom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$191,954</w:t>
            </w:r>
          </w:p>
          <w:p w:rsidR="00067612" w:rsidRPr="00F671C5" w:rsidRDefault="00067612" w:rsidP="001F383B">
            <w:pPr>
              <w:keepNext/>
              <w:autoSpaceDE w:val="0"/>
              <w:autoSpaceDN w:val="0"/>
              <w:adjustRightInd w:val="0"/>
              <w:jc w:val="center"/>
              <w:rPr>
                <w:color w:val="000000"/>
                <w:sz w:val="16"/>
                <w:szCs w:val="20"/>
              </w:rPr>
            </w:pPr>
          </w:p>
          <w:p w:rsidR="00067612" w:rsidRPr="00F671C5" w:rsidRDefault="00067612" w:rsidP="001F383B">
            <w:pPr>
              <w:keepNext/>
              <w:autoSpaceDE w:val="0"/>
              <w:autoSpaceDN w:val="0"/>
              <w:adjustRightInd w:val="0"/>
              <w:jc w:val="center"/>
              <w:rPr>
                <w:color w:val="000000"/>
                <w:sz w:val="16"/>
                <w:szCs w:val="20"/>
              </w:rPr>
            </w:pPr>
          </w:p>
        </w:tc>
        <w:tc>
          <w:tcPr>
            <w:tcW w:w="720" w:type="dxa"/>
            <w:tcBorders>
              <w:top w:val="nil"/>
              <w:left w:val="nil"/>
              <w:bottom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w:t>
            </w:r>
          </w:p>
          <w:p w:rsidR="00067612" w:rsidRPr="00F671C5" w:rsidRDefault="00067612" w:rsidP="001F383B">
            <w:pPr>
              <w:keepNext/>
              <w:autoSpaceDE w:val="0"/>
              <w:autoSpaceDN w:val="0"/>
              <w:adjustRightInd w:val="0"/>
              <w:jc w:val="center"/>
              <w:rPr>
                <w:color w:val="000000"/>
                <w:sz w:val="16"/>
                <w:szCs w:val="20"/>
              </w:rPr>
            </w:pPr>
          </w:p>
          <w:p w:rsidR="00067612" w:rsidRPr="00F671C5" w:rsidRDefault="00067612" w:rsidP="001F383B">
            <w:pPr>
              <w:keepNext/>
              <w:autoSpaceDE w:val="0"/>
              <w:autoSpaceDN w:val="0"/>
              <w:adjustRightInd w:val="0"/>
              <w:jc w:val="center"/>
              <w:rPr>
                <w:color w:val="000000"/>
                <w:sz w:val="16"/>
                <w:szCs w:val="20"/>
              </w:rPr>
            </w:pPr>
          </w:p>
        </w:tc>
        <w:tc>
          <w:tcPr>
            <w:tcW w:w="720" w:type="dxa"/>
            <w:tcBorders>
              <w:top w:val="nil"/>
              <w:left w:val="nil"/>
              <w:bottom w:val="nil"/>
              <w:right w:val="nil"/>
            </w:tcBorders>
          </w:tcPr>
          <w:p w:rsidR="00067612" w:rsidRPr="00F671C5" w:rsidRDefault="00067612" w:rsidP="001F383B">
            <w:pPr>
              <w:keepNext/>
              <w:jc w:val="center"/>
              <w:rPr>
                <w:color w:val="000000"/>
                <w:sz w:val="16"/>
                <w:szCs w:val="20"/>
              </w:rPr>
            </w:pPr>
            <w:r w:rsidRPr="00F671C5">
              <w:rPr>
                <w:color w:val="000000"/>
                <w:sz w:val="16"/>
                <w:szCs w:val="20"/>
              </w:rPr>
              <w:t>$96,873</w:t>
            </w:r>
          </w:p>
          <w:p w:rsidR="00067612" w:rsidRPr="00F671C5" w:rsidRDefault="00067612" w:rsidP="001F383B">
            <w:pPr>
              <w:keepNext/>
              <w:jc w:val="center"/>
              <w:rPr>
                <w:color w:val="000000"/>
                <w:sz w:val="16"/>
                <w:szCs w:val="20"/>
              </w:rPr>
            </w:pPr>
            <w:r w:rsidRPr="00F671C5">
              <w:rPr>
                <w:color w:val="000000"/>
                <w:sz w:val="16"/>
                <w:szCs w:val="20"/>
              </w:rPr>
              <w:t xml:space="preserve"> </w:t>
            </w:r>
          </w:p>
          <w:p w:rsidR="00067612" w:rsidRPr="00F671C5" w:rsidRDefault="00067612" w:rsidP="001F383B">
            <w:pPr>
              <w:keepNext/>
              <w:autoSpaceDE w:val="0"/>
              <w:autoSpaceDN w:val="0"/>
              <w:adjustRightInd w:val="0"/>
              <w:jc w:val="center"/>
              <w:rPr>
                <w:color w:val="000000"/>
                <w:sz w:val="16"/>
                <w:szCs w:val="20"/>
              </w:rPr>
            </w:pPr>
          </w:p>
        </w:tc>
        <w:tc>
          <w:tcPr>
            <w:tcW w:w="798" w:type="dxa"/>
            <w:tcBorders>
              <w:top w:val="nil"/>
              <w:left w:val="nil"/>
              <w:bottom w:val="nil"/>
              <w:right w:val="nil"/>
            </w:tcBorders>
          </w:tcPr>
          <w:p w:rsidR="00067612" w:rsidRPr="00F671C5" w:rsidRDefault="00067612" w:rsidP="001F383B">
            <w:pPr>
              <w:keepNext/>
              <w:jc w:val="center"/>
              <w:rPr>
                <w:color w:val="000000"/>
                <w:sz w:val="16"/>
                <w:szCs w:val="20"/>
              </w:rPr>
            </w:pPr>
            <w:r w:rsidRPr="00F671C5">
              <w:rPr>
                <w:color w:val="000000"/>
                <w:sz w:val="16"/>
                <w:szCs w:val="20"/>
              </w:rPr>
              <w:t>$186,142</w:t>
            </w:r>
            <w:r w:rsidRPr="00F671C5">
              <w:rPr>
                <w:color w:val="000000"/>
                <w:sz w:val="16"/>
                <w:szCs w:val="20"/>
                <w:vertAlign w:val="superscript"/>
              </w:rPr>
              <w:t>(12)</w:t>
            </w:r>
          </w:p>
          <w:p w:rsidR="00067612" w:rsidRPr="00F671C5" w:rsidRDefault="00067612" w:rsidP="001F383B">
            <w:pPr>
              <w:keepNext/>
              <w:jc w:val="center"/>
              <w:rPr>
                <w:color w:val="000000"/>
                <w:sz w:val="16"/>
                <w:szCs w:val="20"/>
              </w:rPr>
            </w:pPr>
          </w:p>
          <w:p w:rsidR="00067612" w:rsidRPr="00F671C5" w:rsidRDefault="00067612" w:rsidP="001F383B">
            <w:pPr>
              <w:keepNext/>
              <w:autoSpaceDE w:val="0"/>
              <w:autoSpaceDN w:val="0"/>
              <w:adjustRightInd w:val="0"/>
              <w:jc w:val="center"/>
              <w:rPr>
                <w:color w:val="000000"/>
                <w:sz w:val="16"/>
                <w:szCs w:val="20"/>
              </w:rPr>
            </w:pPr>
          </w:p>
        </w:tc>
        <w:tc>
          <w:tcPr>
            <w:tcW w:w="1812" w:type="dxa"/>
            <w:gridSpan w:val="2"/>
            <w:tcBorders>
              <w:top w:val="nil"/>
              <w:left w:val="nil"/>
              <w:bottom w:val="nil"/>
              <w:right w:val="nil"/>
            </w:tcBorders>
          </w:tcPr>
          <w:p w:rsidR="00067612" w:rsidRPr="00F671C5" w:rsidRDefault="00067612" w:rsidP="001F383B">
            <w:pPr>
              <w:keepNext/>
              <w:jc w:val="center"/>
              <w:rPr>
                <w:color w:val="000000"/>
                <w:sz w:val="16"/>
                <w:szCs w:val="20"/>
              </w:rPr>
            </w:pPr>
            <w:r w:rsidRPr="00F671C5">
              <w:rPr>
                <w:color w:val="000000"/>
                <w:sz w:val="16"/>
                <w:szCs w:val="20"/>
              </w:rPr>
              <w:t>$77,257</w:t>
            </w:r>
          </w:p>
          <w:p w:rsidR="00067612" w:rsidRPr="00F671C5" w:rsidRDefault="00067612" w:rsidP="001F383B">
            <w:pPr>
              <w:keepNext/>
              <w:autoSpaceDE w:val="0"/>
              <w:autoSpaceDN w:val="0"/>
              <w:adjustRightInd w:val="0"/>
              <w:jc w:val="center"/>
              <w:rPr>
                <w:color w:val="000000"/>
                <w:sz w:val="16"/>
                <w:szCs w:val="20"/>
              </w:rPr>
            </w:pPr>
          </w:p>
        </w:tc>
        <w:tc>
          <w:tcPr>
            <w:tcW w:w="1552" w:type="dxa"/>
            <w:tcBorders>
              <w:top w:val="nil"/>
              <w:left w:val="nil"/>
              <w:bottom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w:t>
            </w:r>
          </w:p>
          <w:p w:rsidR="00067612" w:rsidRPr="00F671C5" w:rsidRDefault="00067612" w:rsidP="001F383B">
            <w:pPr>
              <w:keepNext/>
              <w:autoSpaceDE w:val="0"/>
              <w:autoSpaceDN w:val="0"/>
              <w:adjustRightInd w:val="0"/>
              <w:jc w:val="center"/>
              <w:rPr>
                <w:color w:val="000000"/>
                <w:sz w:val="16"/>
                <w:szCs w:val="20"/>
              </w:rPr>
            </w:pPr>
          </w:p>
        </w:tc>
        <w:tc>
          <w:tcPr>
            <w:tcW w:w="0" w:type="auto"/>
            <w:tcBorders>
              <w:top w:val="nil"/>
              <w:left w:val="nil"/>
              <w:bottom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w:t>
            </w:r>
          </w:p>
          <w:p w:rsidR="00067612" w:rsidRPr="00F671C5" w:rsidRDefault="00067612" w:rsidP="001F383B">
            <w:pPr>
              <w:keepNext/>
              <w:autoSpaceDE w:val="0"/>
              <w:autoSpaceDN w:val="0"/>
              <w:adjustRightInd w:val="0"/>
              <w:jc w:val="center"/>
              <w:rPr>
                <w:color w:val="000000"/>
                <w:sz w:val="16"/>
                <w:szCs w:val="20"/>
              </w:rPr>
            </w:pPr>
          </w:p>
          <w:p w:rsidR="00067612" w:rsidRPr="00F671C5" w:rsidRDefault="00067612" w:rsidP="001F383B">
            <w:pPr>
              <w:keepNext/>
              <w:autoSpaceDE w:val="0"/>
              <w:autoSpaceDN w:val="0"/>
              <w:adjustRightInd w:val="0"/>
              <w:jc w:val="center"/>
              <w:rPr>
                <w:color w:val="000000"/>
                <w:sz w:val="16"/>
                <w:szCs w:val="20"/>
              </w:rPr>
            </w:pPr>
          </w:p>
        </w:tc>
        <w:tc>
          <w:tcPr>
            <w:tcW w:w="0" w:type="auto"/>
            <w:tcBorders>
              <w:top w:val="nil"/>
              <w:left w:val="nil"/>
              <w:bottom w:val="nil"/>
              <w:right w:val="nil"/>
            </w:tcBorders>
          </w:tcPr>
          <w:p w:rsidR="00067612" w:rsidRPr="00F671C5" w:rsidRDefault="00067612" w:rsidP="001F383B">
            <w:pPr>
              <w:keepNext/>
              <w:jc w:val="center"/>
              <w:rPr>
                <w:color w:val="000000"/>
                <w:sz w:val="16"/>
                <w:szCs w:val="20"/>
              </w:rPr>
            </w:pPr>
            <w:r w:rsidRPr="00F671C5">
              <w:rPr>
                <w:color w:val="000000"/>
                <w:sz w:val="16"/>
                <w:szCs w:val="20"/>
              </w:rPr>
              <w:t>$552,226</w:t>
            </w:r>
          </w:p>
          <w:p w:rsidR="00067612" w:rsidRPr="00F671C5" w:rsidRDefault="00067612" w:rsidP="001F383B">
            <w:pPr>
              <w:keepNext/>
              <w:jc w:val="center"/>
              <w:rPr>
                <w:color w:val="000000"/>
                <w:sz w:val="16"/>
                <w:szCs w:val="20"/>
              </w:rPr>
            </w:pPr>
          </w:p>
          <w:p w:rsidR="00067612" w:rsidRPr="00F671C5" w:rsidRDefault="00067612" w:rsidP="001F383B">
            <w:pPr>
              <w:keepNext/>
              <w:autoSpaceDE w:val="0"/>
              <w:autoSpaceDN w:val="0"/>
              <w:adjustRightInd w:val="0"/>
              <w:jc w:val="center"/>
              <w:rPr>
                <w:color w:val="000000"/>
                <w:sz w:val="16"/>
                <w:szCs w:val="20"/>
              </w:rPr>
            </w:pPr>
          </w:p>
        </w:tc>
      </w:tr>
      <w:tr w:rsidR="00786C20" w:rsidRPr="005366C7" w:rsidTr="00F671C5">
        <w:trPr>
          <w:cantSplit/>
        </w:trPr>
        <w:tc>
          <w:tcPr>
            <w:tcW w:w="0" w:type="auto"/>
            <w:tcBorders>
              <w:top w:val="nil"/>
              <w:left w:val="nil"/>
              <w:bottom w:val="nil"/>
              <w:right w:val="nil"/>
            </w:tcBorders>
          </w:tcPr>
          <w:p w:rsidR="00067612" w:rsidRPr="00F671C5" w:rsidRDefault="00067612" w:rsidP="001F383B">
            <w:pPr>
              <w:keepNext/>
              <w:autoSpaceDE w:val="0"/>
              <w:autoSpaceDN w:val="0"/>
              <w:adjustRightInd w:val="0"/>
              <w:rPr>
                <w:i/>
                <w:color w:val="000000"/>
                <w:sz w:val="18"/>
                <w:szCs w:val="20"/>
              </w:rPr>
            </w:pPr>
          </w:p>
        </w:tc>
        <w:tc>
          <w:tcPr>
            <w:tcW w:w="583" w:type="dxa"/>
            <w:tcBorders>
              <w:top w:val="nil"/>
              <w:left w:val="nil"/>
              <w:bottom w:val="nil"/>
              <w:right w:val="nil"/>
            </w:tcBorders>
          </w:tcPr>
          <w:p w:rsidR="00067612" w:rsidRPr="00F671C5" w:rsidRDefault="00067612" w:rsidP="001F383B">
            <w:pPr>
              <w:keepNext/>
              <w:autoSpaceDE w:val="0"/>
              <w:autoSpaceDN w:val="0"/>
              <w:adjustRightInd w:val="0"/>
              <w:jc w:val="center"/>
              <w:rPr>
                <w:color w:val="000000"/>
                <w:sz w:val="18"/>
                <w:szCs w:val="20"/>
              </w:rPr>
            </w:pPr>
          </w:p>
        </w:tc>
        <w:tc>
          <w:tcPr>
            <w:tcW w:w="745" w:type="dxa"/>
            <w:tcBorders>
              <w:top w:val="nil"/>
              <w:left w:val="nil"/>
              <w:bottom w:val="nil"/>
              <w:right w:val="nil"/>
            </w:tcBorders>
          </w:tcPr>
          <w:p w:rsidR="00067612" w:rsidRPr="00F671C5" w:rsidRDefault="00067612" w:rsidP="001F383B">
            <w:pPr>
              <w:keepNext/>
              <w:autoSpaceDE w:val="0"/>
              <w:autoSpaceDN w:val="0"/>
              <w:adjustRightInd w:val="0"/>
              <w:jc w:val="center"/>
              <w:rPr>
                <w:color w:val="000000"/>
                <w:sz w:val="16"/>
                <w:szCs w:val="20"/>
              </w:rPr>
            </w:pPr>
          </w:p>
        </w:tc>
        <w:tc>
          <w:tcPr>
            <w:tcW w:w="720" w:type="dxa"/>
            <w:tcBorders>
              <w:top w:val="nil"/>
              <w:left w:val="nil"/>
              <w:bottom w:val="nil"/>
              <w:right w:val="nil"/>
            </w:tcBorders>
          </w:tcPr>
          <w:p w:rsidR="00067612" w:rsidRPr="00F671C5" w:rsidRDefault="00067612" w:rsidP="001F383B">
            <w:pPr>
              <w:keepNext/>
              <w:autoSpaceDE w:val="0"/>
              <w:autoSpaceDN w:val="0"/>
              <w:adjustRightInd w:val="0"/>
              <w:jc w:val="center"/>
              <w:rPr>
                <w:color w:val="000000"/>
                <w:sz w:val="16"/>
                <w:szCs w:val="20"/>
              </w:rPr>
            </w:pPr>
          </w:p>
        </w:tc>
        <w:tc>
          <w:tcPr>
            <w:tcW w:w="720" w:type="dxa"/>
            <w:tcBorders>
              <w:top w:val="nil"/>
              <w:left w:val="nil"/>
              <w:bottom w:val="nil"/>
              <w:right w:val="nil"/>
            </w:tcBorders>
          </w:tcPr>
          <w:p w:rsidR="00067612" w:rsidRPr="00F671C5" w:rsidRDefault="00067612" w:rsidP="001F383B">
            <w:pPr>
              <w:keepNext/>
              <w:jc w:val="center"/>
              <w:rPr>
                <w:color w:val="000000"/>
                <w:sz w:val="16"/>
                <w:szCs w:val="20"/>
              </w:rPr>
            </w:pPr>
          </w:p>
        </w:tc>
        <w:tc>
          <w:tcPr>
            <w:tcW w:w="798" w:type="dxa"/>
            <w:tcBorders>
              <w:top w:val="nil"/>
              <w:left w:val="nil"/>
              <w:bottom w:val="nil"/>
              <w:right w:val="nil"/>
            </w:tcBorders>
          </w:tcPr>
          <w:p w:rsidR="00067612" w:rsidRPr="00F671C5" w:rsidRDefault="00067612" w:rsidP="001F383B">
            <w:pPr>
              <w:keepNext/>
              <w:jc w:val="center"/>
              <w:rPr>
                <w:color w:val="000000"/>
                <w:sz w:val="16"/>
                <w:szCs w:val="20"/>
              </w:rPr>
            </w:pPr>
          </w:p>
        </w:tc>
        <w:tc>
          <w:tcPr>
            <w:tcW w:w="1812" w:type="dxa"/>
            <w:gridSpan w:val="2"/>
            <w:tcBorders>
              <w:top w:val="nil"/>
              <w:left w:val="nil"/>
              <w:bottom w:val="nil"/>
              <w:right w:val="nil"/>
            </w:tcBorders>
          </w:tcPr>
          <w:p w:rsidR="00067612" w:rsidRPr="00F671C5" w:rsidRDefault="00067612" w:rsidP="001F383B">
            <w:pPr>
              <w:keepNext/>
              <w:jc w:val="center"/>
              <w:rPr>
                <w:color w:val="000000"/>
                <w:sz w:val="16"/>
                <w:szCs w:val="20"/>
              </w:rPr>
            </w:pPr>
          </w:p>
        </w:tc>
        <w:tc>
          <w:tcPr>
            <w:tcW w:w="1552" w:type="dxa"/>
            <w:tcBorders>
              <w:top w:val="nil"/>
              <w:left w:val="nil"/>
              <w:bottom w:val="nil"/>
              <w:right w:val="nil"/>
            </w:tcBorders>
          </w:tcPr>
          <w:p w:rsidR="00067612" w:rsidRPr="00F671C5" w:rsidRDefault="00067612" w:rsidP="001F383B">
            <w:pPr>
              <w:keepNext/>
              <w:autoSpaceDE w:val="0"/>
              <w:autoSpaceDN w:val="0"/>
              <w:adjustRightInd w:val="0"/>
              <w:jc w:val="center"/>
              <w:rPr>
                <w:color w:val="000000"/>
                <w:sz w:val="16"/>
                <w:szCs w:val="20"/>
              </w:rPr>
            </w:pPr>
          </w:p>
        </w:tc>
        <w:tc>
          <w:tcPr>
            <w:tcW w:w="0" w:type="auto"/>
            <w:tcBorders>
              <w:top w:val="nil"/>
              <w:left w:val="nil"/>
              <w:bottom w:val="nil"/>
              <w:right w:val="nil"/>
            </w:tcBorders>
          </w:tcPr>
          <w:p w:rsidR="00067612" w:rsidRPr="00F671C5" w:rsidRDefault="00067612" w:rsidP="001F383B">
            <w:pPr>
              <w:keepNext/>
              <w:autoSpaceDE w:val="0"/>
              <w:autoSpaceDN w:val="0"/>
              <w:adjustRightInd w:val="0"/>
              <w:jc w:val="center"/>
              <w:rPr>
                <w:color w:val="000000"/>
                <w:sz w:val="16"/>
                <w:szCs w:val="20"/>
              </w:rPr>
            </w:pPr>
          </w:p>
        </w:tc>
        <w:tc>
          <w:tcPr>
            <w:tcW w:w="0" w:type="auto"/>
            <w:tcBorders>
              <w:top w:val="nil"/>
              <w:left w:val="nil"/>
              <w:bottom w:val="nil"/>
              <w:right w:val="nil"/>
            </w:tcBorders>
          </w:tcPr>
          <w:p w:rsidR="00067612" w:rsidRPr="00F671C5" w:rsidRDefault="00067612" w:rsidP="001F383B">
            <w:pPr>
              <w:keepNext/>
              <w:jc w:val="center"/>
              <w:rPr>
                <w:color w:val="000000"/>
                <w:sz w:val="16"/>
                <w:szCs w:val="20"/>
              </w:rPr>
            </w:pPr>
          </w:p>
        </w:tc>
      </w:tr>
      <w:tr w:rsidR="00786C20" w:rsidRPr="005366C7" w:rsidTr="00F671C5">
        <w:trPr>
          <w:cantSplit/>
        </w:trPr>
        <w:tc>
          <w:tcPr>
            <w:tcW w:w="0" w:type="auto"/>
            <w:tcBorders>
              <w:top w:val="nil"/>
              <w:left w:val="nil"/>
              <w:bottom w:val="nil"/>
              <w:right w:val="nil"/>
            </w:tcBorders>
          </w:tcPr>
          <w:p w:rsidR="00067612" w:rsidRPr="00F671C5" w:rsidRDefault="00067612" w:rsidP="001F383B">
            <w:pPr>
              <w:keepNext/>
              <w:autoSpaceDE w:val="0"/>
              <w:autoSpaceDN w:val="0"/>
              <w:adjustRightInd w:val="0"/>
              <w:rPr>
                <w:color w:val="000000"/>
                <w:sz w:val="18"/>
                <w:szCs w:val="20"/>
              </w:rPr>
            </w:pPr>
            <w:r w:rsidRPr="00F671C5">
              <w:rPr>
                <w:color w:val="000000"/>
                <w:sz w:val="18"/>
                <w:szCs w:val="20"/>
              </w:rPr>
              <w:t>Paul D. Carlson</w:t>
            </w:r>
          </w:p>
        </w:tc>
        <w:tc>
          <w:tcPr>
            <w:tcW w:w="583" w:type="dxa"/>
            <w:tcBorders>
              <w:top w:val="nil"/>
              <w:left w:val="nil"/>
              <w:bottom w:val="nil"/>
              <w:right w:val="nil"/>
            </w:tcBorders>
          </w:tcPr>
          <w:p w:rsidR="00067612" w:rsidRPr="00F671C5" w:rsidRDefault="00067612" w:rsidP="001F383B">
            <w:pPr>
              <w:keepNext/>
              <w:autoSpaceDE w:val="0"/>
              <w:autoSpaceDN w:val="0"/>
              <w:adjustRightInd w:val="0"/>
              <w:jc w:val="center"/>
              <w:rPr>
                <w:color w:val="000000"/>
                <w:sz w:val="18"/>
                <w:szCs w:val="20"/>
              </w:rPr>
            </w:pPr>
            <w:r w:rsidRPr="00F671C5">
              <w:rPr>
                <w:color w:val="000000"/>
                <w:sz w:val="18"/>
                <w:szCs w:val="20"/>
              </w:rPr>
              <w:t>2011</w:t>
            </w:r>
          </w:p>
        </w:tc>
        <w:tc>
          <w:tcPr>
            <w:tcW w:w="745" w:type="dxa"/>
            <w:tcBorders>
              <w:top w:val="nil"/>
              <w:left w:val="nil"/>
              <w:bottom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$63,692</w:t>
            </w:r>
          </w:p>
        </w:tc>
        <w:tc>
          <w:tcPr>
            <w:tcW w:w="720" w:type="dxa"/>
            <w:tcBorders>
              <w:top w:val="nil"/>
              <w:left w:val="nil"/>
              <w:bottom w:val="nil"/>
              <w:right w:val="nil"/>
            </w:tcBorders>
          </w:tcPr>
          <w:p w:rsidR="00067612" w:rsidRPr="00F671C5" w:rsidRDefault="0029060C" w:rsidP="0029060C">
            <w:pPr>
              <w:keepNext/>
              <w:autoSpaceDE w:val="0"/>
              <w:autoSpaceDN w:val="0"/>
              <w:adjustRightInd w:val="0"/>
              <w:jc w:val="center"/>
              <w:rPr>
                <w:color w:val="000000"/>
                <w:sz w:val="16"/>
                <w:szCs w:val="20"/>
              </w:rPr>
            </w:pPr>
            <w:r>
              <w:rPr>
                <w:color w:val="000000"/>
                <w:sz w:val="16"/>
                <w:szCs w:val="20"/>
              </w:rPr>
              <w:t>$1</w:t>
            </w:r>
            <w:r w:rsidRPr="00F671C5">
              <w:rPr>
                <w:color w:val="000000"/>
                <w:sz w:val="16"/>
                <w:szCs w:val="20"/>
              </w:rPr>
              <w:t>0,000</w:t>
            </w:r>
            <w:r w:rsidRPr="00F671C5">
              <w:rPr>
                <w:color w:val="000000"/>
                <w:sz w:val="16"/>
                <w:szCs w:val="20"/>
                <w:vertAlign w:val="superscript"/>
              </w:rPr>
              <w:t>(1</w:t>
            </w:r>
            <w:r>
              <w:rPr>
                <w:color w:val="000000"/>
                <w:sz w:val="16"/>
                <w:szCs w:val="20"/>
                <w:vertAlign w:val="superscript"/>
              </w:rPr>
              <w:t>4</w:t>
            </w:r>
            <w:r w:rsidRPr="00F671C5">
              <w:rPr>
                <w:color w:val="000000"/>
                <w:sz w:val="16"/>
                <w:szCs w:val="20"/>
                <w:vertAlign w:val="superscript"/>
              </w:rPr>
              <w:t>)</w:t>
            </w:r>
          </w:p>
        </w:tc>
        <w:tc>
          <w:tcPr>
            <w:tcW w:w="720" w:type="dxa"/>
            <w:tcBorders>
              <w:top w:val="nil"/>
              <w:left w:val="nil"/>
              <w:bottom w:val="nil"/>
              <w:right w:val="nil"/>
            </w:tcBorders>
          </w:tcPr>
          <w:p w:rsidR="00067612" w:rsidRPr="00F671C5" w:rsidRDefault="00067612" w:rsidP="001F383B">
            <w:pPr>
              <w:keepNext/>
              <w:jc w:val="center"/>
              <w:rPr>
                <w:color w:val="000000"/>
                <w:sz w:val="16"/>
                <w:szCs w:val="20"/>
              </w:rPr>
            </w:pPr>
            <w:r w:rsidRPr="00F671C5">
              <w:rPr>
                <w:color w:val="000000"/>
                <w:sz w:val="16"/>
                <w:szCs w:val="20"/>
              </w:rPr>
              <w:t>$0</w:t>
            </w:r>
          </w:p>
        </w:tc>
        <w:tc>
          <w:tcPr>
            <w:tcW w:w="798" w:type="dxa"/>
            <w:tcBorders>
              <w:top w:val="nil"/>
              <w:left w:val="nil"/>
              <w:bottom w:val="nil"/>
              <w:right w:val="nil"/>
            </w:tcBorders>
          </w:tcPr>
          <w:p w:rsidR="00067612" w:rsidRPr="00F671C5" w:rsidRDefault="00067612" w:rsidP="001F383B">
            <w:pPr>
              <w:keepNext/>
              <w:jc w:val="center"/>
              <w:rPr>
                <w:color w:val="000000"/>
                <w:sz w:val="16"/>
                <w:szCs w:val="20"/>
              </w:rPr>
            </w:pPr>
            <w:r w:rsidRPr="00F671C5">
              <w:rPr>
                <w:color w:val="000000"/>
                <w:sz w:val="16"/>
                <w:szCs w:val="20"/>
              </w:rPr>
              <w:t>$68,176</w:t>
            </w:r>
            <w:r w:rsidRPr="00F671C5">
              <w:rPr>
                <w:color w:val="000000"/>
                <w:sz w:val="16"/>
                <w:szCs w:val="20"/>
                <w:vertAlign w:val="superscript"/>
              </w:rPr>
              <w:t>(13)</w:t>
            </w:r>
          </w:p>
        </w:tc>
        <w:tc>
          <w:tcPr>
            <w:tcW w:w="1812" w:type="dxa"/>
            <w:gridSpan w:val="2"/>
            <w:tcBorders>
              <w:top w:val="nil"/>
              <w:left w:val="nil"/>
              <w:bottom w:val="nil"/>
              <w:right w:val="nil"/>
            </w:tcBorders>
          </w:tcPr>
          <w:p w:rsidR="00067612" w:rsidRPr="00F671C5" w:rsidRDefault="00067612" w:rsidP="008B294E">
            <w:pPr>
              <w:keepNext/>
              <w:jc w:val="center"/>
              <w:rPr>
                <w:color w:val="000000"/>
                <w:sz w:val="16"/>
                <w:szCs w:val="20"/>
              </w:rPr>
            </w:pPr>
            <w:r w:rsidRPr="00F671C5">
              <w:rPr>
                <w:color w:val="000000"/>
                <w:sz w:val="16"/>
                <w:szCs w:val="20"/>
              </w:rPr>
              <w:t>$</w:t>
            </w:r>
            <w:r w:rsidR="008B294E">
              <w:rPr>
                <w:color w:val="000000"/>
                <w:sz w:val="16"/>
                <w:szCs w:val="20"/>
              </w:rPr>
              <w:t>3,432</w:t>
            </w:r>
          </w:p>
        </w:tc>
        <w:tc>
          <w:tcPr>
            <w:tcW w:w="1552" w:type="dxa"/>
            <w:tcBorders>
              <w:top w:val="nil"/>
              <w:left w:val="nil"/>
              <w:bottom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w:t>
            </w:r>
          </w:p>
        </w:tc>
        <w:tc>
          <w:tcPr>
            <w:tcW w:w="0" w:type="auto"/>
            <w:tcBorders>
              <w:top w:val="nil"/>
              <w:left w:val="nil"/>
              <w:bottom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w:t>
            </w:r>
          </w:p>
        </w:tc>
        <w:tc>
          <w:tcPr>
            <w:tcW w:w="0" w:type="auto"/>
            <w:tcBorders>
              <w:top w:val="nil"/>
              <w:left w:val="nil"/>
              <w:bottom w:val="nil"/>
              <w:right w:val="nil"/>
            </w:tcBorders>
          </w:tcPr>
          <w:p w:rsidR="00067612" w:rsidRPr="00F671C5" w:rsidRDefault="00067612" w:rsidP="00804A5E">
            <w:pPr>
              <w:keepNext/>
              <w:jc w:val="center"/>
              <w:rPr>
                <w:color w:val="000000"/>
                <w:sz w:val="16"/>
                <w:szCs w:val="20"/>
              </w:rPr>
            </w:pPr>
            <w:r w:rsidRPr="00F671C5">
              <w:rPr>
                <w:color w:val="000000"/>
                <w:sz w:val="16"/>
                <w:szCs w:val="20"/>
              </w:rPr>
              <w:t>$</w:t>
            </w:r>
            <w:r w:rsidR="00804A5E">
              <w:rPr>
                <w:color w:val="000000"/>
                <w:sz w:val="16"/>
                <w:szCs w:val="20"/>
              </w:rPr>
              <w:t>45,300</w:t>
            </w:r>
          </w:p>
        </w:tc>
      </w:tr>
      <w:tr w:rsidR="00786C20" w:rsidRPr="005366C7" w:rsidTr="00F671C5">
        <w:trPr>
          <w:cantSplit/>
        </w:trPr>
        <w:tc>
          <w:tcPr>
            <w:tcW w:w="0" w:type="auto"/>
            <w:tcBorders>
              <w:top w:val="nil"/>
              <w:left w:val="nil"/>
              <w:bottom w:val="nil"/>
              <w:right w:val="nil"/>
            </w:tcBorders>
          </w:tcPr>
          <w:p w:rsidR="00067612" w:rsidRPr="00F671C5" w:rsidRDefault="00067612" w:rsidP="001F383B">
            <w:pPr>
              <w:keepNext/>
              <w:autoSpaceDE w:val="0"/>
              <w:autoSpaceDN w:val="0"/>
              <w:adjustRightInd w:val="0"/>
              <w:rPr>
                <w:i/>
                <w:color w:val="000000"/>
                <w:sz w:val="18"/>
                <w:szCs w:val="20"/>
              </w:rPr>
            </w:pPr>
            <w:r w:rsidRPr="00F671C5">
              <w:rPr>
                <w:i/>
                <w:color w:val="000000"/>
                <w:sz w:val="18"/>
                <w:szCs w:val="20"/>
              </w:rPr>
              <w:t>Chief Technology Officer</w:t>
            </w:r>
          </w:p>
        </w:tc>
        <w:tc>
          <w:tcPr>
            <w:tcW w:w="583" w:type="dxa"/>
            <w:tcBorders>
              <w:top w:val="nil"/>
              <w:left w:val="nil"/>
              <w:bottom w:val="nil"/>
              <w:right w:val="nil"/>
            </w:tcBorders>
          </w:tcPr>
          <w:p w:rsidR="00067612" w:rsidRPr="00F671C5" w:rsidRDefault="00067612" w:rsidP="001F383B">
            <w:pPr>
              <w:keepNext/>
              <w:autoSpaceDE w:val="0"/>
              <w:autoSpaceDN w:val="0"/>
              <w:adjustRightInd w:val="0"/>
              <w:jc w:val="center"/>
              <w:rPr>
                <w:color w:val="000000"/>
                <w:sz w:val="18"/>
                <w:szCs w:val="20"/>
              </w:rPr>
            </w:pPr>
            <w:r w:rsidRPr="00F671C5">
              <w:rPr>
                <w:color w:val="000000"/>
                <w:sz w:val="18"/>
                <w:szCs w:val="20"/>
              </w:rPr>
              <w:t xml:space="preserve">2010 </w:t>
            </w:r>
          </w:p>
        </w:tc>
        <w:tc>
          <w:tcPr>
            <w:tcW w:w="745" w:type="dxa"/>
            <w:tcBorders>
              <w:top w:val="nil"/>
              <w:left w:val="nil"/>
              <w:bottom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w:t>
            </w:r>
          </w:p>
        </w:tc>
        <w:tc>
          <w:tcPr>
            <w:tcW w:w="720" w:type="dxa"/>
            <w:tcBorders>
              <w:top w:val="nil"/>
              <w:left w:val="nil"/>
              <w:bottom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w:t>
            </w:r>
          </w:p>
        </w:tc>
        <w:tc>
          <w:tcPr>
            <w:tcW w:w="720" w:type="dxa"/>
            <w:tcBorders>
              <w:top w:val="nil"/>
              <w:left w:val="nil"/>
              <w:bottom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w:t>
            </w:r>
          </w:p>
        </w:tc>
        <w:tc>
          <w:tcPr>
            <w:tcW w:w="798" w:type="dxa"/>
            <w:tcBorders>
              <w:top w:val="nil"/>
              <w:left w:val="nil"/>
              <w:bottom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w:t>
            </w:r>
          </w:p>
        </w:tc>
        <w:tc>
          <w:tcPr>
            <w:tcW w:w="1812" w:type="dxa"/>
            <w:gridSpan w:val="2"/>
            <w:tcBorders>
              <w:top w:val="nil"/>
              <w:left w:val="nil"/>
              <w:bottom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w:t>
            </w:r>
          </w:p>
        </w:tc>
        <w:tc>
          <w:tcPr>
            <w:tcW w:w="1552" w:type="dxa"/>
            <w:tcBorders>
              <w:top w:val="nil"/>
              <w:left w:val="nil"/>
              <w:bottom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w:t>
            </w:r>
          </w:p>
        </w:tc>
        <w:tc>
          <w:tcPr>
            <w:tcW w:w="0" w:type="auto"/>
            <w:tcBorders>
              <w:top w:val="nil"/>
              <w:left w:val="nil"/>
              <w:bottom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w:t>
            </w:r>
          </w:p>
        </w:tc>
        <w:tc>
          <w:tcPr>
            <w:tcW w:w="0" w:type="auto"/>
            <w:tcBorders>
              <w:top w:val="nil"/>
              <w:left w:val="nil"/>
              <w:bottom w:val="nil"/>
              <w:right w:val="nil"/>
            </w:tcBorders>
          </w:tcPr>
          <w:p w:rsidR="00067612" w:rsidRPr="00F671C5" w:rsidRDefault="00067612" w:rsidP="001F383B">
            <w:pPr>
              <w:keepNext/>
              <w:autoSpaceDE w:val="0"/>
              <w:autoSpaceDN w:val="0"/>
              <w:adjustRightInd w:val="0"/>
              <w:jc w:val="center"/>
              <w:rPr>
                <w:color w:val="000000"/>
                <w:sz w:val="16"/>
                <w:szCs w:val="20"/>
              </w:rPr>
            </w:pPr>
            <w:r w:rsidRPr="00F671C5">
              <w:rPr>
                <w:color w:val="000000"/>
                <w:sz w:val="16"/>
                <w:szCs w:val="20"/>
              </w:rPr>
              <w:t>-</w:t>
            </w:r>
          </w:p>
        </w:tc>
      </w:tr>
    </w:tbl>
    <w:p w:rsidR="00067612" w:rsidRDefault="00067612" w:rsidP="00067612">
      <w:pPr>
        <w:pStyle w:val="NormalWeb"/>
        <w:spacing w:before="0" w:beforeAutospacing="0" w:after="0" w:afterAutospacing="0"/>
        <w:ind w:left="720" w:hanging="720"/>
        <w:rPr>
          <w:sz w:val="20"/>
          <w:szCs w:val="20"/>
          <w:u w:val="single"/>
        </w:rPr>
      </w:pPr>
      <w:r>
        <w:rPr>
          <w:sz w:val="20"/>
          <w:szCs w:val="20"/>
          <w:u w:val="single"/>
        </w:rPr>
        <w:tab/>
      </w:r>
      <w:r>
        <w:rPr>
          <w:sz w:val="20"/>
          <w:szCs w:val="20"/>
          <w:u w:val="single"/>
        </w:rPr>
        <w:tab/>
      </w:r>
      <w:r>
        <w:rPr>
          <w:sz w:val="20"/>
          <w:szCs w:val="20"/>
          <w:u w:val="single"/>
        </w:rPr>
        <w:tab/>
      </w:r>
    </w:p>
    <w:p w:rsidR="00067612" w:rsidRDefault="00067612" w:rsidP="00067612">
      <w:pPr>
        <w:pStyle w:val="NormalWeb"/>
        <w:spacing w:before="0" w:beforeAutospacing="0" w:after="0" w:afterAutospacing="0"/>
        <w:ind w:left="720" w:hanging="720"/>
        <w:rPr>
          <w:color w:val="000000"/>
          <w:sz w:val="20"/>
          <w:szCs w:val="20"/>
        </w:rPr>
      </w:pPr>
      <w:r>
        <w:rPr>
          <w:sz w:val="20"/>
          <w:szCs w:val="20"/>
          <w:vertAlign w:val="superscript"/>
        </w:rPr>
        <w:t>(1)</w:t>
      </w:r>
      <w:r>
        <w:rPr>
          <w:sz w:val="20"/>
          <w:szCs w:val="20"/>
        </w:rPr>
        <w:tab/>
        <w:t>The “Bonus” column is used by us to include only discretionary bonus payments apart from our non-equity incentive compensation plans. Payments under such incentive plans, including payments for achieving certain financial performance goals, are set forth in the “Non-Equity Incentive Plan Compensation” column. Payments under the Executive Plan have been made in 2012 for services and performance during 2011 and were made in 2011 for services and performance during 2010.</w:t>
      </w:r>
    </w:p>
    <w:p w:rsidR="00067612" w:rsidRDefault="00067612" w:rsidP="00067612">
      <w:pPr>
        <w:pStyle w:val="NormalWeb"/>
        <w:spacing w:before="0" w:beforeAutospacing="0" w:after="0" w:afterAutospacing="0"/>
        <w:ind w:left="720" w:hanging="720"/>
        <w:rPr>
          <w:color w:val="000000"/>
          <w:sz w:val="20"/>
          <w:szCs w:val="20"/>
        </w:rPr>
      </w:pPr>
    </w:p>
    <w:p w:rsidR="00067612" w:rsidRDefault="00067612" w:rsidP="00067612">
      <w:pPr>
        <w:ind w:left="720" w:hanging="720"/>
        <w:rPr>
          <w:color w:val="000000"/>
          <w:sz w:val="20"/>
          <w:szCs w:val="20"/>
        </w:rPr>
      </w:pPr>
      <w:r>
        <w:rPr>
          <w:sz w:val="20"/>
          <w:szCs w:val="20"/>
          <w:vertAlign w:val="superscript"/>
        </w:rPr>
        <w:t>(2)</w:t>
      </w:r>
      <w:r>
        <w:rPr>
          <w:sz w:val="20"/>
          <w:szCs w:val="20"/>
        </w:rPr>
        <w:tab/>
        <w:t xml:space="preserve">Represents the grant date fair value during the fiscal years ended December 31, 2011 and December 31, 2010, in accordance with Financial Accounting Standards Board Accounting Standards Codification Topic 718, Compensation – Stock Compensation, for outstanding performance-based share or unit grants (“Stock Awards” column) and option awards (“Option Awards” column) granted under the 2003 Equity Incentive </w:t>
      </w:r>
      <w:r>
        <w:rPr>
          <w:color w:val="000000"/>
          <w:sz w:val="20"/>
          <w:szCs w:val="20"/>
        </w:rPr>
        <w:t>Plan, as amended with shareholder approval in 2006 and 2008 (the “2003 Plan”). The assumptions used to determine the valuation of the 2011 awards are discussed in Note 5 to our consolidated financial statements for the fiscal year ended December 31, 2011. See the table entitled “Outstanding Equity Awards at 2011 Fiscal Year End” and the narrative discussion entitled “Material Terms of Option Grants” and “Material Terms of Restricted Stock Awards” for further information regarding option awards and stock awards. The assumptions used to determine the valuation of the 2010 awards are discussed in Note 5 to our consolidated financial statements, included in our Annual Report on Form 10-K for the fiscal year ended December 31, 2010.</w:t>
      </w:r>
    </w:p>
    <w:p w:rsidR="00067612" w:rsidRDefault="00067612" w:rsidP="00067612">
      <w:pPr>
        <w:ind w:left="720" w:hanging="720"/>
        <w:rPr>
          <w:sz w:val="20"/>
          <w:szCs w:val="20"/>
        </w:rPr>
      </w:pPr>
    </w:p>
    <w:p w:rsidR="00067612" w:rsidRDefault="00067612" w:rsidP="00067612">
      <w:pPr>
        <w:ind w:left="720" w:hanging="720"/>
        <w:rPr>
          <w:sz w:val="20"/>
          <w:szCs w:val="20"/>
        </w:rPr>
      </w:pPr>
      <w:r>
        <w:rPr>
          <w:sz w:val="20"/>
          <w:szCs w:val="20"/>
          <w:vertAlign w:val="superscript"/>
        </w:rPr>
        <w:t>(3)</w:t>
      </w:r>
      <w:r>
        <w:rPr>
          <w:sz w:val="20"/>
          <w:szCs w:val="20"/>
        </w:rPr>
        <w:tab/>
        <w:t xml:space="preserve">Represents a cash bonus awarded on </w:t>
      </w:r>
      <w:r w:rsidR="0029060C">
        <w:rPr>
          <w:sz w:val="20"/>
          <w:szCs w:val="20"/>
        </w:rPr>
        <w:t>March 7</w:t>
      </w:r>
      <w:r w:rsidRPr="00A054FE">
        <w:rPr>
          <w:sz w:val="20"/>
          <w:szCs w:val="20"/>
        </w:rPr>
        <w:t>,</w:t>
      </w:r>
      <w:r>
        <w:rPr>
          <w:sz w:val="20"/>
          <w:szCs w:val="20"/>
        </w:rPr>
        <w:t xml:space="preserve"> 2012 in recognition of Ms. van </w:t>
      </w:r>
      <w:proofErr w:type="spellStart"/>
      <w:r>
        <w:rPr>
          <w:sz w:val="20"/>
          <w:szCs w:val="20"/>
        </w:rPr>
        <w:t>Lith’s</w:t>
      </w:r>
      <w:proofErr w:type="spellEnd"/>
      <w:r>
        <w:rPr>
          <w:sz w:val="20"/>
          <w:szCs w:val="20"/>
        </w:rPr>
        <w:t xml:space="preserve"> leadership in the Company's acquisitions </w:t>
      </w:r>
      <w:r w:rsidR="00804A5E">
        <w:rPr>
          <w:sz w:val="20"/>
          <w:szCs w:val="20"/>
        </w:rPr>
        <w:t xml:space="preserve">of Garritan Corporation and select assets </w:t>
      </w:r>
      <w:r>
        <w:rPr>
          <w:sz w:val="20"/>
          <w:szCs w:val="20"/>
        </w:rPr>
        <w:t xml:space="preserve">of </w:t>
      </w:r>
      <w:proofErr w:type="spellStart"/>
      <w:r>
        <w:rPr>
          <w:sz w:val="20"/>
          <w:szCs w:val="20"/>
        </w:rPr>
        <w:t>Recordare</w:t>
      </w:r>
      <w:proofErr w:type="spellEnd"/>
      <w:r>
        <w:rPr>
          <w:sz w:val="20"/>
          <w:szCs w:val="20"/>
        </w:rPr>
        <w:t xml:space="preserve"> LLC during fiscal 2011.</w:t>
      </w:r>
    </w:p>
    <w:p w:rsidR="00067612" w:rsidRDefault="00067612" w:rsidP="00067612">
      <w:pPr>
        <w:ind w:left="720" w:hanging="720"/>
        <w:rPr>
          <w:sz w:val="20"/>
          <w:szCs w:val="20"/>
        </w:rPr>
      </w:pPr>
    </w:p>
    <w:p w:rsidR="00067612" w:rsidRDefault="00067612" w:rsidP="00067612">
      <w:pPr>
        <w:ind w:left="720" w:hanging="720"/>
        <w:rPr>
          <w:sz w:val="20"/>
          <w:szCs w:val="20"/>
        </w:rPr>
      </w:pPr>
      <w:r>
        <w:rPr>
          <w:sz w:val="20"/>
          <w:szCs w:val="20"/>
          <w:vertAlign w:val="superscript"/>
        </w:rPr>
        <w:t>(4)</w:t>
      </w:r>
      <w:r>
        <w:rPr>
          <w:sz w:val="20"/>
          <w:szCs w:val="20"/>
        </w:rPr>
        <w:tab/>
        <w:t>Includes 50,000 shares of restricted stock issued upon Ms. van Lith being appointed Chief Executive Officer on June 13, 2011.</w:t>
      </w:r>
    </w:p>
    <w:p w:rsidR="00067612" w:rsidRDefault="00067612" w:rsidP="00067612">
      <w:pPr>
        <w:ind w:left="720" w:hanging="720"/>
        <w:rPr>
          <w:sz w:val="20"/>
          <w:szCs w:val="20"/>
        </w:rPr>
      </w:pPr>
    </w:p>
    <w:p w:rsidR="00067612" w:rsidRDefault="00067612" w:rsidP="00067612">
      <w:pPr>
        <w:ind w:left="720" w:hanging="720"/>
        <w:rPr>
          <w:sz w:val="20"/>
          <w:szCs w:val="20"/>
        </w:rPr>
      </w:pPr>
      <w:r>
        <w:rPr>
          <w:sz w:val="20"/>
          <w:szCs w:val="20"/>
          <w:vertAlign w:val="superscript"/>
        </w:rPr>
        <w:t>(5)</w:t>
      </w:r>
      <w:r>
        <w:rPr>
          <w:sz w:val="20"/>
          <w:szCs w:val="20"/>
        </w:rPr>
        <w:tab/>
        <w:t>Includes an option to purchase 125,000 shares, issued upon Ms. van Lith being appointed Chief Executive Officer on June 13, 2011.</w:t>
      </w:r>
    </w:p>
    <w:p w:rsidR="00067612" w:rsidRDefault="00067612" w:rsidP="00067612">
      <w:pPr>
        <w:ind w:left="720" w:hanging="720"/>
        <w:rPr>
          <w:sz w:val="20"/>
          <w:szCs w:val="20"/>
        </w:rPr>
      </w:pPr>
    </w:p>
    <w:p w:rsidR="00067612" w:rsidRDefault="00067612" w:rsidP="00067612">
      <w:pPr>
        <w:ind w:left="720" w:hanging="720"/>
        <w:rPr>
          <w:sz w:val="20"/>
          <w:szCs w:val="20"/>
        </w:rPr>
      </w:pPr>
      <w:r>
        <w:rPr>
          <w:sz w:val="20"/>
          <w:szCs w:val="20"/>
          <w:vertAlign w:val="superscript"/>
        </w:rPr>
        <w:t>(6)</w:t>
      </w:r>
      <w:r>
        <w:rPr>
          <w:sz w:val="20"/>
          <w:szCs w:val="20"/>
        </w:rPr>
        <w:tab/>
        <w:t xml:space="preserve">Mr. Koch also served as a Chairman of the Board of Directors from January 1, 2010 until he was appointed </w:t>
      </w:r>
      <w:r w:rsidR="00992EDD">
        <w:rPr>
          <w:sz w:val="20"/>
          <w:szCs w:val="20"/>
        </w:rPr>
        <w:t>i</w:t>
      </w:r>
      <w:r>
        <w:rPr>
          <w:sz w:val="20"/>
          <w:szCs w:val="20"/>
        </w:rPr>
        <w:t>nterim Chief Executive Officer on November 10, 2010, and he served as a director from November 10, 2010 through December 31, 2011.  Mr. Koch resigned from his Director position effective December 31, 2011.</w:t>
      </w:r>
    </w:p>
    <w:p w:rsidR="00067612" w:rsidRDefault="00067612" w:rsidP="00067612">
      <w:pPr>
        <w:ind w:left="720" w:hanging="720"/>
        <w:rPr>
          <w:sz w:val="20"/>
          <w:szCs w:val="20"/>
        </w:rPr>
      </w:pPr>
    </w:p>
    <w:p w:rsidR="00067612" w:rsidRDefault="00067612" w:rsidP="00067612">
      <w:pPr>
        <w:ind w:left="720" w:hanging="720"/>
        <w:rPr>
          <w:sz w:val="20"/>
          <w:szCs w:val="20"/>
        </w:rPr>
      </w:pPr>
      <w:r>
        <w:rPr>
          <w:sz w:val="20"/>
          <w:szCs w:val="20"/>
          <w:vertAlign w:val="superscript"/>
        </w:rPr>
        <w:t>(7)</w:t>
      </w:r>
      <w:r>
        <w:rPr>
          <w:sz w:val="20"/>
          <w:szCs w:val="20"/>
          <w:vertAlign w:val="superscript"/>
        </w:rPr>
        <w:tab/>
      </w:r>
      <w:r>
        <w:rPr>
          <w:sz w:val="20"/>
          <w:szCs w:val="20"/>
        </w:rPr>
        <w:t>Includes 3,000 options issued to Mr. Koch on July 6, 2011 for his service as a director.</w:t>
      </w:r>
    </w:p>
    <w:p w:rsidR="00067612" w:rsidRDefault="00067612" w:rsidP="00067612">
      <w:pPr>
        <w:ind w:left="720" w:hanging="720"/>
        <w:rPr>
          <w:sz w:val="20"/>
          <w:szCs w:val="20"/>
        </w:rPr>
      </w:pPr>
    </w:p>
    <w:p w:rsidR="00067612" w:rsidRDefault="00067612" w:rsidP="00067612">
      <w:pPr>
        <w:ind w:left="720" w:hanging="720"/>
        <w:rPr>
          <w:sz w:val="20"/>
          <w:szCs w:val="20"/>
        </w:rPr>
      </w:pPr>
      <w:r>
        <w:rPr>
          <w:sz w:val="20"/>
          <w:szCs w:val="20"/>
          <w:vertAlign w:val="superscript"/>
        </w:rPr>
        <w:t>(8)</w:t>
      </w:r>
      <w:r>
        <w:rPr>
          <w:sz w:val="20"/>
          <w:szCs w:val="20"/>
        </w:rPr>
        <w:tab/>
        <w:t>Includes $20,000 in Director Fees paid while Mr. Koch served as a director from June 13, 2011 to December 31, 2011, $21,600 in temporary housing and travel expenses paid while Mr. Koch was serving as interim Chief Executive Officer from January 1, 2011 to June 13, 2011, and $</w:t>
      </w:r>
      <w:r w:rsidR="0024432D">
        <w:rPr>
          <w:sz w:val="20"/>
          <w:szCs w:val="20"/>
        </w:rPr>
        <w:t>93</w:t>
      </w:r>
      <w:r>
        <w:rPr>
          <w:sz w:val="20"/>
          <w:szCs w:val="20"/>
        </w:rPr>
        <w:t xml:space="preserve">,865 of separation compensation, which constitutes the salary that would have been due to Mr. Koch through the first anniversary of his becoming interim Chief Executive Officer.  </w:t>
      </w:r>
    </w:p>
    <w:p w:rsidR="00067612" w:rsidRDefault="00067612" w:rsidP="00067612">
      <w:pPr>
        <w:ind w:left="720" w:hanging="720"/>
        <w:rPr>
          <w:sz w:val="20"/>
          <w:szCs w:val="20"/>
        </w:rPr>
      </w:pPr>
    </w:p>
    <w:p w:rsidR="00067612" w:rsidRDefault="00067612" w:rsidP="00067612">
      <w:pPr>
        <w:ind w:left="720" w:hanging="720"/>
        <w:rPr>
          <w:sz w:val="20"/>
          <w:szCs w:val="20"/>
        </w:rPr>
      </w:pPr>
      <w:r>
        <w:rPr>
          <w:sz w:val="20"/>
          <w:szCs w:val="20"/>
          <w:vertAlign w:val="superscript"/>
        </w:rPr>
        <w:t>(9)</w:t>
      </w:r>
      <w:r>
        <w:rPr>
          <w:sz w:val="20"/>
          <w:szCs w:val="20"/>
          <w:vertAlign w:val="superscript"/>
        </w:rPr>
        <w:tab/>
      </w:r>
      <w:r>
        <w:rPr>
          <w:sz w:val="20"/>
          <w:szCs w:val="20"/>
        </w:rPr>
        <w:t xml:space="preserve">Mr. Koch was issued an option to purchase 50,000 shares upon his appointment as </w:t>
      </w:r>
      <w:proofErr w:type="spellStart"/>
      <w:r>
        <w:rPr>
          <w:sz w:val="20"/>
          <w:szCs w:val="20"/>
        </w:rPr>
        <w:t>MakeMusic’s</w:t>
      </w:r>
      <w:proofErr w:type="spellEnd"/>
      <w:r>
        <w:rPr>
          <w:sz w:val="20"/>
          <w:szCs w:val="20"/>
        </w:rPr>
        <w:t xml:space="preserve"> interim Chief Executive Officer on November 10, 2010.  The option expired in September 2011.</w:t>
      </w:r>
    </w:p>
    <w:p w:rsidR="00067612" w:rsidRDefault="00067612" w:rsidP="00067612">
      <w:pPr>
        <w:ind w:left="720" w:hanging="720"/>
        <w:rPr>
          <w:sz w:val="20"/>
          <w:szCs w:val="20"/>
        </w:rPr>
      </w:pPr>
    </w:p>
    <w:p w:rsidR="00067612" w:rsidRDefault="00067612" w:rsidP="00067612">
      <w:pPr>
        <w:ind w:left="720" w:hanging="720"/>
        <w:rPr>
          <w:sz w:val="20"/>
          <w:szCs w:val="20"/>
        </w:rPr>
      </w:pPr>
      <w:r>
        <w:rPr>
          <w:sz w:val="20"/>
          <w:szCs w:val="20"/>
          <w:vertAlign w:val="superscript"/>
        </w:rPr>
        <w:t>(10)</w:t>
      </w:r>
      <w:r>
        <w:rPr>
          <w:sz w:val="20"/>
          <w:szCs w:val="20"/>
          <w:vertAlign w:val="superscript"/>
        </w:rPr>
        <w:tab/>
      </w:r>
      <w:r>
        <w:rPr>
          <w:sz w:val="20"/>
          <w:szCs w:val="20"/>
        </w:rPr>
        <w:t>Includes $25,875 in Director Fees paid while Mr. Koch was the Chairman of the Board of Directors from January 1, 2010 to November 10, 2010 and $6,000 in temporary housing and travel expenses paid from November 10, 2010 to December 31, 2010.</w:t>
      </w:r>
    </w:p>
    <w:p w:rsidR="00067612" w:rsidRDefault="00067612" w:rsidP="00067612">
      <w:pPr>
        <w:ind w:left="720" w:hanging="720"/>
        <w:rPr>
          <w:sz w:val="20"/>
          <w:szCs w:val="20"/>
        </w:rPr>
      </w:pPr>
    </w:p>
    <w:p w:rsidR="00067612" w:rsidRDefault="00067612" w:rsidP="00067612">
      <w:pPr>
        <w:ind w:left="720" w:hanging="720"/>
        <w:rPr>
          <w:sz w:val="20"/>
          <w:szCs w:val="20"/>
        </w:rPr>
      </w:pPr>
      <w:r>
        <w:rPr>
          <w:sz w:val="20"/>
          <w:szCs w:val="20"/>
          <w:vertAlign w:val="superscript"/>
        </w:rPr>
        <w:t>(11)</w:t>
      </w:r>
      <w:r>
        <w:rPr>
          <w:sz w:val="20"/>
          <w:szCs w:val="20"/>
        </w:rPr>
        <w:tab/>
        <w:t xml:space="preserve">Represents a cash bonus awarded on </w:t>
      </w:r>
      <w:r w:rsidR="0029060C">
        <w:rPr>
          <w:sz w:val="20"/>
          <w:szCs w:val="20"/>
        </w:rPr>
        <w:t>March 7</w:t>
      </w:r>
      <w:r w:rsidR="0049768C" w:rsidRPr="00A054FE">
        <w:rPr>
          <w:sz w:val="20"/>
          <w:szCs w:val="20"/>
        </w:rPr>
        <w:t>,</w:t>
      </w:r>
      <w:r w:rsidR="0049768C">
        <w:rPr>
          <w:sz w:val="20"/>
          <w:szCs w:val="20"/>
        </w:rPr>
        <w:t xml:space="preserve"> 2012 in recognition of Ms. </w:t>
      </w:r>
      <w:proofErr w:type="spellStart"/>
      <w:r>
        <w:rPr>
          <w:sz w:val="20"/>
          <w:szCs w:val="20"/>
        </w:rPr>
        <w:t>V</w:t>
      </w:r>
      <w:r w:rsidR="0049768C">
        <w:rPr>
          <w:sz w:val="20"/>
          <w:szCs w:val="20"/>
        </w:rPr>
        <w:t>anDerBosch’s</w:t>
      </w:r>
      <w:proofErr w:type="spellEnd"/>
      <w:r w:rsidR="0049768C">
        <w:rPr>
          <w:sz w:val="20"/>
          <w:szCs w:val="20"/>
        </w:rPr>
        <w:t xml:space="preserve"> leadership in the </w:t>
      </w:r>
      <w:r w:rsidR="000B01FF">
        <w:rPr>
          <w:sz w:val="20"/>
          <w:szCs w:val="20"/>
        </w:rPr>
        <w:t xml:space="preserve">Company's acquisitions of Garritan Corporation and select assets of </w:t>
      </w:r>
      <w:proofErr w:type="spellStart"/>
      <w:r w:rsidR="000B01FF">
        <w:rPr>
          <w:sz w:val="20"/>
          <w:szCs w:val="20"/>
        </w:rPr>
        <w:t>Recordare</w:t>
      </w:r>
      <w:proofErr w:type="spellEnd"/>
      <w:r w:rsidR="000B01FF">
        <w:rPr>
          <w:sz w:val="20"/>
          <w:szCs w:val="20"/>
        </w:rPr>
        <w:t xml:space="preserve"> LLC during fiscal 2011.</w:t>
      </w:r>
    </w:p>
    <w:p w:rsidR="00067612" w:rsidRDefault="00067612" w:rsidP="00067612">
      <w:pPr>
        <w:ind w:left="720" w:hanging="720"/>
        <w:rPr>
          <w:sz w:val="20"/>
          <w:szCs w:val="20"/>
        </w:rPr>
      </w:pPr>
    </w:p>
    <w:p w:rsidR="00067612" w:rsidRDefault="00067612" w:rsidP="00067612">
      <w:pPr>
        <w:ind w:left="720" w:hanging="720"/>
        <w:rPr>
          <w:sz w:val="20"/>
          <w:szCs w:val="20"/>
        </w:rPr>
      </w:pPr>
      <w:r>
        <w:rPr>
          <w:sz w:val="20"/>
          <w:szCs w:val="20"/>
          <w:vertAlign w:val="superscript"/>
        </w:rPr>
        <w:t>(12)</w:t>
      </w:r>
      <w:r>
        <w:rPr>
          <w:sz w:val="20"/>
          <w:szCs w:val="20"/>
        </w:rPr>
        <w:tab/>
        <w:t>Includes an option to purchase 25,000 shares, issued in recognition of Ms. VanDerBosch assuming the additional duties of Chief Operating Officer and an option to purchase 40,000 shares issued in 2010 for performance during the 2009 fiscal year.</w:t>
      </w:r>
    </w:p>
    <w:p w:rsidR="00067612" w:rsidRDefault="00067612" w:rsidP="00067612">
      <w:pPr>
        <w:ind w:left="720" w:hanging="720"/>
        <w:rPr>
          <w:sz w:val="20"/>
          <w:szCs w:val="20"/>
        </w:rPr>
      </w:pPr>
    </w:p>
    <w:p w:rsidR="00067612" w:rsidRDefault="00067612" w:rsidP="00067612">
      <w:pPr>
        <w:ind w:left="720" w:hanging="720"/>
        <w:rPr>
          <w:sz w:val="20"/>
          <w:szCs w:val="20"/>
        </w:rPr>
      </w:pPr>
      <w:r>
        <w:rPr>
          <w:sz w:val="20"/>
          <w:szCs w:val="20"/>
          <w:vertAlign w:val="superscript"/>
        </w:rPr>
        <w:t>(13)</w:t>
      </w:r>
      <w:r>
        <w:rPr>
          <w:sz w:val="20"/>
          <w:szCs w:val="20"/>
          <w:vertAlign w:val="superscript"/>
        </w:rPr>
        <w:tab/>
      </w:r>
      <w:r>
        <w:rPr>
          <w:sz w:val="20"/>
          <w:szCs w:val="20"/>
        </w:rPr>
        <w:t>Includes an option to purchase 25,000 shares, issued upon Mr. Carlson appointment as Chief Technology Officer on August 8, 2011.</w:t>
      </w:r>
    </w:p>
    <w:p w:rsidR="0029060C" w:rsidRDefault="0029060C" w:rsidP="00067612">
      <w:pPr>
        <w:ind w:left="720" w:hanging="720"/>
        <w:rPr>
          <w:sz w:val="20"/>
          <w:szCs w:val="20"/>
        </w:rPr>
      </w:pPr>
    </w:p>
    <w:p w:rsidR="0029060C" w:rsidRDefault="0029060C" w:rsidP="0029060C">
      <w:pPr>
        <w:ind w:left="720" w:hanging="720"/>
        <w:rPr>
          <w:sz w:val="20"/>
          <w:szCs w:val="20"/>
        </w:rPr>
      </w:pPr>
      <w:r>
        <w:rPr>
          <w:sz w:val="20"/>
          <w:szCs w:val="20"/>
          <w:vertAlign w:val="superscript"/>
        </w:rPr>
        <w:t>(14)</w:t>
      </w:r>
      <w:r>
        <w:rPr>
          <w:sz w:val="20"/>
          <w:szCs w:val="20"/>
        </w:rPr>
        <w:tab/>
        <w:t>Represents a cash bonus awarded on March 7</w:t>
      </w:r>
      <w:r w:rsidRPr="00A054FE">
        <w:rPr>
          <w:sz w:val="20"/>
          <w:szCs w:val="20"/>
        </w:rPr>
        <w:t>,</w:t>
      </w:r>
      <w:r>
        <w:rPr>
          <w:sz w:val="20"/>
          <w:szCs w:val="20"/>
        </w:rPr>
        <w:t xml:space="preserve"> 2012 in recognition of Mr. Carlson’s leadership in the </w:t>
      </w:r>
      <w:r w:rsidR="000B01FF">
        <w:rPr>
          <w:sz w:val="20"/>
          <w:szCs w:val="20"/>
        </w:rPr>
        <w:t xml:space="preserve">Company's acquisitions of Garritan Corporation and select assets of </w:t>
      </w:r>
      <w:proofErr w:type="spellStart"/>
      <w:r w:rsidR="000B01FF">
        <w:rPr>
          <w:sz w:val="20"/>
          <w:szCs w:val="20"/>
        </w:rPr>
        <w:t>Recordare</w:t>
      </w:r>
      <w:proofErr w:type="spellEnd"/>
      <w:r w:rsidR="000B01FF">
        <w:rPr>
          <w:sz w:val="20"/>
          <w:szCs w:val="20"/>
        </w:rPr>
        <w:t xml:space="preserve"> LLC during fiscal 2011.</w:t>
      </w:r>
    </w:p>
    <w:p w:rsidR="00067612" w:rsidRDefault="00067612" w:rsidP="00067612">
      <w:pPr>
        <w:rPr>
          <w:color w:val="000000"/>
          <w:sz w:val="20"/>
          <w:szCs w:val="20"/>
        </w:rPr>
      </w:pPr>
    </w:p>
    <w:p w:rsidR="00971784" w:rsidRDefault="00971784" w:rsidP="00067612">
      <w:pPr>
        <w:rPr>
          <w:color w:val="000000"/>
          <w:sz w:val="20"/>
          <w:szCs w:val="20"/>
        </w:rPr>
      </w:pPr>
    </w:p>
    <w:p w:rsidR="00067612" w:rsidRDefault="00067612" w:rsidP="00067612">
      <w:pPr>
        <w:pStyle w:val="BodyText"/>
        <w:keepNext/>
        <w:rPr>
          <w:rFonts w:ascii="Times New Roman" w:hAnsi="Times New Roman" w:cs="Times New Roman"/>
          <w:b/>
          <w:sz w:val="20"/>
          <w:szCs w:val="20"/>
        </w:rPr>
      </w:pPr>
      <w:r>
        <w:rPr>
          <w:rFonts w:ascii="Times New Roman" w:hAnsi="Times New Roman" w:cs="Times New Roman"/>
          <w:b/>
          <w:sz w:val="20"/>
          <w:szCs w:val="20"/>
        </w:rPr>
        <w:t>Outstanding Equity Awards at 2011 Fiscal Year End</w:t>
      </w:r>
    </w:p>
    <w:tbl>
      <w:tblPr>
        <w:tblW w:w="11349" w:type="dxa"/>
        <w:jc w:val="center"/>
        <w:tblInd w:w="3549" w:type="dxa"/>
        <w:tblLook w:val="0000" w:firstRow="0" w:lastRow="0" w:firstColumn="0" w:lastColumn="0" w:noHBand="0" w:noVBand="0"/>
      </w:tblPr>
      <w:tblGrid>
        <w:gridCol w:w="1350"/>
        <w:gridCol w:w="1216"/>
        <w:gridCol w:w="1360"/>
        <w:gridCol w:w="1216"/>
        <w:gridCol w:w="905"/>
        <w:gridCol w:w="1128"/>
        <w:gridCol w:w="918"/>
        <w:gridCol w:w="1225"/>
        <w:gridCol w:w="994"/>
        <w:gridCol w:w="1037"/>
      </w:tblGrid>
      <w:tr w:rsidR="00067612" w:rsidTr="001F383B">
        <w:trPr>
          <w:trHeight w:val="198"/>
          <w:jc w:val="center"/>
        </w:trPr>
        <w:tc>
          <w:tcPr>
            <w:tcW w:w="1350" w:type="dxa"/>
            <w:tcBorders>
              <w:top w:val="nil"/>
              <w:left w:val="nil"/>
              <w:bottom w:val="nil"/>
              <w:right w:val="nil"/>
            </w:tcBorders>
            <w:vAlign w:val="bottom"/>
          </w:tcPr>
          <w:p w:rsidR="00067612" w:rsidRDefault="00067612" w:rsidP="001F383B">
            <w:pPr>
              <w:keepNext/>
              <w:rPr>
                <w:sz w:val="20"/>
                <w:szCs w:val="20"/>
              </w:rPr>
            </w:pPr>
          </w:p>
        </w:tc>
        <w:tc>
          <w:tcPr>
            <w:tcW w:w="5764" w:type="dxa"/>
            <w:gridSpan w:val="5"/>
            <w:tcBorders>
              <w:top w:val="nil"/>
              <w:left w:val="nil"/>
              <w:bottom w:val="nil"/>
              <w:right w:val="nil"/>
            </w:tcBorders>
            <w:vAlign w:val="bottom"/>
          </w:tcPr>
          <w:p w:rsidR="00067612" w:rsidRDefault="00067612" w:rsidP="001F383B">
            <w:pPr>
              <w:keepNext/>
              <w:jc w:val="center"/>
              <w:rPr>
                <w:b/>
                <w:color w:val="000000"/>
                <w:sz w:val="20"/>
                <w:szCs w:val="20"/>
              </w:rPr>
            </w:pPr>
          </w:p>
          <w:p w:rsidR="00067612" w:rsidRDefault="00067612" w:rsidP="001F383B">
            <w:pPr>
              <w:keepNext/>
              <w:jc w:val="center"/>
              <w:rPr>
                <w:b/>
                <w:color w:val="000000"/>
                <w:sz w:val="20"/>
                <w:szCs w:val="20"/>
              </w:rPr>
            </w:pPr>
            <w:r>
              <w:rPr>
                <w:b/>
                <w:color w:val="000000"/>
                <w:sz w:val="20"/>
                <w:szCs w:val="20"/>
              </w:rPr>
              <w:t>Option Awards</w:t>
            </w:r>
          </w:p>
        </w:tc>
        <w:tc>
          <w:tcPr>
            <w:tcW w:w="4235" w:type="dxa"/>
            <w:gridSpan w:val="4"/>
            <w:tcBorders>
              <w:top w:val="nil"/>
              <w:left w:val="nil"/>
              <w:bottom w:val="nil"/>
              <w:right w:val="nil"/>
            </w:tcBorders>
            <w:vAlign w:val="bottom"/>
          </w:tcPr>
          <w:p w:rsidR="00067612" w:rsidRDefault="00067612" w:rsidP="001F383B">
            <w:pPr>
              <w:keepNext/>
              <w:jc w:val="center"/>
              <w:rPr>
                <w:b/>
                <w:color w:val="000000"/>
                <w:sz w:val="20"/>
                <w:szCs w:val="20"/>
              </w:rPr>
            </w:pPr>
            <w:r>
              <w:rPr>
                <w:b/>
                <w:color w:val="000000"/>
                <w:sz w:val="20"/>
                <w:szCs w:val="20"/>
              </w:rPr>
              <w:t>Stock Awards</w:t>
            </w:r>
          </w:p>
        </w:tc>
      </w:tr>
      <w:tr w:rsidR="00067612" w:rsidTr="001F383B">
        <w:trPr>
          <w:trHeight w:val="1215"/>
          <w:jc w:val="center"/>
        </w:trPr>
        <w:tc>
          <w:tcPr>
            <w:tcW w:w="1350" w:type="dxa"/>
            <w:vMerge w:val="restart"/>
            <w:tcBorders>
              <w:top w:val="nil"/>
              <w:left w:val="nil"/>
              <w:bottom w:val="nil"/>
              <w:right w:val="nil"/>
            </w:tcBorders>
            <w:vAlign w:val="bottom"/>
          </w:tcPr>
          <w:p w:rsidR="00067612" w:rsidRDefault="00067612" w:rsidP="001F383B">
            <w:pPr>
              <w:keepNext/>
              <w:rPr>
                <w:color w:val="000000"/>
                <w:sz w:val="20"/>
                <w:szCs w:val="20"/>
                <w:u w:val="single"/>
              </w:rPr>
            </w:pPr>
            <w:r>
              <w:rPr>
                <w:sz w:val="20"/>
                <w:szCs w:val="20"/>
              </w:rPr>
              <w:t xml:space="preserve">         </w:t>
            </w:r>
            <w:r>
              <w:rPr>
                <w:color w:val="000000"/>
                <w:sz w:val="20"/>
                <w:szCs w:val="20"/>
                <w:u w:val="single"/>
              </w:rPr>
              <w:t>Name</w:t>
            </w:r>
          </w:p>
        </w:tc>
        <w:tc>
          <w:tcPr>
            <w:tcW w:w="1216" w:type="dxa"/>
            <w:tcBorders>
              <w:top w:val="nil"/>
              <w:left w:val="nil"/>
              <w:bottom w:val="nil"/>
              <w:right w:val="nil"/>
            </w:tcBorders>
            <w:vAlign w:val="bottom"/>
          </w:tcPr>
          <w:p w:rsidR="00067612" w:rsidRDefault="00067612" w:rsidP="001F383B">
            <w:pPr>
              <w:keepNext/>
              <w:jc w:val="center"/>
              <w:rPr>
                <w:color w:val="000000"/>
                <w:sz w:val="20"/>
                <w:szCs w:val="20"/>
              </w:rPr>
            </w:pPr>
            <w:r>
              <w:rPr>
                <w:color w:val="000000"/>
                <w:sz w:val="20"/>
                <w:szCs w:val="20"/>
              </w:rPr>
              <w:t xml:space="preserve">Number of Securities Underlying Unexercised Options </w:t>
            </w:r>
          </w:p>
          <w:p w:rsidR="00067612" w:rsidRDefault="00067612" w:rsidP="001F383B">
            <w:pPr>
              <w:keepNext/>
              <w:jc w:val="center"/>
              <w:rPr>
                <w:color w:val="000000"/>
                <w:sz w:val="20"/>
                <w:szCs w:val="20"/>
              </w:rPr>
            </w:pPr>
          </w:p>
        </w:tc>
        <w:tc>
          <w:tcPr>
            <w:tcW w:w="1360" w:type="dxa"/>
            <w:tcBorders>
              <w:top w:val="nil"/>
              <w:left w:val="nil"/>
              <w:bottom w:val="nil"/>
              <w:right w:val="nil"/>
            </w:tcBorders>
            <w:vAlign w:val="bottom"/>
          </w:tcPr>
          <w:p w:rsidR="00067612" w:rsidRDefault="00067612" w:rsidP="001F383B">
            <w:pPr>
              <w:keepNext/>
              <w:jc w:val="center"/>
              <w:rPr>
                <w:color w:val="000000"/>
                <w:sz w:val="20"/>
                <w:szCs w:val="20"/>
              </w:rPr>
            </w:pPr>
            <w:r>
              <w:rPr>
                <w:color w:val="000000"/>
                <w:sz w:val="20"/>
                <w:szCs w:val="20"/>
              </w:rPr>
              <w:t xml:space="preserve">Number of Securities Underlying Unexercised Options </w:t>
            </w:r>
          </w:p>
          <w:p w:rsidR="00067612" w:rsidRDefault="00067612" w:rsidP="001F383B">
            <w:pPr>
              <w:keepNext/>
              <w:jc w:val="center"/>
              <w:rPr>
                <w:color w:val="000000"/>
                <w:sz w:val="20"/>
                <w:szCs w:val="20"/>
              </w:rPr>
            </w:pPr>
          </w:p>
        </w:tc>
        <w:tc>
          <w:tcPr>
            <w:tcW w:w="1216" w:type="dxa"/>
            <w:tcBorders>
              <w:top w:val="nil"/>
              <w:left w:val="nil"/>
              <w:bottom w:val="nil"/>
              <w:right w:val="nil"/>
            </w:tcBorders>
            <w:vAlign w:val="bottom"/>
          </w:tcPr>
          <w:p w:rsidR="00067612" w:rsidRDefault="00067612" w:rsidP="001F383B">
            <w:pPr>
              <w:keepNext/>
              <w:jc w:val="center"/>
              <w:rPr>
                <w:color w:val="000000"/>
                <w:sz w:val="20"/>
                <w:szCs w:val="20"/>
              </w:rPr>
            </w:pPr>
            <w:r>
              <w:rPr>
                <w:color w:val="000000"/>
                <w:sz w:val="20"/>
                <w:szCs w:val="20"/>
              </w:rPr>
              <w:t>Equity Incentive Plan Awards: Number of Securities Underlying Unexercised Unearned Options</w:t>
            </w:r>
          </w:p>
          <w:p w:rsidR="00067612" w:rsidRDefault="00067612" w:rsidP="001F383B">
            <w:pPr>
              <w:keepNext/>
              <w:jc w:val="center"/>
              <w:rPr>
                <w:color w:val="000000"/>
                <w:sz w:val="20"/>
                <w:szCs w:val="20"/>
              </w:rPr>
            </w:pPr>
            <w:r>
              <w:rPr>
                <w:color w:val="000000"/>
                <w:sz w:val="20"/>
                <w:szCs w:val="20"/>
              </w:rPr>
              <w:t xml:space="preserve"> </w:t>
            </w:r>
          </w:p>
        </w:tc>
        <w:tc>
          <w:tcPr>
            <w:tcW w:w="905" w:type="dxa"/>
            <w:tcBorders>
              <w:top w:val="nil"/>
              <w:left w:val="nil"/>
              <w:bottom w:val="nil"/>
              <w:right w:val="nil"/>
            </w:tcBorders>
            <w:vAlign w:val="bottom"/>
          </w:tcPr>
          <w:p w:rsidR="00067612" w:rsidRDefault="00067612" w:rsidP="001F383B">
            <w:pPr>
              <w:keepNext/>
              <w:jc w:val="center"/>
              <w:rPr>
                <w:color w:val="000000"/>
                <w:sz w:val="20"/>
                <w:szCs w:val="20"/>
              </w:rPr>
            </w:pPr>
            <w:r>
              <w:rPr>
                <w:color w:val="000000"/>
                <w:sz w:val="20"/>
                <w:szCs w:val="20"/>
              </w:rPr>
              <w:t xml:space="preserve">Option Exercise Price </w:t>
            </w:r>
          </w:p>
          <w:p w:rsidR="00067612" w:rsidRDefault="00067612" w:rsidP="001F383B">
            <w:pPr>
              <w:keepNext/>
              <w:jc w:val="center"/>
              <w:rPr>
                <w:color w:val="000000"/>
                <w:sz w:val="20"/>
                <w:szCs w:val="20"/>
              </w:rPr>
            </w:pPr>
          </w:p>
        </w:tc>
        <w:tc>
          <w:tcPr>
            <w:tcW w:w="1067" w:type="dxa"/>
            <w:vMerge w:val="restart"/>
            <w:tcBorders>
              <w:top w:val="nil"/>
              <w:left w:val="nil"/>
              <w:bottom w:val="nil"/>
              <w:right w:val="nil"/>
            </w:tcBorders>
            <w:vAlign w:val="bottom"/>
          </w:tcPr>
          <w:p w:rsidR="00067612" w:rsidRDefault="00067612" w:rsidP="001F383B">
            <w:pPr>
              <w:keepNext/>
              <w:jc w:val="center"/>
              <w:rPr>
                <w:color w:val="000000"/>
                <w:sz w:val="20"/>
                <w:szCs w:val="20"/>
              </w:rPr>
            </w:pPr>
            <w:r>
              <w:rPr>
                <w:color w:val="000000"/>
                <w:sz w:val="20"/>
                <w:szCs w:val="20"/>
              </w:rPr>
              <w:t>Option Expiration Date</w:t>
            </w:r>
          </w:p>
          <w:p w:rsidR="00067612" w:rsidRDefault="00067612" w:rsidP="001F383B">
            <w:pPr>
              <w:keepNext/>
              <w:jc w:val="center"/>
              <w:rPr>
                <w:color w:val="000000"/>
                <w:sz w:val="20"/>
                <w:szCs w:val="20"/>
                <w:u w:val="single"/>
              </w:rPr>
            </w:pPr>
          </w:p>
          <w:p w:rsidR="00067612" w:rsidRDefault="00067612" w:rsidP="001F383B">
            <w:pPr>
              <w:keepNext/>
              <w:jc w:val="center"/>
              <w:rPr>
                <w:color w:val="000000"/>
                <w:sz w:val="20"/>
                <w:szCs w:val="20"/>
                <w:u w:val="single"/>
              </w:rPr>
            </w:pPr>
          </w:p>
          <w:p w:rsidR="00067612" w:rsidRDefault="00067612" w:rsidP="001F383B">
            <w:pPr>
              <w:keepNext/>
              <w:jc w:val="center"/>
              <w:rPr>
                <w:color w:val="000000"/>
                <w:sz w:val="20"/>
                <w:szCs w:val="20"/>
              </w:rPr>
            </w:pPr>
          </w:p>
        </w:tc>
        <w:tc>
          <w:tcPr>
            <w:tcW w:w="918" w:type="dxa"/>
            <w:tcBorders>
              <w:top w:val="nil"/>
              <w:left w:val="nil"/>
              <w:bottom w:val="nil"/>
              <w:right w:val="nil"/>
            </w:tcBorders>
            <w:vAlign w:val="bottom"/>
          </w:tcPr>
          <w:p w:rsidR="00067612" w:rsidRDefault="00067612" w:rsidP="001F383B">
            <w:pPr>
              <w:keepNext/>
              <w:jc w:val="center"/>
              <w:rPr>
                <w:color w:val="000000"/>
                <w:sz w:val="20"/>
                <w:szCs w:val="20"/>
              </w:rPr>
            </w:pPr>
            <w:r>
              <w:rPr>
                <w:color w:val="000000"/>
                <w:sz w:val="20"/>
                <w:szCs w:val="20"/>
              </w:rPr>
              <w:t>Number of</w:t>
            </w:r>
          </w:p>
          <w:p w:rsidR="00067612" w:rsidRDefault="00067612" w:rsidP="001F383B">
            <w:pPr>
              <w:keepNext/>
              <w:jc w:val="center"/>
              <w:rPr>
                <w:color w:val="000000"/>
                <w:sz w:val="20"/>
                <w:szCs w:val="20"/>
              </w:rPr>
            </w:pPr>
            <w:r>
              <w:rPr>
                <w:color w:val="000000"/>
                <w:sz w:val="20"/>
                <w:szCs w:val="20"/>
              </w:rPr>
              <w:t>Shares or</w:t>
            </w:r>
          </w:p>
          <w:p w:rsidR="00067612" w:rsidRDefault="00067612" w:rsidP="001F383B">
            <w:pPr>
              <w:keepNext/>
              <w:jc w:val="center"/>
              <w:rPr>
                <w:color w:val="000000"/>
                <w:sz w:val="20"/>
                <w:szCs w:val="20"/>
              </w:rPr>
            </w:pPr>
            <w:r>
              <w:rPr>
                <w:color w:val="000000"/>
                <w:sz w:val="20"/>
                <w:szCs w:val="20"/>
              </w:rPr>
              <w:t>Units of</w:t>
            </w:r>
          </w:p>
          <w:p w:rsidR="00067612" w:rsidRDefault="00067612" w:rsidP="001F383B">
            <w:pPr>
              <w:keepNext/>
              <w:jc w:val="center"/>
              <w:rPr>
                <w:color w:val="000000"/>
                <w:sz w:val="20"/>
                <w:szCs w:val="20"/>
              </w:rPr>
            </w:pPr>
            <w:r>
              <w:rPr>
                <w:color w:val="000000"/>
                <w:sz w:val="20"/>
                <w:szCs w:val="20"/>
              </w:rPr>
              <w:t>Stock that</w:t>
            </w:r>
          </w:p>
          <w:p w:rsidR="00067612" w:rsidRDefault="00067612" w:rsidP="001F383B">
            <w:pPr>
              <w:keepNext/>
              <w:jc w:val="center"/>
              <w:rPr>
                <w:color w:val="000000"/>
                <w:sz w:val="20"/>
                <w:szCs w:val="20"/>
              </w:rPr>
            </w:pPr>
            <w:r>
              <w:rPr>
                <w:color w:val="000000"/>
                <w:sz w:val="20"/>
                <w:szCs w:val="20"/>
              </w:rPr>
              <w:t>have not Vested</w:t>
            </w:r>
          </w:p>
          <w:p w:rsidR="00067612" w:rsidRDefault="00067612" w:rsidP="001F383B">
            <w:pPr>
              <w:keepNext/>
              <w:jc w:val="center"/>
              <w:rPr>
                <w:color w:val="000000"/>
                <w:sz w:val="20"/>
                <w:szCs w:val="20"/>
              </w:rPr>
            </w:pPr>
          </w:p>
        </w:tc>
        <w:tc>
          <w:tcPr>
            <w:tcW w:w="1268" w:type="dxa"/>
            <w:tcBorders>
              <w:top w:val="nil"/>
              <w:left w:val="nil"/>
              <w:bottom w:val="nil"/>
              <w:right w:val="nil"/>
            </w:tcBorders>
            <w:vAlign w:val="bottom"/>
          </w:tcPr>
          <w:p w:rsidR="00067612" w:rsidRDefault="00067612" w:rsidP="001F383B">
            <w:pPr>
              <w:keepNext/>
              <w:jc w:val="center"/>
              <w:rPr>
                <w:color w:val="000000"/>
                <w:sz w:val="20"/>
                <w:szCs w:val="20"/>
              </w:rPr>
            </w:pPr>
            <w:r>
              <w:rPr>
                <w:color w:val="000000"/>
                <w:sz w:val="20"/>
                <w:szCs w:val="20"/>
              </w:rPr>
              <w:t>Market</w:t>
            </w:r>
          </w:p>
          <w:p w:rsidR="00067612" w:rsidRDefault="00067612" w:rsidP="001F383B">
            <w:pPr>
              <w:keepNext/>
              <w:jc w:val="center"/>
              <w:rPr>
                <w:color w:val="000000"/>
                <w:sz w:val="20"/>
                <w:szCs w:val="20"/>
              </w:rPr>
            </w:pPr>
            <w:r>
              <w:rPr>
                <w:color w:val="000000"/>
                <w:sz w:val="20"/>
                <w:szCs w:val="20"/>
              </w:rPr>
              <w:t>Value of</w:t>
            </w:r>
          </w:p>
          <w:p w:rsidR="00067612" w:rsidRDefault="00067612" w:rsidP="001F383B">
            <w:pPr>
              <w:keepNext/>
              <w:jc w:val="center"/>
              <w:rPr>
                <w:color w:val="000000"/>
                <w:sz w:val="20"/>
                <w:szCs w:val="20"/>
              </w:rPr>
            </w:pPr>
            <w:r>
              <w:rPr>
                <w:color w:val="000000"/>
                <w:sz w:val="20"/>
                <w:szCs w:val="20"/>
              </w:rPr>
              <w:t>Shares of</w:t>
            </w:r>
          </w:p>
          <w:p w:rsidR="00067612" w:rsidRDefault="00067612" w:rsidP="001F383B">
            <w:pPr>
              <w:keepNext/>
              <w:jc w:val="center"/>
              <w:rPr>
                <w:color w:val="000000"/>
                <w:sz w:val="20"/>
                <w:szCs w:val="20"/>
              </w:rPr>
            </w:pPr>
            <w:r>
              <w:rPr>
                <w:color w:val="000000"/>
                <w:sz w:val="20"/>
                <w:szCs w:val="20"/>
              </w:rPr>
              <w:t>Units of</w:t>
            </w:r>
          </w:p>
          <w:p w:rsidR="00067612" w:rsidRDefault="00067612" w:rsidP="001F383B">
            <w:pPr>
              <w:keepNext/>
              <w:jc w:val="center"/>
              <w:rPr>
                <w:color w:val="000000"/>
                <w:sz w:val="20"/>
                <w:szCs w:val="20"/>
              </w:rPr>
            </w:pPr>
            <w:r>
              <w:rPr>
                <w:color w:val="000000"/>
                <w:sz w:val="20"/>
                <w:szCs w:val="20"/>
              </w:rPr>
              <w:t>Stock that</w:t>
            </w:r>
          </w:p>
          <w:p w:rsidR="00067612" w:rsidRDefault="00067612" w:rsidP="001F383B">
            <w:pPr>
              <w:keepNext/>
              <w:jc w:val="center"/>
              <w:rPr>
                <w:color w:val="000000"/>
                <w:sz w:val="20"/>
                <w:szCs w:val="20"/>
                <w:vertAlign w:val="superscript"/>
              </w:rPr>
            </w:pPr>
            <w:r>
              <w:rPr>
                <w:color w:val="000000"/>
                <w:sz w:val="20"/>
                <w:szCs w:val="20"/>
              </w:rPr>
              <w:t>Have not Vested</w:t>
            </w:r>
            <w:r>
              <w:rPr>
                <w:color w:val="000000"/>
                <w:sz w:val="20"/>
                <w:szCs w:val="20"/>
                <w:vertAlign w:val="superscript"/>
              </w:rPr>
              <w:t>(9)</w:t>
            </w:r>
          </w:p>
          <w:p w:rsidR="00067612" w:rsidRDefault="00067612" w:rsidP="001F383B">
            <w:pPr>
              <w:keepNext/>
              <w:jc w:val="center"/>
              <w:rPr>
                <w:color w:val="000000"/>
                <w:sz w:val="20"/>
                <w:szCs w:val="20"/>
              </w:rPr>
            </w:pPr>
          </w:p>
        </w:tc>
        <w:tc>
          <w:tcPr>
            <w:tcW w:w="994" w:type="dxa"/>
            <w:tcBorders>
              <w:top w:val="nil"/>
              <w:left w:val="nil"/>
              <w:bottom w:val="nil"/>
              <w:right w:val="nil"/>
            </w:tcBorders>
            <w:vAlign w:val="bottom"/>
          </w:tcPr>
          <w:p w:rsidR="00067612" w:rsidRDefault="00067612" w:rsidP="001F383B">
            <w:pPr>
              <w:keepNext/>
              <w:jc w:val="center"/>
              <w:rPr>
                <w:color w:val="000000"/>
                <w:sz w:val="20"/>
                <w:szCs w:val="20"/>
              </w:rPr>
            </w:pPr>
            <w:r>
              <w:rPr>
                <w:color w:val="000000"/>
                <w:sz w:val="20"/>
                <w:szCs w:val="20"/>
              </w:rPr>
              <w:t>Equity Incentive Plan Awards:</w:t>
            </w:r>
          </w:p>
          <w:p w:rsidR="00067612" w:rsidRDefault="00067612" w:rsidP="001F383B">
            <w:pPr>
              <w:keepNext/>
              <w:jc w:val="center"/>
              <w:rPr>
                <w:color w:val="000000"/>
                <w:sz w:val="20"/>
                <w:szCs w:val="20"/>
              </w:rPr>
            </w:pPr>
            <w:r>
              <w:rPr>
                <w:color w:val="000000"/>
                <w:sz w:val="20"/>
                <w:szCs w:val="20"/>
              </w:rPr>
              <w:t>Number of</w:t>
            </w:r>
          </w:p>
          <w:p w:rsidR="00067612" w:rsidRDefault="00067612" w:rsidP="001F383B">
            <w:pPr>
              <w:keepNext/>
              <w:jc w:val="center"/>
              <w:rPr>
                <w:color w:val="000000"/>
                <w:sz w:val="20"/>
                <w:szCs w:val="20"/>
              </w:rPr>
            </w:pPr>
            <w:r>
              <w:rPr>
                <w:color w:val="000000"/>
                <w:sz w:val="20"/>
                <w:szCs w:val="20"/>
              </w:rPr>
              <w:t>Unearned Shares,</w:t>
            </w:r>
          </w:p>
          <w:p w:rsidR="00067612" w:rsidRDefault="00067612" w:rsidP="001F383B">
            <w:pPr>
              <w:keepNext/>
              <w:jc w:val="center"/>
              <w:rPr>
                <w:color w:val="000000"/>
                <w:sz w:val="20"/>
                <w:szCs w:val="20"/>
              </w:rPr>
            </w:pPr>
            <w:r>
              <w:rPr>
                <w:color w:val="000000"/>
                <w:sz w:val="20"/>
                <w:szCs w:val="20"/>
              </w:rPr>
              <w:t>Units or</w:t>
            </w:r>
          </w:p>
          <w:p w:rsidR="00067612" w:rsidRDefault="00067612" w:rsidP="001F383B">
            <w:pPr>
              <w:keepNext/>
              <w:jc w:val="center"/>
              <w:rPr>
                <w:color w:val="000000"/>
                <w:sz w:val="20"/>
                <w:szCs w:val="20"/>
              </w:rPr>
            </w:pPr>
            <w:r>
              <w:rPr>
                <w:color w:val="000000"/>
                <w:sz w:val="20"/>
                <w:szCs w:val="20"/>
              </w:rPr>
              <w:t>Other</w:t>
            </w:r>
          </w:p>
          <w:p w:rsidR="00067612" w:rsidRDefault="00067612" w:rsidP="001F383B">
            <w:pPr>
              <w:keepNext/>
              <w:jc w:val="center"/>
              <w:rPr>
                <w:color w:val="000000"/>
                <w:sz w:val="20"/>
                <w:szCs w:val="20"/>
              </w:rPr>
            </w:pPr>
            <w:r>
              <w:rPr>
                <w:color w:val="000000"/>
                <w:sz w:val="20"/>
                <w:szCs w:val="20"/>
              </w:rPr>
              <w:t>Rights that</w:t>
            </w:r>
          </w:p>
          <w:p w:rsidR="00067612" w:rsidRDefault="00067612" w:rsidP="001F383B">
            <w:pPr>
              <w:keepNext/>
              <w:jc w:val="center"/>
              <w:rPr>
                <w:color w:val="000000"/>
                <w:sz w:val="20"/>
                <w:szCs w:val="20"/>
              </w:rPr>
            </w:pPr>
            <w:r>
              <w:rPr>
                <w:color w:val="000000"/>
                <w:sz w:val="20"/>
                <w:szCs w:val="20"/>
              </w:rPr>
              <w:t>have not</w:t>
            </w:r>
          </w:p>
          <w:p w:rsidR="00067612" w:rsidRDefault="00067612" w:rsidP="001F383B">
            <w:pPr>
              <w:keepNext/>
              <w:jc w:val="center"/>
              <w:rPr>
                <w:color w:val="000000"/>
                <w:sz w:val="20"/>
                <w:szCs w:val="20"/>
              </w:rPr>
            </w:pPr>
            <w:r>
              <w:rPr>
                <w:color w:val="000000"/>
                <w:sz w:val="20"/>
                <w:szCs w:val="20"/>
              </w:rPr>
              <w:t>Vested</w:t>
            </w:r>
          </w:p>
          <w:p w:rsidR="00067612" w:rsidRDefault="00067612" w:rsidP="001F383B">
            <w:pPr>
              <w:keepNext/>
              <w:jc w:val="center"/>
              <w:rPr>
                <w:color w:val="000000"/>
                <w:sz w:val="20"/>
                <w:szCs w:val="20"/>
              </w:rPr>
            </w:pPr>
          </w:p>
        </w:tc>
        <w:tc>
          <w:tcPr>
            <w:tcW w:w="1055" w:type="dxa"/>
            <w:tcBorders>
              <w:top w:val="nil"/>
              <w:left w:val="nil"/>
              <w:bottom w:val="nil"/>
              <w:right w:val="nil"/>
            </w:tcBorders>
            <w:vAlign w:val="bottom"/>
          </w:tcPr>
          <w:p w:rsidR="00067612" w:rsidRDefault="00067612" w:rsidP="001F383B">
            <w:pPr>
              <w:keepNext/>
              <w:jc w:val="center"/>
              <w:rPr>
                <w:color w:val="000000"/>
                <w:sz w:val="20"/>
                <w:szCs w:val="20"/>
              </w:rPr>
            </w:pPr>
            <w:r>
              <w:rPr>
                <w:color w:val="000000"/>
                <w:sz w:val="20"/>
                <w:szCs w:val="20"/>
              </w:rPr>
              <w:t>Equity Incentive Plan Awards:</w:t>
            </w:r>
          </w:p>
          <w:p w:rsidR="00067612" w:rsidRDefault="00067612" w:rsidP="001F383B">
            <w:pPr>
              <w:keepNext/>
              <w:jc w:val="center"/>
              <w:rPr>
                <w:color w:val="000000"/>
                <w:sz w:val="20"/>
                <w:szCs w:val="20"/>
              </w:rPr>
            </w:pPr>
            <w:r>
              <w:rPr>
                <w:color w:val="000000"/>
                <w:sz w:val="20"/>
                <w:szCs w:val="20"/>
              </w:rPr>
              <w:t>Market or</w:t>
            </w:r>
          </w:p>
          <w:p w:rsidR="00067612" w:rsidRDefault="00067612" w:rsidP="001F383B">
            <w:pPr>
              <w:keepNext/>
              <w:jc w:val="center"/>
              <w:rPr>
                <w:color w:val="000000"/>
                <w:sz w:val="20"/>
                <w:szCs w:val="20"/>
              </w:rPr>
            </w:pPr>
            <w:r>
              <w:rPr>
                <w:color w:val="000000"/>
                <w:sz w:val="20"/>
                <w:szCs w:val="20"/>
              </w:rPr>
              <w:t>Payout Value</w:t>
            </w:r>
          </w:p>
          <w:p w:rsidR="00067612" w:rsidRDefault="00067612" w:rsidP="001F383B">
            <w:pPr>
              <w:keepNext/>
              <w:jc w:val="center"/>
              <w:rPr>
                <w:color w:val="000000"/>
                <w:sz w:val="20"/>
                <w:szCs w:val="20"/>
              </w:rPr>
            </w:pPr>
            <w:r>
              <w:rPr>
                <w:color w:val="000000"/>
                <w:sz w:val="20"/>
                <w:szCs w:val="20"/>
              </w:rPr>
              <w:t>of Unearned</w:t>
            </w:r>
          </w:p>
          <w:p w:rsidR="00067612" w:rsidRDefault="00067612" w:rsidP="001F383B">
            <w:pPr>
              <w:keepNext/>
              <w:jc w:val="center"/>
              <w:rPr>
                <w:color w:val="000000"/>
                <w:sz w:val="20"/>
                <w:szCs w:val="20"/>
              </w:rPr>
            </w:pPr>
            <w:r>
              <w:rPr>
                <w:color w:val="000000"/>
                <w:sz w:val="20"/>
                <w:szCs w:val="20"/>
              </w:rPr>
              <w:t>Shares, Units</w:t>
            </w:r>
          </w:p>
          <w:p w:rsidR="00067612" w:rsidRDefault="00067612" w:rsidP="001F383B">
            <w:pPr>
              <w:keepNext/>
              <w:jc w:val="center"/>
              <w:rPr>
                <w:color w:val="000000"/>
                <w:sz w:val="20"/>
                <w:szCs w:val="20"/>
              </w:rPr>
            </w:pPr>
            <w:r>
              <w:rPr>
                <w:color w:val="000000"/>
                <w:sz w:val="20"/>
                <w:szCs w:val="20"/>
              </w:rPr>
              <w:t>or other</w:t>
            </w:r>
          </w:p>
          <w:p w:rsidR="00067612" w:rsidRDefault="00067612" w:rsidP="001F383B">
            <w:pPr>
              <w:keepNext/>
              <w:jc w:val="center"/>
              <w:rPr>
                <w:color w:val="000000"/>
                <w:sz w:val="20"/>
                <w:szCs w:val="20"/>
              </w:rPr>
            </w:pPr>
            <w:r>
              <w:rPr>
                <w:color w:val="000000"/>
                <w:sz w:val="20"/>
                <w:szCs w:val="20"/>
              </w:rPr>
              <w:t>Rights that</w:t>
            </w:r>
          </w:p>
          <w:p w:rsidR="00067612" w:rsidRDefault="00067612" w:rsidP="001F383B">
            <w:pPr>
              <w:keepNext/>
              <w:jc w:val="center"/>
              <w:rPr>
                <w:color w:val="000000"/>
                <w:sz w:val="20"/>
                <w:szCs w:val="20"/>
              </w:rPr>
            </w:pPr>
            <w:r>
              <w:rPr>
                <w:color w:val="000000"/>
                <w:sz w:val="20"/>
                <w:szCs w:val="20"/>
              </w:rPr>
              <w:t>have not</w:t>
            </w:r>
          </w:p>
          <w:p w:rsidR="00067612" w:rsidRDefault="00067612" w:rsidP="001F383B">
            <w:pPr>
              <w:keepNext/>
              <w:jc w:val="center"/>
              <w:rPr>
                <w:color w:val="000000"/>
                <w:sz w:val="20"/>
                <w:szCs w:val="20"/>
              </w:rPr>
            </w:pPr>
            <w:r>
              <w:rPr>
                <w:color w:val="000000"/>
                <w:sz w:val="20"/>
                <w:szCs w:val="20"/>
              </w:rPr>
              <w:t>Vested</w:t>
            </w:r>
          </w:p>
          <w:p w:rsidR="00067612" w:rsidRDefault="00067612" w:rsidP="001F383B">
            <w:pPr>
              <w:keepNext/>
              <w:jc w:val="center"/>
              <w:rPr>
                <w:color w:val="000000"/>
                <w:sz w:val="20"/>
                <w:szCs w:val="20"/>
              </w:rPr>
            </w:pPr>
          </w:p>
        </w:tc>
      </w:tr>
      <w:tr w:rsidR="00067612" w:rsidTr="001F383B">
        <w:trPr>
          <w:trHeight w:val="300"/>
          <w:jc w:val="center"/>
        </w:trPr>
        <w:tc>
          <w:tcPr>
            <w:tcW w:w="1350" w:type="dxa"/>
            <w:vMerge/>
            <w:tcBorders>
              <w:top w:val="nil"/>
              <w:left w:val="nil"/>
              <w:bottom w:val="nil"/>
              <w:right w:val="nil"/>
            </w:tcBorders>
            <w:vAlign w:val="center"/>
          </w:tcPr>
          <w:p w:rsidR="00067612" w:rsidRDefault="00067612" w:rsidP="001F383B">
            <w:pPr>
              <w:keepNext/>
              <w:rPr>
                <w:color w:val="000000"/>
                <w:sz w:val="20"/>
                <w:szCs w:val="20"/>
                <w:u w:val="single"/>
              </w:rPr>
            </w:pPr>
          </w:p>
        </w:tc>
        <w:tc>
          <w:tcPr>
            <w:tcW w:w="1216" w:type="dxa"/>
            <w:tcBorders>
              <w:top w:val="nil"/>
              <w:left w:val="nil"/>
              <w:bottom w:val="nil"/>
              <w:right w:val="nil"/>
            </w:tcBorders>
            <w:vAlign w:val="bottom"/>
          </w:tcPr>
          <w:p w:rsidR="00067612" w:rsidRDefault="00067612" w:rsidP="001F383B">
            <w:pPr>
              <w:keepNext/>
              <w:jc w:val="center"/>
              <w:rPr>
                <w:color w:val="000000"/>
                <w:sz w:val="20"/>
                <w:szCs w:val="20"/>
                <w:u w:val="single"/>
              </w:rPr>
            </w:pPr>
            <w:r>
              <w:rPr>
                <w:color w:val="000000"/>
                <w:sz w:val="20"/>
                <w:szCs w:val="20"/>
                <w:u w:val="single"/>
              </w:rPr>
              <w:t>(#) Exercisable</w:t>
            </w:r>
          </w:p>
        </w:tc>
        <w:tc>
          <w:tcPr>
            <w:tcW w:w="1360" w:type="dxa"/>
            <w:tcBorders>
              <w:top w:val="nil"/>
              <w:left w:val="nil"/>
              <w:bottom w:val="nil"/>
              <w:right w:val="nil"/>
            </w:tcBorders>
            <w:vAlign w:val="bottom"/>
          </w:tcPr>
          <w:p w:rsidR="00067612" w:rsidRDefault="00067612" w:rsidP="001F383B">
            <w:pPr>
              <w:keepNext/>
              <w:jc w:val="center"/>
              <w:rPr>
                <w:color w:val="000000"/>
                <w:sz w:val="20"/>
                <w:szCs w:val="20"/>
                <w:u w:val="single"/>
              </w:rPr>
            </w:pPr>
            <w:r>
              <w:rPr>
                <w:color w:val="000000"/>
                <w:sz w:val="20"/>
                <w:szCs w:val="20"/>
                <w:u w:val="single"/>
              </w:rPr>
              <w:t xml:space="preserve">(#) </w:t>
            </w:r>
            <w:proofErr w:type="spellStart"/>
            <w:r>
              <w:rPr>
                <w:color w:val="000000"/>
                <w:sz w:val="20"/>
                <w:szCs w:val="20"/>
                <w:u w:val="single"/>
              </w:rPr>
              <w:t>Unexercisable</w:t>
            </w:r>
            <w:proofErr w:type="spellEnd"/>
          </w:p>
        </w:tc>
        <w:tc>
          <w:tcPr>
            <w:tcW w:w="1216" w:type="dxa"/>
            <w:tcBorders>
              <w:top w:val="nil"/>
              <w:left w:val="nil"/>
              <w:bottom w:val="nil"/>
              <w:right w:val="nil"/>
            </w:tcBorders>
            <w:vAlign w:val="bottom"/>
          </w:tcPr>
          <w:p w:rsidR="00067612" w:rsidRDefault="00067612" w:rsidP="001F383B">
            <w:pPr>
              <w:keepNext/>
              <w:jc w:val="center"/>
              <w:rPr>
                <w:color w:val="000000"/>
                <w:sz w:val="20"/>
                <w:szCs w:val="20"/>
                <w:u w:val="single"/>
              </w:rPr>
            </w:pPr>
            <w:r>
              <w:rPr>
                <w:color w:val="000000"/>
                <w:sz w:val="20"/>
                <w:szCs w:val="20"/>
                <w:u w:val="single"/>
              </w:rPr>
              <w:t>(#)</w:t>
            </w:r>
          </w:p>
        </w:tc>
        <w:tc>
          <w:tcPr>
            <w:tcW w:w="905" w:type="dxa"/>
            <w:tcBorders>
              <w:top w:val="nil"/>
              <w:left w:val="nil"/>
              <w:bottom w:val="nil"/>
              <w:right w:val="nil"/>
            </w:tcBorders>
            <w:vAlign w:val="bottom"/>
          </w:tcPr>
          <w:p w:rsidR="00067612" w:rsidRDefault="00067612" w:rsidP="001F383B">
            <w:pPr>
              <w:keepNext/>
              <w:jc w:val="center"/>
              <w:rPr>
                <w:color w:val="000000"/>
                <w:sz w:val="20"/>
                <w:szCs w:val="20"/>
                <w:u w:val="single"/>
              </w:rPr>
            </w:pPr>
            <w:r>
              <w:rPr>
                <w:color w:val="000000"/>
                <w:sz w:val="20"/>
                <w:szCs w:val="20"/>
                <w:u w:val="single"/>
              </w:rPr>
              <w:t>($)</w:t>
            </w:r>
          </w:p>
        </w:tc>
        <w:tc>
          <w:tcPr>
            <w:tcW w:w="1067" w:type="dxa"/>
            <w:vMerge/>
            <w:tcBorders>
              <w:top w:val="nil"/>
              <w:left w:val="nil"/>
              <w:bottom w:val="nil"/>
              <w:right w:val="nil"/>
            </w:tcBorders>
            <w:vAlign w:val="center"/>
          </w:tcPr>
          <w:p w:rsidR="00067612" w:rsidRDefault="00067612" w:rsidP="001F383B">
            <w:pPr>
              <w:keepNext/>
              <w:rPr>
                <w:color w:val="000000"/>
                <w:sz w:val="20"/>
                <w:szCs w:val="20"/>
              </w:rPr>
            </w:pPr>
          </w:p>
        </w:tc>
        <w:tc>
          <w:tcPr>
            <w:tcW w:w="918" w:type="dxa"/>
            <w:tcBorders>
              <w:top w:val="nil"/>
              <w:left w:val="nil"/>
              <w:bottom w:val="nil"/>
              <w:right w:val="nil"/>
            </w:tcBorders>
          </w:tcPr>
          <w:p w:rsidR="00067612" w:rsidRDefault="00067612" w:rsidP="001F383B">
            <w:pPr>
              <w:keepNext/>
              <w:jc w:val="center"/>
              <w:rPr>
                <w:color w:val="000000"/>
                <w:sz w:val="20"/>
                <w:szCs w:val="20"/>
              </w:rPr>
            </w:pPr>
            <w:r>
              <w:rPr>
                <w:color w:val="000000"/>
                <w:sz w:val="20"/>
                <w:szCs w:val="20"/>
              </w:rPr>
              <w:t>(#)</w:t>
            </w:r>
          </w:p>
        </w:tc>
        <w:tc>
          <w:tcPr>
            <w:tcW w:w="1268" w:type="dxa"/>
            <w:tcBorders>
              <w:top w:val="nil"/>
              <w:left w:val="nil"/>
              <w:bottom w:val="nil"/>
              <w:right w:val="nil"/>
            </w:tcBorders>
          </w:tcPr>
          <w:p w:rsidR="00067612" w:rsidRDefault="00067612" w:rsidP="001F383B">
            <w:pPr>
              <w:keepNext/>
              <w:jc w:val="center"/>
              <w:rPr>
                <w:color w:val="000000"/>
                <w:sz w:val="20"/>
                <w:szCs w:val="20"/>
              </w:rPr>
            </w:pPr>
            <w:r>
              <w:rPr>
                <w:color w:val="000000"/>
                <w:sz w:val="20"/>
                <w:szCs w:val="20"/>
              </w:rPr>
              <w:t>($)</w:t>
            </w:r>
          </w:p>
        </w:tc>
        <w:tc>
          <w:tcPr>
            <w:tcW w:w="994" w:type="dxa"/>
            <w:tcBorders>
              <w:top w:val="nil"/>
              <w:left w:val="nil"/>
              <w:bottom w:val="nil"/>
              <w:right w:val="nil"/>
            </w:tcBorders>
          </w:tcPr>
          <w:p w:rsidR="00067612" w:rsidRDefault="00067612" w:rsidP="001F383B">
            <w:pPr>
              <w:keepNext/>
              <w:jc w:val="center"/>
              <w:rPr>
                <w:color w:val="000000"/>
                <w:sz w:val="20"/>
                <w:szCs w:val="20"/>
              </w:rPr>
            </w:pPr>
            <w:r>
              <w:rPr>
                <w:color w:val="000000"/>
                <w:sz w:val="20"/>
                <w:szCs w:val="20"/>
              </w:rPr>
              <w:t>(#)</w:t>
            </w:r>
          </w:p>
        </w:tc>
        <w:tc>
          <w:tcPr>
            <w:tcW w:w="1055" w:type="dxa"/>
            <w:tcBorders>
              <w:top w:val="nil"/>
              <w:left w:val="nil"/>
              <w:bottom w:val="nil"/>
              <w:right w:val="nil"/>
            </w:tcBorders>
          </w:tcPr>
          <w:p w:rsidR="00067612" w:rsidRDefault="00067612" w:rsidP="001F383B">
            <w:pPr>
              <w:keepNext/>
              <w:jc w:val="center"/>
              <w:rPr>
                <w:color w:val="000000"/>
                <w:sz w:val="20"/>
                <w:szCs w:val="20"/>
              </w:rPr>
            </w:pPr>
            <w:r>
              <w:rPr>
                <w:color w:val="000000"/>
                <w:sz w:val="20"/>
                <w:szCs w:val="20"/>
              </w:rPr>
              <w:t>($)</w:t>
            </w:r>
          </w:p>
        </w:tc>
      </w:tr>
      <w:tr w:rsidR="00067612" w:rsidTr="001F383B">
        <w:trPr>
          <w:trHeight w:hRule="exact" w:val="540"/>
          <w:jc w:val="center"/>
        </w:trPr>
        <w:tc>
          <w:tcPr>
            <w:tcW w:w="1350" w:type="dxa"/>
            <w:tcBorders>
              <w:top w:val="nil"/>
              <w:left w:val="nil"/>
              <w:right w:val="nil"/>
            </w:tcBorders>
          </w:tcPr>
          <w:p w:rsidR="00067612" w:rsidRDefault="00067612" w:rsidP="001F383B">
            <w:pPr>
              <w:keepNext/>
              <w:rPr>
                <w:color w:val="000000"/>
                <w:sz w:val="20"/>
                <w:szCs w:val="20"/>
              </w:rPr>
            </w:pPr>
            <w:r>
              <w:rPr>
                <w:color w:val="000000"/>
                <w:sz w:val="20"/>
                <w:szCs w:val="20"/>
              </w:rPr>
              <w:t>Karen T. van Lith</w:t>
            </w:r>
          </w:p>
        </w:tc>
        <w:tc>
          <w:tcPr>
            <w:tcW w:w="1216"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18,228</w:t>
            </w:r>
          </w:p>
        </w:tc>
        <w:tc>
          <w:tcPr>
            <w:tcW w:w="1360"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106,772</w:t>
            </w:r>
            <w:r>
              <w:rPr>
                <w:color w:val="000000"/>
                <w:sz w:val="20"/>
                <w:szCs w:val="20"/>
                <w:vertAlign w:val="superscript"/>
              </w:rPr>
              <w:t>(1)</w:t>
            </w:r>
          </w:p>
        </w:tc>
        <w:tc>
          <w:tcPr>
            <w:tcW w:w="1216"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w:t>
            </w:r>
          </w:p>
        </w:tc>
        <w:tc>
          <w:tcPr>
            <w:tcW w:w="905"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$4.92</w:t>
            </w:r>
          </w:p>
        </w:tc>
        <w:tc>
          <w:tcPr>
            <w:tcW w:w="1067"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6/13/2018</w:t>
            </w:r>
          </w:p>
        </w:tc>
        <w:tc>
          <w:tcPr>
            <w:tcW w:w="918"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37,500</w:t>
            </w:r>
            <w:r>
              <w:rPr>
                <w:color w:val="000000"/>
                <w:sz w:val="20"/>
                <w:szCs w:val="20"/>
                <w:vertAlign w:val="superscript"/>
              </w:rPr>
              <w:t>(2)</w:t>
            </w:r>
          </w:p>
        </w:tc>
        <w:tc>
          <w:tcPr>
            <w:tcW w:w="1268" w:type="dxa"/>
            <w:tcBorders>
              <w:top w:val="nil"/>
              <w:left w:val="nil"/>
              <w:bottom w:val="nil"/>
              <w:right w:val="nil"/>
            </w:tcBorders>
            <w:vAlign w:val="center"/>
          </w:tcPr>
          <w:p w:rsidR="00067612" w:rsidRDefault="00496CE8" w:rsidP="001F383B">
            <w:pPr>
              <w:keepNext/>
              <w:jc w:val="center"/>
              <w:rPr>
                <w:color w:val="000000"/>
                <w:sz w:val="20"/>
                <w:szCs w:val="20"/>
              </w:rPr>
            </w:pPr>
            <w:r>
              <w:rPr>
                <w:color w:val="000000"/>
                <w:sz w:val="20"/>
                <w:szCs w:val="20"/>
              </w:rPr>
              <w:t>$</w:t>
            </w:r>
            <w:r w:rsidR="00067612">
              <w:rPr>
                <w:color w:val="000000"/>
                <w:sz w:val="20"/>
                <w:szCs w:val="20"/>
              </w:rPr>
              <w:t>165,750</w:t>
            </w:r>
            <w:r w:rsidR="00067612">
              <w:rPr>
                <w:color w:val="000000"/>
                <w:sz w:val="20"/>
                <w:szCs w:val="20"/>
                <w:vertAlign w:val="superscript"/>
              </w:rPr>
              <w:t>(3)</w:t>
            </w:r>
          </w:p>
        </w:tc>
        <w:tc>
          <w:tcPr>
            <w:tcW w:w="994"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w:t>
            </w:r>
          </w:p>
        </w:tc>
        <w:tc>
          <w:tcPr>
            <w:tcW w:w="1055"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w:t>
            </w:r>
          </w:p>
        </w:tc>
      </w:tr>
      <w:tr w:rsidR="00067612" w:rsidTr="001F383B">
        <w:trPr>
          <w:trHeight w:hRule="exact" w:val="531"/>
          <w:jc w:val="center"/>
        </w:trPr>
        <w:tc>
          <w:tcPr>
            <w:tcW w:w="1350" w:type="dxa"/>
            <w:tcBorders>
              <w:top w:val="nil"/>
              <w:left w:val="nil"/>
              <w:right w:val="nil"/>
            </w:tcBorders>
          </w:tcPr>
          <w:p w:rsidR="00067612" w:rsidRDefault="00067612" w:rsidP="001F383B">
            <w:pPr>
              <w:keepNext/>
              <w:rPr>
                <w:color w:val="000000"/>
                <w:sz w:val="20"/>
                <w:szCs w:val="20"/>
              </w:rPr>
            </w:pPr>
            <w:r>
              <w:rPr>
                <w:color w:val="000000"/>
                <w:sz w:val="20"/>
                <w:szCs w:val="20"/>
              </w:rPr>
              <w:t>Jeffrey A. Koch</w:t>
            </w:r>
          </w:p>
        </w:tc>
        <w:tc>
          <w:tcPr>
            <w:tcW w:w="1216"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3,000</w:t>
            </w:r>
          </w:p>
        </w:tc>
        <w:tc>
          <w:tcPr>
            <w:tcW w:w="1360"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0</w:t>
            </w:r>
          </w:p>
        </w:tc>
        <w:tc>
          <w:tcPr>
            <w:tcW w:w="1216"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w:t>
            </w:r>
          </w:p>
        </w:tc>
        <w:tc>
          <w:tcPr>
            <w:tcW w:w="905"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$5.25</w:t>
            </w:r>
          </w:p>
        </w:tc>
        <w:tc>
          <w:tcPr>
            <w:tcW w:w="1067"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7/6/2015</w:t>
            </w:r>
          </w:p>
        </w:tc>
        <w:tc>
          <w:tcPr>
            <w:tcW w:w="918"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w:t>
            </w:r>
          </w:p>
        </w:tc>
        <w:tc>
          <w:tcPr>
            <w:tcW w:w="1268"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w:t>
            </w:r>
          </w:p>
        </w:tc>
        <w:tc>
          <w:tcPr>
            <w:tcW w:w="994"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w:t>
            </w:r>
          </w:p>
        </w:tc>
        <w:tc>
          <w:tcPr>
            <w:tcW w:w="1055"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w:t>
            </w:r>
          </w:p>
        </w:tc>
      </w:tr>
      <w:tr w:rsidR="00067612" w:rsidTr="001F383B">
        <w:trPr>
          <w:trHeight w:hRule="exact" w:val="360"/>
          <w:jc w:val="center"/>
        </w:trPr>
        <w:tc>
          <w:tcPr>
            <w:tcW w:w="1350" w:type="dxa"/>
            <w:vMerge w:val="restart"/>
            <w:tcBorders>
              <w:top w:val="nil"/>
              <w:left w:val="nil"/>
              <w:right w:val="nil"/>
            </w:tcBorders>
          </w:tcPr>
          <w:p w:rsidR="00067612" w:rsidRDefault="00067612" w:rsidP="001F383B">
            <w:pPr>
              <w:keepNext/>
              <w:rPr>
                <w:color w:val="000000"/>
                <w:sz w:val="20"/>
                <w:szCs w:val="20"/>
              </w:rPr>
            </w:pPr>
            <w:r>
              <w:rPr>
                <w:color w:val="000000"/>
                <w:sz w:val="20"/>
                <w:szCs w:val="20"/>
              </w:rPr>
              <w:t>Karen L. VanDerBosch</w:t>
            </w:r>
          </w:p>
        </w:tc>
        <w:tc>
          <w:tcPr>
            <w:tcW w:w="1216"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30,000</w:t>
            </w:r>
          </w:p>
        </w:tc>
        <w:tc>
          <w:tcPr>
            <w:tcW w:w="1360"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0</w:t>
            </w:r>
          </w:p>
        </w:tc>
        <w:tc>
          <w:tcPr>
            <w:tcW w:w="1216"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w:t>
            </w:r>
          </w:p>
        </w:tc>
        <w:tc>
          <w:tcPr>
            <w:tcW w:w="905"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 xml:space="preserve">$6.14 </w:t>
            </w:r>
          </w:p>
        </w:tc>
        <w:tc>
          <w:tcPr>
            <w:tcW w:w="1067"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12/7/2013</w:t>
            </w:r>
          </w:p>
        </w:tc>
        <w:tc>
          <w:tcPr>
            <w:tcW w:w="918"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1,112</w:t>
            </w:r>
            <w:r>
              <w:rPr>
                <w:color w:val="000000"/>
                <w:sz w:val="20"/>
                <w:szCs w:val="20"/>
                <w:vertAlign w:val="superscript"/>
              </w:rPr>
              <w:t>(4)</w:t>
            </w:r>
          </w:p>
        </w:tc>
        <w:tc>
          <w:tcPr>
            <w:tcW w:w="1268"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$4,915</w:t>
            </w:r>
            <w:r>
              <w:rPr>
                <w:color w:val="000000"/>
                <w:sz w:val="20"/>
                <w:szCs w:val="20"/>
                <w:vertAlign w:val="superscript"/>
              </w:rPr>
              <w:t>(3)</w:t>
            </w:r>
          </w:p>
        </w:tc>
        <w:tc>
          <w:tcPr>
            <w:tcW w:w="994"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w:t>
            </w:r>
          </w:p>
        </w:tc>
        <w:tc>
          <w:tcPr>
            <w:tcW w:w="1055"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w:t>
            </w:r>
          </w:p>
        </w:tc>
      </w:tr>
      <w:tr w:rsidR="00067612" w:rsidTr="001F383B">
        <w:trPr>
          <w:trHeight w:hRule="exact" w:val="360"/>
          <w:jc w:val="center"/>
        </w:trPr>
        <w:tc>
          <w:tcPr>
            <w:tcW w:w="1350" w:type="dxa"/>
            <w:vMerge/>
            <w:tcBorders>
              <w:left w:val="nil"/>
              <w:right w:val="nil"/>
            </w:tcBorders>
            <w:noWrap/>
            <w:vAlign w:val="bottom"/>
          </w:tcPr>
          <w:p w:rsidR="00067612" w:rsidRDefault="00067612" w:rsidP="001F383B">
            <w:pPr>
              <w:keepNext/>
              <w:ind w:firstLineChars="200" w:firstLine="400"/>
              <w:rPr>
                <w:color w:val="000000"/>
                <w:sz w:val="20"/>
                <w:szCs w:val="20"/>
                <w:highlight w:val="green"/>
              </w:rPr>
            </w:pPr>
          </w:p>
        </w:tc>
        <w:tc>
          <w:tcPr>
            <w:tcW w:w="1216"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20,000</w:t>
            </w:r>
          </w:p>
        </w:tc>
        <w:tc>
          <w:tcPr>
            <w:tcW w:w="1360"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0</w:t>
            </w:r>
          </w:p>
        </w:tc>
        <w:tc>
          <w:tcPr>
            <w:tcW w:w="1216"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w:t>
            </w:r>
          </w:p>
        </w:tc>
        <w:tc>
          <w:tcPr>
            <w:tcW w:w="905"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 xml:space="preserve">$10.15 </w:t>
            </w:r>
          </w:p>
        </w:tc>
        <w:tc>
          <w:tcPr>
            <w:tcW w:w="1067"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1/2/2015</w:t>
            </w:r>
          </w:p>
        </w:tc>
        <w:tc>
          <w:tcPr>
            <w:tcW w:w="918"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8,006</w:t>
            </w:r>
            <w:r>
              <w:rPr>
                <w:color w:val="000000"/>
                <w:sz w:val="20"/>
                <w:szCs w:val="20"/>
                <w:vertAlign w:val="superscript"/>
              </w:rPr>
              <w:t>(5)</w:t>
            </w:r>
          </w:p>
        </w:tc>
        <w:tc>
          <w:tcPr>
            <w:tcW w:w="1268"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$35,386</w:t>
            </w:r>
            <w:r>
              <w:rPr>
                <w:color w:val="000000"/>
                <w:sz w:val="20"/>
                <w:szCs w:val="20"/>
                <w:vertAlign w:val="superscript"/>
              </w:rPr>
              <w:t>(3)</w:t>
            </w:r>
          </w:p>
        </w:tc>
        <w:tc>
          <w:tcPr>
            <w:tcW w:w="994"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w:t>
            </w:r>
          </w:p>
        </w:tc>
        <w:tc>
          <w:tcPr>
            <w:tcW w:w="1055"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w:t>
            </w:r>
          </w:p>
        </w:tc>
      </w:tr>
      <w:tr w:rsidR="00067612" w:rsidTr="001F383B">
        <w:trPr>
          <w:trHeight w:hRule="exact" w:val="360"/>
          <w:jc w:val="center"/>
        </w:trPr>
        <w:tc>
          <w:tcPr>
            <w:tcW w:w="1350" w:type="dxa"/>
            <w:vMerge/>
            <w:tcBorders>
              <w:left w:val="nil"/>
              <w:right w:val="nil"/>
            </w:tcBorders>
          </w:tcPr>
          <w:p w:rsidR="00067612" w:rsidRDefault="00067612" w:rsidP="001F383B">
            <w:pPr>
              <w:keepNext/>
              <w:rPr>
                <w:color w:val="000000"/>
                <w:sz w:val="20"/>
                <w:szCs w:val="20"/>
                <w:highlight w:val="green"/>
              </w:rPr>
            </w:pPr>
          </w:p>
        </w:tc>
        <w:tc>
          <w:tcPr>
            <w:tcW w:w="1216"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11,232</w:t>
            </w:r>
          </w:p>
        </w:tc>
        <w:tc>
          <w:tcPr>
            <w:tcW w:w="1360"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3,768</w:t>
            </w:r>
            <w:r>
              <w:rPr>
                <w:color w:val="000000"/>
                <w:sz w:val="20"/>
                <w:szCs w:val="20"/>
                <w:vertAlign w:val="superscript"/>
              </w:rPr>
              <w:t>(6)</w:t>
            </w:r>
          </w:p>
        </w:tc>
        <w:tc>
          <w:tcPr>
            <w:tcW w:w="1216"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w:t>
            </w:r>
          </w:p>
        </w:tc>
        <w:tc>
          <w:tcPr>
            <w:tcW w:w="905"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 xml:space="preserve">$3.50 </w:t>
            </w:r>
          </w:p>
        </w:tc>
        <w:tc>
          <w:tcPr>
            <w:tcW w:w="1067"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1/7/2016</w:t>
            </w:r>
          </w:p>
        </w:tc>
        <w:tc>
          <w:tcPr>
            <w:tcW w:w="918"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3,240</w:t>
            </w:r>
            <w:r>
              <w:rPr>
                <w:color w:val="000000"/>
                <w:sz w:val="20"/>
                <w:szCs w:val="20"/>
                <w:vertAlign w:val="superscript"/>
              </w:rPr>
              <w:t>(7)</w:t>
            </w:r>
          </w:p>
        </w:tc>
        <w:tc>
          <w:tcPr>
            <w:tcW w:w="1268" w:type="dxa"/>
            <w:tcBorders>
              <w:top w:val="nil"/>
              <w:left w:val="nil"/>
              <w:bottom w:val="nil"/>
              <w:right w:val="nil"/>
            </w:tcBorders>
            <w:vAlign w:val="center"/>
          </w:tcPr>
          <w:p w:rsidR="00067612" w:rsidRDefault="00496CE8" w:rsidP="001F383B">
            <w:pPr>
              <w:keepNext/>
              <w:jc w:val="center"/>
              <w:rPr>
                <w:color w:val="000000"/>
                <w:sz w:val="20"/>
                <w:szCs w:val="20"/>
              </w:rPr>
            </w:pPr>
            <w:r>
              <w:rPr>
                <w:color w:val="000000"/>
                <w:sz w:val="20"/>
                <w:szCs w:val="20"/>
              </w:rPr>
              <w:t>$</w:t>
            </w:r>
            <w:r w:rsidR="00067612">
              <w:rPr>
                <w:color w:val="000000"/>
                <w:sz w:val="20"/>
                <w:szCs w:val="20"/>
              </w:rPr>
              <w:t>14,32</w:t>
            </w:r>
            <w:r>
              <w:rPr>
                <w:color w:val="000000"/>
                <w:sz w:val="20"/>
                <w:szCs w:val="20"/>
              </w:rPr>
              <w:t>1</w:t>
            </w:r>
            <w:r w:rsidR="00067612">
              <w:rPr>
                <w:color w:val="000000"/>
                <w:sz w:val="20"/>
                <w:szCs w:val="20"/>
                <w:vertAlign w:val="superscript"/>
              </w:rPr>
              <w:t>(3)</w:t>
            </w:r>
          </w:p>
        </w:tc>
        <w:tc>
          <w:tcPr>
            <w:tcW w:w="994"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w:t>
            </w:r>
          </w:p>
        </w:tc>
        <w:tc>
          <w:tcPr>
            <w:tcW w:w="1055"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w:t>
            </w:r>
          </w:p>
        </w:tc>
      </w:tr>
      <w:tr w:rsidR="00067612" w:rsidTr="001F383B">
        <w:trPr>
          <w:trHeight w:hRule="exact" w:val="360"/>
          <w:jc w:val="center"/>
        </w:trPr>
        <w:tc>
          <w:tcPr>
            <w:tcW w:w="1350" w:type="dxa"/>
            <w:vMerge/>
            <w:tcBorders>
              <w:left w:val="nil"/>
              <w:right w:val="nil"/>
            </w:tcBorders>
          </w:tcPr>
          <w:p w:rsidR="00067612" w:rsidRDefault="00067612" w:rsidP="001F383B">
            <w:pPr>
              <w:keepNext/>
              <w:rPr>
                <w:color w:val="000000"/>
                <w:sz w:val="20"/>
                <w:szCs w:val="20"/>
                <w:highlight w:val="green"/>
              </w:rPr>
            </w:pPr>
          </w:p>
        </w:tc>
        <w:tc>
          <w:tcPr>
            <w:tcW w:w="1216"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19,159</w:t>
            </w:r>
          </w:p>
        </w:tc>
        <w:tc>
          <w:tcPr>
            <w:tcW w:w="1360"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20,841</w:t>
            </w:r>
            <w:r>
              <w:rPr>
                <w:color w:val="000000"/>
                <w:sz w:val="20"/>
                <w:szCs w:val="20"/>
                <w:vertAlign w:val="superscript"/>
              </w:rPr>
              <w:t>(8)</w:t>
            </w:r>
          </w:p>
        </w:tc>
        <w:tc>
          <w:tcPr>
            <w:tcW w:w="1216"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w:t>
            </w:r>
          </w:p>
        </w:tc>
        <w:tc>
          <w:tcPr>
            <w:tcW w:w="905"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 xml:space="preserve">$4.56   </w:t>
            </w:r>
          </w:p>
        </w:tc>
        <w:tc>
          <w:tcPr>
            <w:tcW w:w="1067" w:type="dxa"/>
            <w:tcBorders>
              <w:top w:val="nil"/>
              <w:left w:val="nil"/>
              <w:bottom w:val="nil"/>
              <w:right w:val="nil"/>
            </w:tcBorders>
            <w:vAlign w:val="center"/>
          </w:tcPr>
          <w:p w:rsidR="00067612" w:rsidRDefault="00067612" w:rsidP="001F383B">
            <w:pPr>
              <w:keepNext/>
              <w:jc w:val="center"/>
              <w:rPr>
                <w:color w:val="000000"/>
                <w:sz w:val="20"/>
                <w:szCs w:val="20"/>
                <w:highlight w:val="yellow"/>
              </w:rPr>
            </w:pPr>
            <w:r>
              <w:rPr>
                <w:color w:val="000000"/>
                <w:sz w:val="20"/>
                <w:szCs w:val="20"/>
              </w:rPr>
              <w:t>1/31/2017</w:t>
            </w:r>
          </w:p>
        </w:tc>
        <w:tc>
          <w:tcPr>
            <w:tcW w:w="918"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w:t>
            </w:r>
          </w:p>
        </w:tc>
        <w:tc>
          <w:tcPr>
            <w:tcW w:w="1268"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w:t>
            </w:r>
          </w:p>
        </w:tc>
        <w:tc>
          <w:tcPr>
            <w:tcW w:w="994"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w:t>
            </w:r>
          </w:p>
        </w:tc>
        <w:tc>
          <w:tcPr>
            <w:tcW w:w="1055"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w:t>
            </w:r>
          </w:p>
        </w:tc>
      </w:tr>
      <w:tr w:rsidR="00067612" w:rsidTr="001F383B">
        <w:trPr>
          <w:trHeight w:hRule="exact" w:val="360"/>
          <w:jc w:val="center"/>
        </w:trPr>
        <w:tc>
          <w:tcPr>
            <w:tcW w:w="1350" w:type="dxa"/>
            <w:vMerge/>
            <w:tcBorders>
              <w:left w:val="nil"/>
              <w:right w:val="nil"/>
            </w:tcBorders>
          </w:tcPr>
          <w:p w:rsidR="00067612" w:rsidRDefault="00067612" w:rsidP="001F383B">
            <w:pPr>
              <w:keepNext/>
              <w:rPr>
                <w:color w:val="000000"/>
                <w:sz w:val="20"/>
                <w:szCs w:val="20"/>
                <w:highlight w:val="green"/>
              </w:rPr>
            </w:pPr>
          </w:p>
        </w:tc>
        <w:tc>
          <w:tcPr>
            <w:tcW w:w="1216"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7,280</w:t>
            </w:r>
          </w:p>
        </w:tc>
        <w:tc>
          <w:tcPr>
            <w:tcW w:w="1360"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17,720</w:t>
            </w:r>
            <w:r>
              <w:rPr>
                <w:color w:val="000000"/>
                <w:sz w:val="20"/>
                <w:szCs w:val="20"/>
                <w:vertAlign w:val="superscript"/>
              </w:rPr>
              <w:t>(9)</w:t>
            </w:r>
          </w:p>
        </w:tc>
        <w:tc>
          <w:tcPr>
            <w:tcW w:w="1216"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w:t>
            </w:r>
          </w:p>
        </w:tc>
        <w:tc>
          <w:tcPr>
            <w:tcW w:w="905"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$5.00</w:t>
            </w:r>
          </w:p>
        </w:tc>
        <w:tc>
          <w:tcPr>
            <w:tcW w:w="1067"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1</w:t>
            </w:r>
            <w:r w:rsidR="00332CC0">
              <w:rPr>
                <w:color w:val="000000"/>
                <w:sz w:val="20"/>
                <w:szCs w:val="20"/>
              </w:rPr>
              <w:t>1</w:t>
            </w:r>
            <w:r>
              <w:rPr>
                <w:color w:val="000000"/>
                <w:sz w:val="20"/>
                <w:szCs w:val="20"/>
              </w:rPr>
              <w:t>/29/2017</w:t>
            </w:r>
          </w:p>
        </w:tc>
        <w:tc>
          <w:tcPr>
            <w:tcW w:w="918"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w:t>
            </w:r>
          </w:p>
        </w:tc>
        <w:tc>
          <w:tcPr>
            <w:tcW w:w="1268"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w:t>
            </w:r>
          </w:p>
        </w:tc>
        <w:tc>
          <w:tcPr>
            <w:tcW w:w="994"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w:t>
            </w:r>
          </w:p>
        </w:tc>
        <w:tc>
          <w:tcPr>
            <w:tcW w:w="1055"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w:t>
            </w:r>
          </w:p>
        </w:tc>
      </w:tr>
      <w:tr w:rsidR="00067612" w:rsidTr="001F383B">
        <w:trPr>
          <w:trHeight w:hRule="exact" w:val="630"/>
          <w:jc w:val="center"/>
        </w:trPr>
        <w:tc>
          <w:tcPr>
            <w:tcW w:w="1350" w:type="dxa"/>
            <w:tcBorders>
              <w:left w:val="nil"/>
              <w:right w:val="nil"/>
            </w:tcBorders>
          </w:tcPr>
          <w:p w:rsidR="00067612" w:rsidRDefault="00067612" w:rsidP="001F383B">
            <w:pPr>
              <w:keepNext/>
              <w:rPr>
                <w:color w:val="000000"/>
                <w:sz w:val="20"/>
                <w:szCs w:val="20"/>
              </w:rPr>
            </w:pPr>
            <w:r>
              <w:rPr>
                <w:color w:val="000000"/>
                <w:sz w:val="20"/>
                <w:szCs w:val="20"/>
              </w:rPr>
              <w:t>Paul D. Carlson</w:t>
            </w:r>
          </w:p>
        </w:tc>
        <w:tc>
          <w:tcPr>
            <w:tcW w:w="1216"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2,080</w:t>
            </w:r>
          </w:p>
        </w:tc>
        <w:tc>
          <w:tcPr>
            <w:tcW w:w="1360"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20,320</w:t>
            </w:r>
            <w:r>
              <w:rPr>
                <w:color w:val="000000"/>
                <w:sz w:val="20"/>
                <w:szCs w:val="20"/>
                <w:vertAlign w:val="superscript"/>
              </w:rPr>
              <w:t>(10)</w:t>
            </w:r>
          </w:p>
        </w:tc>
        <w:tc>
          <w:tcPr>
            <w:tcW w:w="1216"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w:t>
            </w:r>
          </w:p>
        </w:tc>
        <w:tc>
          <w:tcPr>
            <w:tcW w:w="905"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$4.93</w:t>
            </w:r>
          </w:p>
        </w:tc>
        <w:tc>
          <w:tcPr>
            <w:tcW w:w="1067" w:type="dxa"/>
            <w:tcBorders>
              <w:top w:val="nil"/>
              <w:left w:val="nil"/>
              <w:bottom w:val="nil"/>
              <w:right w:val="nil"/>
            </w:tcBorders>
            <w:vAlign w:val="center"/>
          </w:tcPr>
          <w:p w:rsidR="00067612" w:rsidRDefault="00067612" w:rsidP="00332CC0">
            <w:pPr>
              <w:keepNext/>
              <w:jc w:val="center"/>
              <w:rPr>
                <w:color w:val="000000"/>
                <w:sz w:val="20"/>
                <w:szCs w:val="20"/>
              </w:rPr>
            </w:pPr>
            <w:r>
              <w:rPr>
                <w:color w:val="000000"/>
                <w:sz w:val="20"/>
                <w:szCs w:val="20"/>
              </w:rPr>
              <w:t>8/8/</w:t>
            </w:r>
            <w:r w:rsidR="00332CC0">
              <w:rPr>
                <w:color w:val="000000"/>
                <w:sz w:val="20"/>
                <w:szCs w:val="20"/>
              </w:rPr>
              <w:t>2018</w:t>
            </w:r>
          </w:p>
        </w:tc>
        <w:tc>
          <w:tcPr>
            <w:tcW w:w="918"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w:t>
            </w:r>
          </w:p>
        </w:tc>
        <w:tc>
          <w:tcPr>
            <w:tcW w:w="1268"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w:t>
            </w:r>
          </w:p>
        </w:tc>
        <w:tc>
          <w:tcPr>
            <w:tcW w:w="994"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w:t>
            </w:r>
          </w:p>
        </w:tc>
        <w:tc>
          <w:tcPr>
            <w:tcW w:w="1055" w:type="dxa"/>
            <w:tcBorders>
              <w:top w:val="nil"/>
              <w:left w:val="nil"/>
              <w:bottom w:val="nil"/>
              <w:right w:val="nil"/>
            </w:tcBorders>
            <w:vAlign w:val="center"/>
          </w:tcPr>
          <w:p w:rsidR="00067612" w:rsidRDefault="00067612" w:rsidP="001F383B">
            <w:pPr>
              <w:keepNext/>
              <w:jc w:val="center"/>
              <w:rPr>
                <w:color w:val="000000"/>
                <w:sz w:val="20"/>
                <w:szCs w:val="20"/>
              </w:rPr>
            </w:pPr>
            <w:r>
              <w:rPr>
                <w:color w:val="000000"/>
                <w:sz w:val="20"/>
                <w:szCs w:val="20"/>
              </w:rPr>
              <w:t>-</w:t>
            </w:r>
          </w:p>
        </w:tc>
      </w:tr>
    </w:tbl>
    <w:p w:rsidR="00067612" w:rsidRDefault="00067612" w:rsidP="00067612">
      <w:pPr>
        <w:pStyle w:val="NormalWeb"/>
        <w:spacing w:before="0" w:beforeAutospacing="0" w:after="0" w:afterAutospacing="0"/>
        <w:ind w:left="720" w:hanging="720"/>
        <w:rPr>
          <w:sz w:val="20"/>
          <w:szCs w:val="20"/>
          <w:u w:val="single"/>
        </w:rPr>
      </w:pPr>
    </w:p>
    <w:p w:rsidR="00067612" w:rsidRDefault="00067612" w:rsidP="00067612">
      <w:pPr>
        <w:pStyle w:val="NormalWeb"/>
        <w:spacing w:before="0" w:beforeAutospacing="0" w:after="0" w:afterAutospacing="0"/>
        <w:ind w:left="720" w:hanging="720"/>
        <w:rPr>
          <w:sz w:val="20"/>
          <w:szCs w:val="20"/>
          <w:u w:val="single"/>
        </w:rPr>
      </w:pPr>
      <w:r>
        <w:rPr>
          <w:sz w:val="20"/>
          <w:szCs w:val="20"/>
          <w:u w:val="single"/>
        </w:rPr>
        <w:tab/>
      </w:r>
      <w:r>
        <w:rPr>
          <w:sz w:val="20"/>
          <w:szCs w:val="20"/>
          <w:u w:val="single"/>
        </w:rPr>
        <w:tab/>
      </w:r>
      <w:r>
        <w:rPr>
          <w:sz w:val="20"/>
          <w:szCs w:val="20"/>
          <w:u w:val="single"/>
        </w:rPr>
        <w:tab/>
      </w:r>
    </w:p>
    <w:p w:rsidR="00067612" w:rsidRDefault="00067612" w:rsidP="00067612">
      <w:pPr>
        <w:pStyle w:val="BodyText"/>
        <w:tabs>
          <w:tab w:val="clear" w:pos="-720"/>
        </w:tabs>
        <w:ind w:left="720" w:hanging="720"/>
        <w:rPr>
          <w:rFonts w:ascii="Times New Roman" w:hAnsi="Times New Roman" w:cs="Times New Roman"/>
          <w:sz w:val="20"/>
          <w:szCs w:val="20"/>
        </w:rPr>
      </w:pPr>
      <w:r>
        <w:rPr>
          <w:rFonts w:ascii="Times New Roman" w:hAnsi="Times New Roman" w:cs="Times New Roman"/>
          <w:sz w:val="20"/>
          <w:szCs w:val="20"/>
          <w:vertAlign w:val="superscript"/>
        </w:rPr>
        <w:t>(1)</w:t>
      </w:r>
      <w:r>
        <w:rPr>
          <w:rFonts w:ascii="Times New Roman" w:hAnsi="Times New Roman" w:cs="Times New Roman"/>
          <w:sz w:val="20"/>
          <w:szCs w:val="20"/>
        </w:rPr>
        <w:tab/>
        <w:t xml:space="preserve">Monthly vesting 2,604 options at the end of each month through April 30, 2015, then 2,612 shares on May </w:t>
      </w:r>
      <w:r w:rsidR="00786C20">
        <w:rPr>
          <w:rFonts w:ascii="Times New Roman" w:hAnsi="Times New Roman" w:cs="Times New Roman"/>
          <w:sz w:val="20"/>
          <w:szCs w:val="20"/>
        </w:rPr>
        <w:t>3</w:t>
      </w:r>
      <w:r>
        <w:rPr>
          <w:rFonts w:ascii="Times New Roman" w:hAnsi="Times New Roman" w:cs="Times New Roman"/>
          <w:sz w:val="20"/>
          <w:szCs w:val="20"/>
        </w:rPr>
        <w:t>1, 2015.</w:t>
      </w:r>
    </w:p>
    <w:p w:rsidR="00067612" w:rsidRDefault="00067612" w:rsidP="00067612">
      <w:pPr>
        <w:pStyle w:val="BodyText"/>
        <w:tabs>
          <w:tab w:val="clear" w:pos="-720"/>
        </w:tabs>
        <w:ind w:left="720" w:hanging="720"/>
        <w:rPr>
          <w:rFonts w:ascii="Times New Roman" w:hAnsi="Times New Roman" w:cs="Times New Roman"/>
          <w:sz w:val="20"/>
          <w:szCs w:val="20"/>
        </w:rPr>
      </w:pPr>
    </w:p>
    <w:p w:rsidR="00067612" w:rsidRDefault="00067612" w:rsidP="00067612">
      <w:pPr>
        <w:pStyle w:val="BodyText"/>
        <w:tabs>
          <w:tab w:val="clear" w:pos="-720"/>
        </w:tabs>
        <w:ind w:left="720" w:hanging="720"/>
        <w:rPr>
          <w:rFonts w:ascii="Times New Roman" w:hAnsi="Times New Roman" w:cs="Times New Roman"/>
          <w:sz w:val="20"/>
          <w:szCs w:val="20"/>
          <w:vertAlign w:val="superscript"/>
        </w:rPr>
      </w:pPr>
      <w:r>
        <w:rPr>
          <w:rFonts w:ascii="Times New Roman" w:hAnsi="Times New Roman" w:cs="Times New Roman"/>
          <w:sz w:val="20"/>
          <w:szCs w:val="20"/>
          <w:vertAlign w:val="superscript"/>
        </w:rPr>
        <w:t>(2)</w:t>
      </w:r>
      <w:r>
        <w:rPr>
          <w:rFonts w:ascii="Times New Roman" w:hAnsi="Times New Roman" w:cs="Times New Roman"/>
          <w:sz w:val="20"/>
          <w:szCs w:val="20"/>
        </w:rPr>
        <w:tab/>
        <w:t xml:space="preserve">Ms. van Lith was awarded 50,000 shares of restricted stock upon being hired as our Chief Executive Officer on June 13, 2011.  </w:t>
      </w:r>
      <w:proofErr w:type="gramStart"/>
      <w:r>
        <w:rPr>
          <w:rFonts w:ascii="Times New Roman" w:hAnsi="Times New Roman" w:cs="Times New Roman"/>
          <w:sz w:val="20"/>
          <w:szCs w:val="20"/>
        </w:rPr>
        <w:t xml:space="preserve">The risk of forfeiture for such shares of restricted stock lapse as to 25% of the award at the end of each of the 2011 through 2014 fiscal years if Ms. van Lith is then employed by </w:t>
      </w:r>
      <w:proofErr w:type="spellStart"/>
      <w:r>
        <w:rPr>
          <w:rFonts w:ascii="Times New Roman" w:hAnsi="Times New Roman" w:cs="Times New Roman"/>
          <w:sz w:val="20"/>
          <w:szCs w:val="20"/>
        </w:rPr>
        <w:t>MakeMusic</w:t>
      </w:r>
      <w:proofErr w:type="spellEnd"/>
      <w:r>
        <w:rPr>
          <w:rFonts w:ascii="Times New Roman" w:hAnsi="Times New Roman" w:cs="Times New Roman"/>
          <w:sz w:val="20"/>
          <w:szCs w:val="20"/>
        </w:rPr>
        <w:t>.</w:t>
      </w:r>
      <w:proofErr w:type="gramEnd"/>
    </w:p>
    <w:p w:rsidR="00067612" w:rsidRDefault="00067612" w:rsidP="00067612">
      <w:pPr>
        <w:pStyle w:val="BodyText"/>
        <w:tabs>
          <w:tab w:val="clear" w:pos="-720"/>
        </w:tabs>
        <w:ind w:left="720" w:hanging="720"/>
        <w:rPr>
          <w:rFonts w:ascii="Times New Roman" w:hAnsi="Times New Roman" w:cs="Times New Roman"/>
          <w:sz w:val="20"/>
          <w:szCs w:val="20"/>
          <w:vertAlign w:val="superscript"/>
        </w:rPr>
      </w:pPr>
    </w:p>
    <w:p w:rsidR="00067612" w:rsidRDefault="00067612" w:rsidP="00067612">
      <w:pPr>
        <w:pStyle w:val="BodyText"/>
        <w:tabs>
          <w:tab w:val="clear" w:pos="-720"/>
        </w:tabs>
        <w:ind w:left="720" w:hanging="720"/>
        <w:rPr>
          <w:rFonts w:ascii="Times New Roman" w:hAnsi="Times New Roman" w:cs="Times New Roman"/>
          <w:sz w:val="20"/>
          <w:szCs w:val="20"/>
        </w:rPr>
      </w:pPr>
      <w:r>
        <w:rPr>
          <w:rFonts w:ascii="Times New Roman" w:hAnsi="Times New Roman" w:cs="Times New Roman"/>
          <w:sz w:val="20"/>
          <w:szCs w:val="20"/>
          <w:vertAlign w:val="superscript"/>
        </w:rPr>
        <w:t>(3)</w:t>
      </w:r>
      <w:r>
        <w:rPr>
          <w:rFonts w:ascii="Times New Roman" w:hAnsi="Times New Roman" w:cs="Times New Roman"/>
          <w:sz w:val="20"/>
          <w:szCs w:val="20"/>
        </w:rPr>
        <w:tab/>
      </w:r>
      <w:r>
        <w:rPr>
          <w:rFonts w:ascii="Times New Roman" w:hAnsi="Times New Roman" w:cs="Times New Roman"/>
          <w:bCs/>
          <w:sz w:val="20"/>
          <w:szCs w:val="20"/>
        </w:rPr>
        <w:t>The amounts reflect the value based on the closing price of our common stock of $4.42 on December 30, 2011, the last trading day of the fiscal year.</w:t>
      </w:r>
    </w:p>
    <w:p w:rsidR="00067612" w:rsidRDefault="00067612" w:rsidP="00067612">
      <w:pPr>
        <w:pStyle w:val="BodyText"/>
        <w:tabs>
          <w:tab w:val="clear" w:pos="-720"/>
        </w:tabs>
        <w:ind w:left="720" w:hanging="720"/>
        <w:rPr>
          <w:rFonts w:ascii="Times New Roman" w:hAnsi="Times New Roman" w:cs="Times New Roman"/>
          <w:sz w:val="20"/>
          <w:szCs w:val="20"/>
        </w:rPr>
      </w:pPr>
    </w:p>
    <w:p w:rsidR="00067612" w:rsidRDefault="00067612" w:rsidP="00067612">
      <w:pPr>
        <w:pStyle w:val="BodyText"/>
        <w:tabs>
          <w:tab w:val="clear" w:pos="-720"/>
        </w:tabs>
        <w:ind w:left="720" w:hanging="720"/>
        <w:rPr>
          <w:rFonts w:ascii="Times New Roman" w:hAnsi="Times New Roman" w:cs="Times New Roman"/>
          <w:sz w:val="20"/>
          <w:szCs w:val="20"/>
        </w:rPr>
      </w:pPr>
      <w:r>
        <w:rPr>
          <w:rFonts w:ascii="Times New Roman" w:hAnsi="Times New Roman" w:cs="Times New Roman"/>
          <w:sz w:val="20"/>
          <w:szCs w:val="20"/>
          <w:vertAlign w:val="superscript"/>
        </w:rPr>
        <w:t>(4)</w:t>
      </w:r>
      <w:r>
        <w:rPr>
          <w:rFonts w:ascii="Times New Roman" w:hAnsi="Times New Roman" w:cs="Times New Roman"/>
          <w:sz w:val="20"/>
          <w:szCs w:val="20"/>
          <w:vertAlign w:val="superscript"/>
        </w:rPr>
        <w:tab/>
      </w:r>
      <w:r>
        <w:rPr>
          <w:rFonts w:ascii="Times New Roman" w:hAnsi="Times New Roman" w:cs="Times New Roman"/>
          <w:bCs/>
          <w:sz w:val="20"/>
          <w:szCs w:val="20"/>
        </w:rPr>
        <w:t xml:space="preserve">On March 2, 2009, Ms. VanDerBosch was awarded 4,448 shares of restricted stock under the 2008 Executive Compensation Plan for exceeding the target level of operating margins for the 2008 fiscal year. The risks of forfeiture lapse as to 25% of the award each year beginning on March 2, 2009, and ending on March 2, 2012, provided that Ms. VanDerBosch does not voluntarily terminate her employment without good reason and is not terminated for cause. </w:t>
      </w:r>
    </w:p>
    <w:p w:rsidR="00067612" w:rsidRDefault="00067612" w:rsidP="00067612">
      <w:pPr>
        <w:pStyle w:val="BodyText"/>
        <w:tabs>
          <w:tab w:val="clear" w:pos="-720"/>
        </w:tabs>
        <w:ind w:left="720" w:hanging="720"/>
        <w:rPr>
          <w:rFonts w:ascii="Times New Roman" w:hAnsi="Times New Roman" w:cs="Times New Roman"/>
          <w:sz w:val="20"/>
          <w:szCs w:val="20"/>
        </w:rPr>
      </w:pPr>
    </w:p>
    <w:p w:rsidR="00067612" w:rsidRDefault="00067612" w:rsidP="00067612">
      <w:pPr>
        <w:pStyle w:val="BodyText"/>
        <w:tabs>
          <w:tab w:val="clear" w:pos="-720"/>
        </w:tabs>
        <w:ind w:left="720" w:hanging="720"/>
        <w:rPr>
          <w:rFonts w:ascii="Times New Roman" w:hAnsi="Times New Roman" w:cs="Times New Roman"/>
          <w:sz w:val="20"/>
          <w:szCs w:val="20"/>
        </w:rPr>
      </w:pPr>
      <w:r>
        <w:rPr>
          <w:rFonts w:ascii="Times New Roman" w:hAnsi="Times New Roman" w:cs="Times New Roman"/>
          <w:sz w:val="20"/>
          <w:szCs w:val="20"/>
          <w:vertAlign w:val="superscript"/>
        </w:rPr>
        <w:t>(5)</w:t>
      </w:r>
      <w:r>
        <w:rPr>
          <w:rFonts w:ascii="Times New Roman" w:hAnsi="Times New Roman" w:cs="Times New Roman"/>
          <w:sz w:val="20"/>
          <w:szCs w:val="20"/>
        </w:rPr>
        <w:tab/>
      </w:r>
      <w:r>
        <w:rPr>
          <w:rFonts w:ascii="Times New Roman" w:hAnsi="Times New Roman" w:cs="Times New Roman"/>
          <w:bCs/>
          <w:sz w:val="20"/>
          <w:szCs w:val="20"/>
        </w:rPr>
        <w:t>On March 15, 2010, Ms. VanDerBosch was awarded 16,012 shares of restricted stock under the Executive Plan for exceeding the target level of operating margins for the 2009 fiscal year. The risks of forfeiture lapse as to 25% of the award each year beginning on March 15, 2010, and ending on March 15, 2013, provided that Ms. VanDerBosch does not voluntarily terminate her employment without good reason and is not terminated for cause.</w:t>
      </w:r>
    </w:p>
    <w:p w:rsidR="00067612" w:rsidRDefault="00067612" w:rsidP="00067612">
      <w:pPr>
        <w:pStyle w:val="BodyText"/>
        <w:tabs>
          <w:tab w:val="clear" w:pos="-720"/>
        </w:tabs>
        <w:ind w:left="720" w:hanging="720"/>
        <w:rPr>
          <w:rFonts w:ascii="Times New Roman" w:hAnsi="Times New Roman" w:cs="Times New Roman"/>
          <w:sz w:val="20"/>
          <w:szCs w:val="20"/>
        </w:rPr>
      </w:pPr>
    </w:p>
    <w:p w:rsidR="00067612" w:rsidRDefault="00067612" w:rsidP="00067612">
      <w:pPr>
        <w:pStyle w:val="BodyText"/>
        <w:tabs>
          <w:tab w:val="clear" w:pos="-720"/>
        </w:tabs>
        <w:ind w:left="720" w:hanging="720"/>
        <w:rPr>
          <w:rFonts w:ascii="Times New Roman" w:hAnsi="Times New Roman" w:cs="Times New Roman"/>
          <w:sz w:val="20"/>
          <w:szCs w:val="20"/>
        </w:rPr>
      </w:pPr>
      <w:r>
        <w:rPr>
          <w:rFonts w:ascii="Times New Roman" w:hAnsi="Times New Roman" w:cs="Times New Roman"/>
          <w:sz w:val="20"/>
          <w:szCs w:val="20"/>
          <w:vertAlign w:val="superscript"/>
        </w:rPr>
        <w:t>(6)</w:t>
      </w:r>
      <w:r>
        <w:rPr>
          <w:rFonts w:ascii="Times New Roman" w:hAnsi="Times New Roman" w:cs="Times New Roman"/>
          <w:sz w:val="20"/>
          <w:szCs w:val="20"/>
          <w:vertAlign w:val="superscript"/>
        </w:rPr>
        <w:tab/>
      </w:r>
      <w:r>
        <w:rPr>
          <w:rFonts w:ascii="Times New Roman" w:hAnsi="Times New Roman" w:cs="Times New Roman"/>
          <w:sz w:val="20"/>
          <w:szCs w:val="20"/>
        </w:rPr>
        <w:t>Monthly vesting 312 options on the last day of each month through November 30, 2013 and 336 shares on December 31, 2013.</w:t>
      </w:r>
    </w:p>
    <w:p w:rsidR="00067612" w:rsidRDefault="00067612" w:rsidP="00067612">
      <w:pPr>
        <w:pStyle w:val="BodyText"/>
        <w:tabs>
          <w:tab w:val="clear" w:pos="-720"/>
        </w:tabs>
        <w:ind w:left="720" w:hanging="720"/>
        <w:rPr>
          <w:rFonts w:ascii="Times New Roman" w:hAnsi="Times New Roman" w:cs="Times New Roman"/>
          <w:sz w:val="20"/>
          <w:szCs w:val="20"/>
        </w:rPr>
      </w:pPr>
    </w:p>
    <w:p w:rsidR="00067612" w:rsidRDefault="00067612" w:rsidP="00067612">
      <w:pPr>
        <w:pStyle w:val="BodyText"/>
        <w:tabs>
          <w:tab w:val="clear" w:pos="-720"/>
        </w:tabs>
        <w:ind w:left="720" w:hanging="720"/>
        <w:rPr>
          <w:rFonts w:ascii="Times New Roman" w:hAnsi="Times New Roman" w:cs="Times New Roman"/>
          <w:sz w:val="20"/>
          <w:szCs w:val="20"/>
        </w:rPr>
      </w:pPr>
      <w:r>
        <w:rPr>
          <w:rFonts w:ascii="Times New Roman" w:hAnsi="Times New Roman" w:cs="Times New Roman"/>
          <w:sz w:val="20"/>
          <w:szCs w:val="20"/>
          <w:vertAlign w:val="superscript"/>
        </w:rPr>
        <w:t>(7)</w:t>
      </w:r>
      <w:r>
        <w:rPr>
          <w:rFonts w:ascii="Times New Roman" w:hAnsi="Times New Roman" w:cs="Times New Roman"/>
          <w:sz w:val="20"/>
          <w:szCs w:val="20"/>
        </w:rPr>
        <w:tab/>
      </w:r>
      <w:r>
        <w:rPr>
          <w:rFonts w:ascii="Times New Roman" w:hAnsi="Times New Roman" w:cs="Times New Roman"/>
          <w:bCs/>
          <w:sz w:val="20"/>
          <w:szCs w:val="20"/>
        </w:rPr>
        <w:t>On March 15, 2011, Ms. VanDerBosch was awarded 4,320 shares of restricted stock under the Executive Plan for exceeding the target level of operating margins for the 2010 fiscal year. The risks of forfeiture lapse as to 25% of the award each year beginning on March 15, 2011, and ending on March 15, 2014, provided that Ms. VanDerBosch does not voluntarily terminate her employment without good reason and is not terminated for cause.</w:t>
      </w:r>
    </w:p>
    <w:p w:rsidR="00067612" w:rsidRDefault="00067612" w:rsidP="00067612">
      <w:pPr>
        <w:pStyle w:val="BodyText"/>
        <w:tabs>
          <w:tab w:val="clear" w:pos="-720"/>
        </w:tabs>
        <w:ind w:left="720" w:hanging="720"/>
        <w:rPr>
          <w:rFonts w:ascii="Times New Roman" w:hAnsi="Times New Roman" w:cs="Times New Roman"/>
          <w:sz w:val="20"/>
          <w:szCs w:val="20"/>
        </w:rPr>
      </w:pPr>
    </w:p>
    <w:p w:rsidR="00067612" w:rsidRDefault="00067612" w:rsidP="00067612">
      <w:pPr>
        <w:pStyle w:val="BodyText"/>
        <w:tabs>
          <w:tab w:val="clear" w:pos="-720"/>
        </w:tabs>
        <w:ind w:left="720" w:hanging="720"/>
        <w:rPr>
          <w:rFonts w:ascii="Times New Roman" w:hAnsi="Times New Roman" w:cs="Times New Roman"/>
          <w:sz w:val="20"/>
          <w:szCs w:val="20"/>
        </w:rPr>
      </w:pPr>
      <w:r>
        <w:rPr>
          <w:rFonts w:ascii="Times New Roman" w:hAnsi="Times New Roman" w:cs="Times New Roman"/>
          <w:sz w:val="20"/>
          <w:szCs w:val="20"/>
          <w:vertAlign w:val="superscript"/>
        </w:rPr>
        <w:t>(8)</w:t>
      </w:r>
      <w:r>
        <w:rPr>
          <w:rFonts w:ascii="Times New Roman" w:hAnsi="Times New Roman" w:cs="Times New Roman"/>
          <w:sz w:val="20"/>
          <w:szCs w:val="20"/>
        </w:rPr>
        <w:tab/>
        <w:t>Monthly vesting 833 options on the last day of each month through December 31, 2013 and 849 shares on January 31, 2014.</w:t>
      </w:r>
    </w:p>
    <w:p w:rsidR="00067612" w:rsidRDefault="00067612" w:rsidP="00067612">
      <w:pPr>
        <w:pStyle w:val="BodyText"/>
        <w:tabs>
          <w:tab w:val="clear" w:pos="-720"/>
        </w:tabs>
        <w:ind w:left="720" w:hanging="720"/>
        <w:rPr>
          <w:rFonts w:ascii="Times New Roman" w:hAnsi="Times New Roman" w:cs="Times New Roman"/>
          <w:sz w:val="20"/>
          <w:szCs w:val="20"/>
        </w:rPr>
      </w:pPr>
    </w:p>
    <w:p w:rsidR="00067612" w:rsidRDefault="00067612" w:rsidP="00067612">
      <w:pPr>
        <w:pStyle w:val="BodyText"/>
        <w:tabs>
          <w:tab w:val="clear" w:pos="-720"/>
        </w:tabs>
        <w:ind w:left="720" w:hanging="720"/>
        <w:rPr>
          <w:rFonts w:ascii="Times New Roman" w:hAnsi="Times New Roman" w:cs="Times New Roman"/>
          <w:sz w:val="20"/>
          <w:szCs w:val="20"/>
        </w:rPr>
      </w:pPr>
      <w:r>
        <w:rPr>
          <w:rFonts w:ascii="Times New Roman" w:hAnsi="Times New Roman" w:cs="Times New Roman"/>
          <w:sz w:val="20"/>
          <w:szCs w:val="20"/>
          <w:vertAlign w:val="superscript"/>
        </w:rPr>
        <w:t>(9)</w:t>
      </w:r>
      <w:r>
        <w:rPr>
          <w:rFonts w:ascii="Times New Roman" w:hAnsi="Times New Roman" w:cs="Times New Roman"/>
          <w:sz w:val="20"/>
          <w:szCs w:val="20"/>
        </w:rPr>
        <w:tab/>
        <w:t>Monthly vesting 520 options on the last day of each month through September 30, 2014 and 560 options on October 31, 2014.</w:t>
      </w:r>
    </w:p>
    <w:p w:rsidR="00067612" w:rsidRDefault="00067612" w:rsidP="00067612">
      <w:pPr>
        <w:pStyle w:val="BodyText"/>
        <w:tabs>
          <w:tab w:val="clear" w:pos="-720"/>
        </w:tabs>
        <w:ind w:left="720" w:hanging="720"/>
        <w:rPr>
          <w:rFonts w:ascii="Times New Roman" w:hAnsi="Times New Roman" w:cs="Times New Roman"/>
          <w:sz w:val="20"/>
          <w:szCs w:val="20"/>
        </w:rPr>
      </w:pPr>
    </w:p>
    <w:p w:rsidR="00067612" w:rsidRDefault="00067612" w:rsidP="00067612">
      <w:pPr>
        <w:pStyle w:val="BodyText"/>
        <w:tabs>
          <w:tab w:val="clear" w:pos="-720"/>
        </w:tabs>
        <w:ind w:left="720" w:hanging="720"/>
        <w:rPr>
          <w:rFonts w:ascii="Times New Roman" w:hAnsi="Times New Roman" w:cs="Times New Roman"/>
          <w:sz w:val="20"/>
          <w:szCs w:val="20"/>
        </w:rPr>
      </w:pPr>
      <w:r>
        <w:rPr>
          <w:rFonts w:ascii="Times New Roman" w:hAnsi="Times New Roman" w:cs="Times New Roman"/>
          <w:sz w:val="20"/>
          <w:szCs w:val="20"/>
          <w:vertAlign w:val="superscript"/>
        </w:rPr>
        <w:t>(10)</w:t>
      </w:r>
      <w:r>
        <w:rPr>
          <w:rFonts w:ascii="Times New Roman" w:hAnsi="Times New Roman" w:cs="Times New Roman"/>
          <w:sz w:val="20"/>
          <w:szCs w:val="20"/>
          <w:vertAlign w:val="superscript"/>
        </w:rPr>
        <w:tab/>
      </w:r>
      <w:r>
        <w:rPr>
          <w:rFonts w:ascii="Times New Roman" w:hAnsi="Times New Roman" w:cs="Times New Roman"/>
          <w:sz w:val="20"/>
          <w:szCs w:val="20"/>
        </w:rPr>
        <w:t>Monthly vesting 520 options on the last day of each month through June 30, 2015 and 560 options on July 31, 2015.</w:t>
      </w:r>
    </w:p>
    <w:p w:rsidR="00067612" w:rsidRDefault="00067612" w:rsidP="00067612">
      <w:pPr>
        <w:pStyle w:val="BodyText"/>
        <w:tabs>
          <w:tab w:val="clear" w:pos="-720"/>
        </w:tabs>
        <w:ind w:left="720" w:hanging="720"/>
        <w:rPr>
          <w:rFonts w:ascii="Times New Roman" w:hAnsi="Times New Roman" w:cs="Times New Roman"/>
          <w:sz w:val="20"/>
          <w:szCs w:val="20"/>
        </w:rPr>
      </w:pPr>
    </w:p>
    <w:p w:rsidR="00067612" w:rsidRDefault="00067612" w:rsidP="00067612">
      <w:pPr>
        <w:pStyle w:val="BodyText"/>
        <w:tabs>
          <w:tab w:val="clear" w:pos="-720"/>
        </w:tabs>
        <w:ind w:left="720" w:hanging="720"/>
        <w:rPr>
          <w:rFonts w:ascii="Times New Roman" w:hAnsi="Times New Roman" w:cs="Times New Roman"/>
          <w:sz w:val="20"/>
          <w:szCs w:val="20"/>
        </w:rPr>
      </w:pPr>
    </w:p>
    <w:p w:rsidR="00067612" w:rsidRDefault="00067612" w:rsidP="00067612">
      <w:pPr>
        <w:pStyle w:val="BodyText"/>
        <w:rPr>
          <w:rFonts w:ascii="Times New Roman" w:hAnsi="Times New Roman" w:cs="Times New Roman"/>
          <w:sz w:val="20"/>
          <w:szCs w:val="20"/>
        </w:rPr>
      </w:pPr>
    </w:p>
    <w:p w:rsidR="00067612" w:rsidRDefault="00067612" w:rsidP="00067612">
      <w:pPr>
        <w:rPr>
          <w:color w:val="000000"/>
          <w:sz w:val="20"/>
          <w:szCs w:val="20"/>
        </w:rPr>
      </w:pPr>
    </w:p>
    <w:p w:rsidR="00067612" w:rsidRDefault="00067612" w:rsidP="00067612">
      <w:pPr>
        <w:keepNext/>
        <w:rPr>
          <w:b/>
          <w:bCs/>
          <w:sz w:val="20"/>
          <w:szCs w:val="20"/>
        </w:rPr>
      </w:pPr>
      <w:r>
        <w:rPr>
          <w:b/>
          <w:bCs/>
          <w:sz w:val="20"/>
          <w:szCs w:val="20"/>
        </w:rPr>
        <w:br w:type="page"/>
        <w:t>Director Compensation</w:t>
      </w:r>
    </w:p>
    <w:p w:rsidR="00067612" w:rsidRDefault="00067612" w:rsidP="00067612">
      <w:pPr>
        <w:rPr>
          <w:sz w:val="20"/>
          <w:szCs w:val="20"/>
        </w:rPr>
      </w:pPr>
    </w:p>
    <w:p w:rsidR="00067612" w:rsidRDefault="00067612" w:rsidP="00067612">
      <w:pPr>
        <w:rPr>
          <w:sz w:val="20"/>
          <w:szCs w:val="20"/>
        </w:rPr>
      </w:pPr>
      <w:r>
        <w:rPr>
          <w:sz w:val="20"/>
          <w:szCs w:val="20"/>
        </w:rPr>
        <w:tab/>
        <w:t xml:space="preserve">In 2011, each director was compensated in accordance with the </w:t>
      </w:r>
      <w:proofErr w:type="spellStart"/>
      <w:r>
        <w:rPr>
          <w:sz w:val="20"/>
          <w:szCs w:val="20"/>
        </w:rPr>
        <w:t>MakeMusic</w:t>
      </w:r>
      <w:proofErr w:type="spellEnd"/>
      <w:r>
        <w:rPr>
          <w:sz w:val="20"/>
          <w:szCs w:val="20"/>
        </w:rPr>
        <w:t xml:space="preserve">, Inc. Board Compensation Plan adopted on February 15, 2007, as amended on each of January 31, 2008, January 28, 2009, and January 1, 2011 (the “Board Compensation Plan”). Each non-employee director received a cash fee equal to $40,000 per calendar year for serving on the Board of Directors and an additional $10,000 fee if such director served as a chairperson for the Board of Directors or one of its committees.  </w:t>
      </w:r>
    </w:p>
    <w:p w:rsidR="00067612" w:rsidRDefault="00067612" w:rsidP="00067612">
      <w:pPr>
        <w:rPr>
          <w:sz w:val="20"/>
          <w:szCs w:val="20"/>
        </w:rPr>
      </w:pPr>
    </w:p>
    <w:p w:rsidR="00067612" w:rsidRDefault="00067612" w:rsidP="00067612">
      <w:pPr>
        <w:rPr>
          <w:sz w:val="20"/>
          <w:szCs w:val="20"/>
        </w:rPr>
      </w:pPr>
      <w:r>
        <w:rPr>
          <w:sz w:val="20"/>
          <w:szCs w:val="20"/>
        </w:rPr>
        <w:tab/>
        <w:t xml:space="preserve">Each eligible director also received an annual non-qualified stock option grant to purchase 6,000 shares of </w:t>
      </w:r>
      <w:proofErr w:type="spellStart"/>
      <w:r>
        <w:rPr>
          <w:sz w:val="20"/>
          <w:szCs w:val="20"/>
        </w:rPr>
        <w:t>MakeMusic’s</w:t>
      </w:r>
      <w:proofErr w:type="spellEnd"/>
      <w:r>
        <w:rPr>
          <w:sz w:val="20"/>
          <w:szCs w:val="20"/>
        </w:rPr>
        <w:t xml:space="preserve"> common stock (or a pro-rated amount based on the dates the person was an eligible director), with an exercise price equal to the fair market value of common stock on the date of the grant. An eligible director is defined as a non-employee member of the Board who is not otherwise compensated by </w:t>
      </w:r>
      <w:proofErr w:type="spellStart"/>
      <w:r>
        <w:rPr>
          <w:sz w:val="20"/>
          <w:szCs w:val="20"/>
        </w:rPr>
        <w:t>MakeMusic</w:t>
      </w:r>
      <w:proofErr w:type="spellEnd"/>
      <w:r>
        <w:rPr>
          <w:sz w:val="20"/>
          <w:szCs w:val="20"/>
        </w:rPr>
        <w:t>.  The options were issued under the 2003 Equity Incentive Plan, have a four-year term and vested ratably over twelve months. In the event a director’s service terminated for any reason or if the director was no longer an eligible director, vesting of the option would have ceased with the director having the right to exercise any vested shares through the remaining term of the option.</w:t>
      </w:r>
    </w:p>
    <w:p w:rsidR="00067612" w:rsidRDefault="00067612" w:rsidP="00067612">
      <w:pPr>
        <w:rPr>
          <w:sz w:val="20"/>
          <w:szCs w:val="20"/>
        </w:rPr>
      </w:pPr>
    </w:p>
    <w:p w:rsidR="00067612" w:rsidRDefault="00067612" w:rsidP="00067612">
      <w:pPr>
        <w:rPr>
          <w:sz w:val="20"/>
          <w:szCs w:val="20"/>
        </w:rPr>
      </w:pPr>
      <w:r>
        <w:rPr>
          <w:sz w:val="20"/>
          <w:szCs w:val="20"/>
        </w:rPr>
        <w:tab/>
        <w:t>In accordance with the Board Compen</w:t>
      </w:r>
      <w:r w:rsidR="005366C7">
        <w:rPr>
          <w:sz w:val="20"/>
          <w:szCs w:val="20"/>
        </w:rPr>
        <w:t>sation Plan, on January 3, 2011</w:t>
      </w:r>
      <w:r>
        <w:rPr>
          <w:sz w:val="20"/>
          <w:szCs w:val="20"/>
        </w:rPr>
        <w:t xml:space="preserve">, the Board granted each of </w:t>
      </w:r>
      <w:r w:rsidR="003E7276">
        <w:rPr>
          <w:sz w:val="20"/>
          <w:szCs w:val="20"/>
        </w:rPr>
        <w:t xml:space="preserve">Trevor D’Souza, </w:t>
      </w:r>
      <w:r>
        <w:rPr>
          <w:sz w:val="20"/>
          <w:szCs w:val="20"/>
        </w:rPr>
        <w:t xml:space="preserve">Keith </w:t>
      </w:r>
      <w:proofErr w:type="spellStart"/>
      <w:r>
        <w:rPr>
          <w:sz w:val="20"/>
          <w:szCs w:val="20"/>
        </w:rPr>
        <w:t>Fenhaus</w:t>
      </w:r>
      <w:proofErr w:type="spellEnd"/>
      <w:r>
        <w:rPr>
          <w:sz w:val="20"/>
          <w:szCs w:val="20"/>
        </w:rPr>
        <w:t>, Ro</w:t>
      </w:r>
      <w:r w:rsidR="003E7276">
        <w:rPr>
          <w:sz w:val="20"/>
          <w:szCs w:val="20"/>
        </w:rPr>
        <w:t xml:space="preserve">bert Morrison, Graham Richmond and </w:t>
      </w:r>
      <w:r>
        <w:rPr>
          <w:sz w:val="20"/>
          <w:szCs w:val="20"/>
        </w:rPr>
        <w:t>M</w:t>
      </w:r>
      <w:r w:rsidR="003E7276">
        <w:rPr>
          <w:sz w:val="20"/>
          <w:szCs w:val="20"/>
        </w:rPr>
        <w:t>ichael Skinner</w:t>
      </w:r>
      <w:r>
        <w:rPr>
          <w:sz w:val="20"/>
          <w:szCs w:val="20"/>
        </w:rPr>
        <w:t xml:space="preserve">, who were </w:t>
      </w:r>
      <w:proofErr w:type="spellStart"/>
      <w:r>
        <w:rPr>
          <w:sz w:val="20"/>
          <w:szCs w:val="20"/>
        </w:rPr>
        <w:t>MakeMusic’s</w:t>
      </w:r>
      <w:proofErr w:type="spellEnd"/>
      <w:r>
        <w:rPr>
          <w:sz w:val="20"/>
          <w:szCs w:val="20"/>
        </w:rPr>
        <w:t xml:space="preserve"> eligible directors at that time, a four-year non-qualified option to purchase 6,000 shares at $</w:t>
      </w:r>
      <w:r w:rsidR="005366C7">
        <w:rPr>
          <w:sz w:val="20"/>
          <w:szCs w:val="20"/>
        </w:rPr>
        <w:t xml:space="preserve">5.10 </w:t>
      </w:r>
      <w:r>
        <w:rPr>
          <w:sz w:val="20"/>
          <w:szCs w:val="20"/>
        </w:rPr>
        <w:t xml:space="preserve"> per share, which option vested monthly between the date of grant and December 31, 2011.  On July 6, 2011, the Board granted Jeffrey A. Koch, upon Mr. Koch becoming an eligible director, a four-year non-qualified option to purchase 3,000 shares at $5</w:t>
      </w:r>
      <w:r w:rsidR="0049768C">
        <w:rPr>
          <w:sz w:val="20"/>
          <w:szCs w:val="20"/>
        </w:rPr>
        <w:t>.00</w:t>
      </w:r>
      <w:r>
        <w:rPr>
          <w:sz w:val="20"/>
          <w:szCs w:val="20"/>
        </w:rPr>
        <w:t xml:space="preserve"> per share</w:t>
      </w:r>
      <w:r w:rsidR="005366C7">
        <w:rPr>
          <w:sz w:val="20"/>
          <w:szCs w:val="20"/>
        </w:rPr>
        <w:t xml:space="preserve"> which vested monthly between the date of grant and December 31, 2011</w:t>
      </w:r>
      <w:r>
        <w:rPr>
          <w:sz w:val="20"/>
          <w:szCs w:val="20"/>
        </w:rPr>
        <w:t>.</w:t>
      </w:r>
    </w:p>
    <w:p w:rsidR="00067612" w:rsidRDefault="00067612" w:rsidP="00067612">
      <w:pPr>
        <w:keepNext/>
        <w:rPr>
          <w:sz w:val="20"/>
          <w:szCs w:val="22"/>
        </w:rPr>
      </w:pPr>
      <w:r>
        <w:rPr>
          <w:sz w:val="20"/>
          <w:szCs w:val="20"/>
        </w:rPr>
        <w:tab/>
      </w:r>
    </w:p>
    <w:p w:rsidR="00067612" w:rsidRDefault="00067612" w:rsidP="00067612">
      <w:pPr>
        <w:keepNext/>
        <w:rPr>
          <w:b/>
          <w:sz w:val="20"/>
          <w:szCs w:val="22"/>
        </w:rPr>
      </w:pPr>
      <w:r>
        <w:rPr>
          <w:sz w:val="20"/>
          <w:szCs w:val="22"/>
        </w:rPr>
        <w:tab/>
      </w:r>
      <w:r>
        <w:rPr>
          <w:b/>
          <w:sz w:val="20"/>
          <w:szCs w:val="22"/>
        </w:rPr>
        <w:t>Director Compensation Table</w:t>
      </w:r>
    </w:p>
    <w:p w:rsidR="00067612" w:rsidRDefault="00067612" w:rsidP="00067612">
      <w:pPr>
        <w:rPr>
          <w:sz w:val="20"/>
          <w:szCs w:val="22"/>
        </w:rPr>
      </w:pPr>
      <w:r>
        <w:rPr>
          <w:sz w:val="20"/>
          <w:szCs w:val="22"/>
        </w:rPr>
        <w:tab/>
      </w:r>
    </w:p>
    <w:p w:rsidR="00067612" w:rsidRDefault="00067612" w:rsidP="00067612">
      <w:pPr>
        <w:rPr>
          <w:sz w:val="20"/>
          <w:szCs w:val="22"/>
        </w:rPr>
      </w:pPr>
      <w:r>
        <w:rPr>
          <w:sz w:val="20"/>
          <w:szCs w:val="22"/>
        </w:rPr>
        <w:tab/>
        <w:t xml:space="preserve">The following table sets forth certain information regarding compensation paid to and earned by the non-employee directors who served on </w:t>
      </w:r>
      <w:proofErr w:type="spellStart"/>
      <w:r>
        <w:rPr>
          <w:sz w:val="20"/>
          <w:szCs w:val="22"/>
        </w:rPr>
        <w:t>MakeMusic’s</w:t>
      </w:r>
      <w:proofErr w:type="spellEnd"/>
      <w:r>
        <w:rPr>
          <w:sz w:val="20"/>
          <w:szCs w:val="22"/>
        </w:rPr>
        <w:t xml:space="preserve"> Board of Directors during the 2011 fiscal year.</w:t>
      </w:r>
    </w:p>
    <w:p w:rsidR="00067612" w:rsidRDefault="00067612" w:rsidP="00067612">
      <w:pPr>
        <w:keepNext/>
        <w:rPr>
          <w:sz w:val="18"/>
          <w:szCs w:val="22"/>
        </w:rPr>
      </w:pPr>
    </w:p>
    <w:tbl>
      <w:tblPr>
        <w:tblW w:w="0" w:type="auto"/>
        <w:tblLook w:val="01E0" w:firstRow="1" w:lastRow="1" w:firstColumn="1" w:lastColumn="1" w:noHBand="0" w:noVBand="0"/>
      </w:tblPr>
      <w:tblGrid>
        <w:gridCol w:w="1061"/>
        <w:gridCol w:w="1042"/>
        <w:gridCol w:w="845"/>
        <w:gridCol w:w="1020"/>
        <w:gridCol w:w="1555"/>
        <w:gridCol w:w="1943"/>
        <w:gridCol w:w="1367"/>
        <w:gridCol w:w="801"/>
      </w:tblGrid>
      <w:tr w:rsidR="00067612" w:rsidTr="001F383B">
        <w:tc>
          <w:tcPr>
            <w:tcW w:w="0" w:type="auto"/>
            <w:tcBorders>
              <w:bottom w:val="single" w:sz="4" w:space="0" w:color="auto"/>
            </w:tcBorders>
            <w:vAlign w:val="bottom"/>
          </w:tcPr>
          <w:p w:rsidR="00067612" w:rsidRDefault="00067612" w:rsidP="001F383B">
            <w:pPr>
              <w:keepNext/>
              <w:spacing w:after="120"/>
              <w:rPr>
                <w:sz w:val="18"/>
                <w:szCs w:val="20"/>
              </w:rPr>
            </w:pPr>
            <w:r>
              <w:rPr>
                <w:sz w:val="18"/>
                <w:szCs w:val="20"/>
              </w:rPr>
              <w:t>Name</w:t>
            </w:r>
          </w:p>
        </w:tc>
        <w:tc>
          <w:tcPr>
            <w:tcW w:w="0" w:type="auto"/>
            <w:tcBorders>
              <w:bottom w:val="single" w:sz="4" w:space="0" w:color="auto"/>
            </w:tcBorders>
            <w:vAlign w:val="bottom"/>
          </w:tcPr>
          <w:p w:rsidR="00067612" w:rsidRDefault="00067612" w:rsidP="001F383B">
            <w:pPr>
              <w:keepNext/>
              <w:spacing w:after="120"/>
              <w:jc w:val="center"/>
              <w:rPr>
                <w:sz w:val="18"/>
                <w:szCs w:val="20"/>
                <w:vertAlign w:val="superscript"/>
              </w:rPr>
            </w:pPr>
            <w:r>
              <w:rPr>
                <w:sz w:val="18"/>
                <w:szCs w:val="20"/>
              </w:rPr>
              <w:t>Fees Earned or Paid in Cash</w:t>
            </w:r>
            <w:r>
              <w:rPr>
                <w:sz w:val="18"/>
                <w:szCs w:val="20"/>
                <w:vertAlign w:val="superscript"/>
              </w:rPr>
              <w:t>(1)</w:t>
            </w:r>
          </w:p>
          <w:p w:rsidR="00067612" w:rsidRDefault="00067612" w:rsidP="001F383B">
            <w:pPr>
              <w:keepNext/>
              <w:spacing w:after="120"/>
              <w:jc w:val="center"/>
              <w:rPr>
                <w:sz w:val="18"/>
                <w:szCs w:val="20"/>
              </w:rPr>
            </w:pPr>
            <w:r>
              <w:rPr>
                <w:sz w:val="18"/>
                <w:szCs w:val="20"/>
              </w:rPr>
              <w:t xml:space="preserve"> ($)</w:t>
            </w:r>
          </w:p>
        </w:tc>
        <w:tc>
          <w:tcPr>
            <w:tcW w:w="0" w:type="auto"/>
            <w:tcBorders>
              <w:bottom w:val="single" w:sz="4" w:space="0" w:color="auto"/>
            </w:tcBorders>
            <w:vAlign w:val="bottom"/>
          </w:tcPr>
          <w:p w:rsidR="00067612" w:rsidRDefault="00067612" w:rsidP="001F383B">
            <w:pPr>
              <w:keepNext/>
              <w:spacing w:after="120"/>
              <w:jc w:val="center"/>
              <w:rPr>
                <w:sz w:val="18"/>
                <w:szCs w:val="20"/>
              </w:rPr>
            </w:pPr>
            <w:r>
              <w:rPr>
                <w:sz w:val="18"/>
                <w:szCs w:val="20"/>
              </w:rPr>
              <w:t>Stock Awards</w:t>
            </w:r>
          </w:p>
          <w:p w:rsidR="00067612" w:rsidRDefault="00067612" w:rsidP="001F383B">
            <w:pPr>
              <w:keepNext/>
              <w:spacing w:after="120"/>
              <w:jc w:val="center"/>
              <w:rPr>
                <w:sz w:val="18"/>
                <w:szCs w:val="20"/>
              </w:rPr>
            </w:pPr>
            <w:r>
              <w:rPr>
                <w:sz w:val="18"/>
                <w:szCs w:val="20"/>
              </w:rPr>
              <w:br/>
              <w:t>($)</w:t>
            </w:r>
          </w:p>
        </w:tc>
        <w:tc>
          <w:tcPr>
            <w:tcW w:w="0" w:type="auto"/>
            <w:tcBorders>
              <w:bottom w:val="single" w:sz="4" w:space="0" w:color="auto"/>
            </w:tcBorders>
            <w:vAlign w:val="bottom"/>
          </w:tcPr>
          <w:p w:rsidR="00067612" w:rsidRDefault="00067612" w:rsidP="001F383B">
            <w:pPr>
              <w:keepNext/>
              <w:spacing w:after="120"/>
              <w:jc w:val="center"/>
              <w:rPr>
                <w:sz w:val="18"/>
                <w:szCs w:val="20"/>
                <w:vertAlign w:val="superscript"/>
              </w:rPr>
            </w:pPr>
            <w:r>
              <w:rPr>
                <w:sz w:val="18"/>
                <w:szCs w:val="20"/>
              </w:rPr>
              <w:t>Option Awards</w:t>
            </w:r>
            <w:r>
              <w:rPr>
                <w:sz w:val="18"/>
                <w:szCs w:val="20"/>
                <w:vertAlign w:val="superscript"/>
              </w:rPr>
              <w:t>(2)</w:t>
            </w:r>
          </w:p>
          <w:p w:rsidR="00067612" w:rsidRDefault="00067612" w:rsidP="001F383B">
            <w:pPr>
              <w:keepNext/>
              <w:spacing w:after="120"/>
              <w:jc w:val="center"/>
              <w:rPr>
                <w:sz w:val="18"/>
                <w:szCs w:val="20"/>
              </w:rPr>
            </w:pPr>
            <w:r>
              <w:rPr>
                <w:sz w:val="18"/>
                <w:szCs w:val="20"/>
              </w:rPr>
              <w:br/>
              <w:t>($)</w:t>
            </w:r>
          </w:p>
        </w:tc>
        <w:tc>
          <w:tcPr>
            <w:tcW w:w="0" w:type="auto"/>
            <w:tcBorders>
              <w:bottom w:val="single" w:sz="4" w:space="0" w:color="auto"/>
            </w:tcBorders>
            <w:vAlign w:val="bottom"/>
          </w:tcPr>
          <w:p w:rsidR="00067612" w:rsidRDefault="00067612" w:rsidP="001F383B">
            <w:pPr>
              <w:keepNext/>
              <w:spacing w:after="120"/>
              <w:jc w:val="center"/>
              <w:rPr>
                <w:sz w:val="18"/>
                <w:szCs w:val="20"/>
              </w:rPr>
            </w:pPr>
            <w:r>
              <w:rPr>
                <w:sz w:val="18"/>
                <w:szCs w:val="20"/>
              </w:rPr>
              <w:t xml:space="preserve">Non-Equity Incentive Plan Compensation </w:t>
            </w:r>
          </w:p>
          <w:p w:rsidR="00067612" w:rsidRDefault="00067612" w:rsidP="001F383B">
            <w:pPr>
              <w:keepNext/>
              <w:spacing w:after="120"/>
              <w:jc w:val="center"/>
              <w:rPr>
                <w:sz w:val="18"/>
                <w:szCs w:val="20"/>
              </w:rPr>
            </w:pPr>
            <w:r>
              <w:rPr>
                <w:sz w:val="18"/>
                <w:szCs w:val="20"/>
              </w:rPr>
              <w:t>($)</w:t>
            </w:r>
          </w:p>
        </w:tc>
        <w:tc>
          <w:tcPr>
            <w:tcW w:w="0" w:type="auto"/>
            <w:tcBorders>
              <w:bottom w:val="single" w:sz="4" w:space="0" w:color="auto"/>
            </w:tcBorders>
            <w:vAlign w:val="bottom"/>
          </w:tcPr>
          <w:p w:rsidR="00067612" w:rsidRDefault="00067612" w:rsidP="001F383B">
            <w:pPr>
              <w:keepNext/>
              <w:spacing w:after="120"/>
              <w:jc w:val="center"/>
              <w:rPr>
                <w:sz w:val="18"/>
                <w:szCs w:val="20"/>
              </w:rPr>
            </w:pPr>
            <w:r>
              <w:rPr>
                <w:sz w:val="18"/>
                <w:szCs w:val="20"/>
              </w:rPr>
              <w:t xml:space="preserve">Change in Pension Value and Nonqualified Deferred Compensation Earnings </w:t>
            </w:r>
          </w:p>
          <w:p w:rsidR="00067612" w:rsidRDefault="00067612" w:rsidP="001F383B">
            <w:pPr>
              <w:keepNext/>
              <w:spacing w:after="120"/>
              <w:jc w:val="center"/>
              <w:rPr>
                <w:sz w:val="18"/>
                <w:szCs w:val="20"/>
              </w:rPr>
            </w:pPr>
            <w:r>
              <w:rPr>
                <w:sz w:val="18"/>
                <w:szCs w:val="20"/>
              </w:rPr>
              <w:t>($)</w:t>
            </w:r>
          </w:p>
        </w:tc>
        <w:tc>
          <w:tcPr>
            <w:tcW w:w="0" w:type="auto"/>
            <w:tcBorders>
              <w:bottom w:val="single" w:sz="4" w:space="0" w:color="auto"/>
            </w:tcBorders>
            <w:vAlign w:val="bottom"/>
          </w:tcPr>
          <w:p w:rsidR="00067612" w:rsidRDefault="00067612" w:rsidP="001F383B">
            <w:pPr>
              <w:keepNext/>
              <w:spacing w:after="120"/>
              <w:jc w:val="center"/>
              <w:rPr>
                <w:sz w:val="18"/>
                <w:szCs w:val="20"/>
              </w:rPr>
            </w:pPr>
            <w:r>
              <w:rPr>
                <w:sz w:val="18"/>
                <w:szCs w:val="20"/>
              </w:rPr>
              <w:t>All Other Compensation</w:t>
            </w:r>
          </w:p>
          <w:p w:rsidR="00067612" w:rsidRDefault="00067612" w:rsidP="001F383B">
            <w:pPr>
              <w:keepNext/>
              <w:spacing w:after="120"/>
              <w:jc w:val="center"/>
              <w:rPr>
                <w:sz w:val="18"/>
                <w:szCs w:val="20"/>
              </w:rPr>
            </w:pPr>
            <w:r>
              <w:rPr>
                <w:sz w:val="18"/>
                <w:szCs w:val="20"/>
              </w:rPr>
              <w:br/>
              <w:t>($)</w:t>
            </w:r>
          </w:p>
        </w:tc>
        <w:tc>
          <w:tcPr>
            <w:tcW w:w="0" w:type="auto"/>
            <w:tcBorders>
              <w:bottom w:val="single" w:sz="4" w:space="0" w:color="auto"/>
            </w:tcBorders>
            <w:vAlign w:val="bottom"/>
          </w:tcPr>
          <w:p w:rsidR="00067612" w:rsidRDefault="00067612" w:rsidP="001F383B">
            <w:pPr>
              <w:keepNext/>
              <w:spacing w:after="120"/>
              <w:ind w:left="12"/>
              <w:jc w:val="center"/>
              <w:rPr>
                <w:sz w:val="18"/>
                <w:szCs w:val="20"/>
              </w:rPr>
            </w:pPr>
            <w:r>
              <w:rPr>
                <w:sz w:val="18"/>
                <w:szCs w:val="20"/>
              </w:rPr>
              <w:t>Total</w:t>
            </w:r>
          </w:p>
          <w:p w:rsidR="00067612" w:rsidRDefault="00067612" w:rsidP="001F383B">
            <w:pPr>
              <w:keepNext/>
              <w:spacing w:after="120"/>
              <w:ind w:left="12"/>
              <w:jc w:val="center"/>
              <w:rPr>
                <w:sz w:val="18"/>
                <w:szCs w:val="20"/>
              </w:rPr>
            </w:pPr>
            <w:r>
              <w:rPr>
                <w:sz w:val="18"/>
                <w:szCs w:val="20"/>
              </w:rPr>
              <w:br/>
              <w:t>($)</w:t>
            </w:r>
          </w:p>
        </w:tc>
      </w:tr>
      <w:tr w:rsidR="00067612" w:rsidTr="001F383B">
        <w:tc>
          <w:tcPr>
            <w:tcW w:w="0" w:type="auto"/>
          </w:tcPr>
          <w:p w:rsidR="00067612" w:rsidRDefault="00067612" w:rsidP="001F383B">
            <w:pPr>
              <w:spacing w:after="120"/>
              <w:rPr>
                <w:sz w:val="18"/>
                <w:szCs w:val="20"/>
              </w:rPr>
            </w:pPr>
            <w:r>
              <w:rPr>
                <w:sz w:val="18"/>
                <w:szCs w:val="20"/>
              </w:rPr>
              <w:t>Robert Morrison</w:t>
            </w:r>
          </w:p>
        </w:tc>
        <w:tc>
          <w:tcPr>
            <w:tcW w:w="0" w:type="auto"/>
          </w:tcPr>
          <w:p w:rsidR="00067612" w:rsidRDefault="00067612" w:rsidP="001F383B">
            <w:pPr>
              <w:spacing w:after="120"/>
              <w:jc w:val="center"/>
              <w:rPr>
                <w:sz w:val="18"/>
                <w:szCs w:val="20"/>
              </w:rPr>
            </w:pPr>
            <w:r>
              <w:rPr>
                <w:sz w:val="18"/>
                <w:szCs w:val="20"/>
              </w:rPr>
              <w:t>$50,000</w:t>
            </w:r>
          </w:p>
        </w:tc>
        <w:tc>
          <w:tcPr>
            <w:tcW w:w="0" w:type="auto"/>
          </w:tcPr>
          <w:p w:rsidR="00067612" w:rsidRDefault="00067612" w:rsidP="001F383B">
            <w:pPr>
              <w:spacing w:after="120"/>
              <w:jc w:val="center"/>
              <w:rPr>
                <w:sz w:val="18"/>
                <w:szCs w:val="20"/>
              </w:rPr>
            </w:pPr>
            <w:r>
              <w:rPr>
                <w:sz w:val="18"/>
                <w:szCs w:val="20"/>
              </w:rPr>
              <w:t>-</w:t>
            </w:r>
          </w:p>
        </w:tc>
        <w:tc>
          <w:tcPr>
            <w:tcW w:w="0" w:type="auto"/>
          </w:tcPr>
          <w:p w:rsidR="00067612" w:rsidRDefault="00067612" w:rsidP="001F383B">
            <w:pPr>
              <w:spacing w:after="120"/>
              <w:jc w:val="center"/>
              <w:rPr>
                <w:sz w:val="18"/>
                <w:szCs w:val="20"/>
              </w:rPr>
            </w:pPr>
            <w:r>
              <w:rPr>
                <w:sz w:val="18"/>
                <w:szCs w:val="20"/>
              </w:rPr>
              <w:t>$12,344</w:t>
            </w:r>
          </w:p>
        </w:tc>
        <w:tc>
          <w:tcPr>
            <w:tcW w:w="0" w:type="auto"/>
          </w:tcPr>
          <w:p w:rsidR="00067612" w:rsidRDefault="00067612" w:rsidP="001F383B">
            <w:pPr>
              <w:spacing w:after="120"/>
              <w:jc w:val="center"/>
              <w:rPr>
                <w:sz w:val="18"/>
                <w:szCs w:val="20"/>
              </w:rPr>
            </w:pPr>
            <w:r>
              <w:rPr>
                <w:sz w:val="18"/>
                <w:szCs w:val="20"/>
              </w:rPr>
              <w:t>-</w:t>
            </w:r>
          </w:p>
        </w:tc>
        <w:tc>
          <w:tcPr>
            <w:tcW w:w="0" w:type="auto"/>
          </w:tcPr>
          <w:p w:rsidR="00067612" w:rsidRDefault="00067612" w:rsidP="001F383B">
            <w:pPr>
              <w:spacing w:after="120"/>
              <w:jc w:val="center"/>
              <w:rPr>
                <w:sz w:val="18"/>
                <w:szCs w:val="20"/>
              </w:rPr>
            </w:pPr>
            <w:r>
              <w:rPr>
                <w:sz w:val="18"/>
                <w:szCs w:val="20"/>
              </w:rPr>
              <w:t>-</w:t>
            </w:r>
          </w:p>
        </w:tc>
        <w:tc>
          <w:tcPr>
            <w:tcW w:w="0" w:type="auto"/>
          </w:tcPr>
          <w:p w:rsidR="00067612" w:rsidRDefault="00067612" w:rsidP="001F383B">
            <w:pPr>
              <w:spacing w:after="120"/>
              <w:jc w:val="center"/>
              <w:rPr>
                <w:sz w:val="18"/>
                <w:szCs w:val="20"/>
              </w:rPr>
            </w:pPr>
            <w:r>
              <w:rPr>
                <w:sz w:val="18"/>
                <w:szCs w:val="20"/>
              </w:rPr>
              <w:t>-</w:t>
            </w:r>
          </w:p>
        </w:tc>
        <w:tc>
          <w:tcPr>
            <w:tcW w:w="0" w:type="auto"/>
          </w:tcPr>
          <w:p w:rsidR="00067612" w:rsidRDefault="00067612" w:rsidP="001F383B">
            <w:pPr>
              <w:spacing w:after="120"/>
              <w:jc w:val="center"/>
              <w:rPr>
                <w:sz w:val="18"/>
                <w:szCs w:val="20"/>
              </w:rPr>
            </w:pPr>
            <w:r>
              <w:rPr>
                <w:sz w:val="18"/>
                <w:szCs w:val="20"/>
              </w:rPr>
              <w:t>$62,344</w:t>
            </w:r>
          </w:p>
        </w:tc>
      </w:tr>
      <w:tr w:rsidR="00067612" w:rsidTr="001F383B">
        <w:tc>
          <w:tcPr>
            <w:tcW w:w="0" w:type="auto"/>
          </w:tcPr>
          <w:p w:rsidR="00067612" w:rsidRDefault="00067612" w:rsidP="001F383B">
            <w:pPr>
              <w:spacing w:after="120"/>
              <w:rPr>
                <w:sz w:val="18"/>
                <w:szCs w:val="20"/>
              </w:rPr>
            </w:pPr>
            <w:r>
              <w:rPr>
                <w:sz w:val="18"/>
                <w:szCs w:val="20"/>
              </w:rPr>
              <w:t>Trevor A. D’Souza</w:t>
            </w:r>
          </w:p>
        </w:tc>
        <w:tc>
          <w:tcPr>
            <w:tcW w:w="0" w:type="auto"/>
          </w:tcPr>
          <w:p w:rsidR="00067612" w:rsidRDefault="00067612" w:rsidP="001F383B">
            <w:pPr>
              <w:spacing w:after="120"/>
              <w:jc w:val="center"/>
              <w:rPr>
                <w:sz w:val="18"/>
                <w:szCs w:val="20"/>
              </w:rPr>
            </w:pPr>
            <w:r>
              <w:rPr>
                <w:sz w:val="18"/>
                <w:szCs w:val="20"/>
              </w:rPr>
              <w:t>$40,000</w:t>
            </w:r>
          </w:p>
        </w:tc>
        <w:tc>
          <w:tcPr>
            <w:tcW w:w="0" w:type="auto"/>
          </w:tcPr>
          <w:p w:rsidR="00067612" w:rsidRDefault="00067612" w:rsidP="001F383B">
            <w:pPr>
              <w:spacing w:after="120"/>
              <w:jc w:val="center"/>
              <w:rPr>
                <w:sz w:val="18"/>
                <w:szCs w:val="20"/>
              </w:rPr>
            </w:pPr>
            <w:r>
              <w:rPr>
                <w:sz w:val="18"/>
                <w:szCs w:val="20"/>
              </w:rPr>
              <w:t>-</w:t>
            </w:r>
          </w:p>
        </w:tc>
        <w:tc>
          <w:tcPr>
            <w:tcW w:w="0" w:type="auto"/>
          </w:tcPr>
          <w:p w:rsidR="00067612" w:rsidRDefault="00067612" w:rsidP="001F383B">
            <w:pPr>
              <w:spacing w:after="120"/>
              <w:jc w:val="center"/>
              <w:rPr>
                <w:sz w:val="18"/>
                <w:szCs w:val="20"/>
              </w:rPr>
            </w:pPr>
            <w:r>
              <w:rPr>
                <w:sz w:val="18"/>
                <w:szCs w:val="20"/>
              </w:rPr>
              <w:t>$18,855</w:t>
            </w:r>
            <w:r>
              <w:rPr>
                <w:sz w:val="18"/>
                <w:szCs w:val="20"/>
                <w:vertAlign w:val="superscript"/>
              </w:rPr>
              <w:t>(3)</w:t>
            </w:r>
          </w:p>
        </w:tc>
        <w:tc>
          <w:tcPr>
            <w:tcW w:w="0" w:type="auto"/>
          </w:tcPr>
          <w:p w:rsidR="00067612" w:rsidRDefault="00067612" w:rsidP="001F383B">
            <w:pPr>
              <w:spacing w:after="120"/>
              <w:jc w:val="center"/>
              <w:rPr>
                <w:sz w:val="18"/>
                <w:szCs w:val="20"/>
              </w:rPr>
            </w:pPr>
            <w:r>
              <w:rPr>
                <w:sz w:val="18"/>
                <w:szCs w:val="20"/>
              </w:rPr>
              <w:t>-</w:t>
            </w:r>
          </w:p>
        </w:tc>
        <w:tc>
          <w:tcPr>
            <w:tcW w:w="0" w:type="auto"/>
          </w:tcPr>
          <w:p w:rsidR="00067612" w:rsidRDefault="00067612" w:rsidP="001F383B">
            <w:pPr>
              <w:spacing w:after="120"/>
              <w:jc w:val="center"/>
              <w:rPr>
                <w:sz w:val="18"/>
                <w:szCs w:val="20"/>
              </w:rPr>
            </w:pPr>
            <w:r>
              <w:rPr>
                <w:sz w:val="18"/>
                <w:szCs w:val="20"/>
              </w:rPr>
              <w:t>-</w:t>
            </w:r>
          </w:p>
        </w:tc>
        <w:tc>
          <w:tcPr>
            <w:tcW w:w="0" w:type="auto"/>
          </w:tcPr>
          <w:p w:rsidR="00067612" w:rsidRDefault="00067612" w:rsidP="001F383B">
            <w:pPr>
              <w:spacing w:after="120"/>
              <w:jc w:val="center"/>
              <w:rPr>
                <w:sz w:val="18"/>
                <w:szCs w:val="20"/>
              </w:rPr>
            </w:pPr>
            <w:r>
              <w:rPr>
                <w:sz w:val="18"/>
                <w:szCs w:val="20"/>
              </w:rPr>
              <w:t>-</w:t>
            </w:r>
          </w:p>
        </w:tc>
        <w:tc>
          <w:tcPr>
            <w:tcW w:w="0" w:type="auto"/>
          </w:tcPr>
          <w:p w:rsidR="00067612" w:rsidRDefault="00067612" w:rsidP="001F383B">
            <w:pPr>
              <w:spacing w:after="120"/>
              <w:jc w:val="center"/>
              <w:rPr>
                <w:sz w:val="18"/>
                <w:szCs w:val="20"/>
              </w:rPr>
            </w:pPr>
            <w:r>
              <w:rPr>
                <w:sz w:val="18"/>
                <w:szCs w:val="20"/>
              </w:rPr>
              <w:t>$58,855</w:t>
            </w:r>
          </w:p>
        </w:tc>
      </w:tr>
      <w:tr w:rsidR="00067612" w:rsidTr="001F383B">
        <w:tc>
          <w:tcPr>
            <w:tcW w:w="0" w:type="auto"/>
          </w:tcPr>
          <w:p w:rsidR="00067612" w:rsidRDefault="00067612" w:rsidP="001F383B">
            <w:pPr>
              <w:spacing w:after="120"/>
              <w:rPr>
                <w:sz w:val="18"/>
                <w:szCs w:val="20"/>
              </w:rPr>
            </w:pPr>
            <w:r>
              <w:rPr>
                <w:sz w:val="18"/>
                <w:szCs w:val="20"/>
              </w:rPr>
              <w:t xml:space="preserve">Keith </w:t>
            </w:r>
            <w:proofErr w:type="spellStart"/>
            <w:r>
              <w:rPr>
                <w:sz w:val="18"/>
                <w:szCs w:val="20"/>
              </w:rPr>
              <w:t>Fenhaus</w:t>
            </w:r>
            <w:proofErr w:type="spellEnd"/>
          </w:p>
        </w:tc>
        <w:tc>
          <w:tcPr>
            <w:tcW w:w="0" w:type="auto"/>
          </w:tcPr>
          <w:p w:rsidR="00067612" w:rsidRDefault="00067612" w:rsidP="001F383B">
            <w:pPr>
              <w:spacing w:after="120"/>
              <w:jc w:val="center"/>
              <w:rPr>
                <w:sz w:val="18"/>
                <w:szCs w:val="20"/>
              </w:rPr>
            </w:pPr>
            <w:r>
              <w:rPr>
                <w:sz w:val="18"/>
                <w:szCs w:val="20"/>
              </w:rPr>
              <w:t>$50,000</w:t>
            </w:r>
          </w:p>
        </w:tc>
        <w:tc>
          <w:tcPr>
            <w:tcW w:w="0" w:type="auto"/>
          </w:tcPr>
          <w:p w:rsidR="00067612" w:rsidRDefault="00067612" w:rsidP="001F383B">
            <w:pPr>
              <w:spacing w:after="120"/>
              <w:jc w:val="center"/>
              <w:rPr>
                <w:sz w:val="18"/>
                <w:szCs w:val="20"/>
              </w:rPr>
            </w:pPr>
            <w:r>
              <w:rPr>
                <w:sz w:val="18"/>
                <w:szCs w:val="20"/>
              </w:rPr>
              <w:t>-</w:t>
            </w:r>
          </w:p>
        </w:tc>
        <w:tc>
          <w:tcPr>
            <w:tcW w:w="0" w:type="auto"/>
          </w:tcPr>
          <w:p w:rsidR="00067612" w:rsidRDefault="00067612" w:rsidP="001F383B">
            <w:pPr>
              <w:spacing w:after="120"/>
              <w:jc w:val="center"/>
              <w:rPr>
                <w:sz w:val="18"/>
                <w:szCs w:val="20"/>
              </w:rPr>
            </w:pPr>
            <w:r>
              <w:rPr>
                <w:sz w:val="18"/>
                <w:szCs w:val="20"/>
              </w:rPr>
              <w:t>$12,344</w:t>
            </w:r>
          </w:p>
        </w:tc>
        <w:tc>
          <w:tcPr>
            <w:tcW w:w="0" w:type="auto"/>
          </w:tcPr>
          <w:p w:rsidR="00067612" w:rsidRDefault="00067612" w:rsidP="001F383B">
            <w:pPr>
              <w:spacing w:after="120"/>
              <w:jc w:val="center"/>
              <w:rPr>
                <w:sz w:val="18"/>
                <w:szCs w:val="20"/>
              </w:rPr>
            </w:pPr>
            <w:r>
              <w:rPr>
                <w:sz w:val="18"/>
                <w:szCs w:val="20"/>
              </w:rPr>
              <w:t>-</w:t>
            </w:r>
          </w:p>
        </w:tc>
        <w:tc>
          <w:tcPr>
            <w:tcW w:w="0" w:type="auto"/>
          </w:tcPr>
          <w:p w:rsidR="00067612" w:rsidRDefault="00067612" w:rsidP="001F383B">
            <w:pPr>
              <w:spacing w:after="120"/>
              <w:jc w:val="center"/>
              <w:rPr>
                <w:sz w:val="18"/>
                <w:szCs w:val="20"/>
              </w:rPr>
            </w:pPr>
            <w:r>
              <w:rPr>
                <w:sz w:val="18"/>
                <w:szCs w:val="20"/>
              </w:rPr>
              <w:t>-</w:t>
            </w:r>
          </w:p>
        </w:tc>
        <w:tc>
          <w:tcPr>
            <w:tcW w:w="0" w:type="auto"/>
          </w:tcPr>
          <w:p w:rsidR="00067612" w:rsidRDefault="00067612" w:rsidP="001F383B">
            <w:pPr>
              <w:spacing w:after="120"/>
              <w:jc w:val="center"/>
              <w:rPr>
                <w:sz w:val="18"/>
                <w:szCs w:val="20"/>
              </w:rPr>
            </w:pPr>
            <w:r>
              <w:rPr>
                <w:sz w:val="18"/>
                <w:szCs w:val="20"/>
              </w:rPr>
              <w:t>-</w:t>
            </w:r>
          </w:p>
        </w:tc>
        <w:tc>
          <w:tcPr>
            <w:tcW w:w="0" w:type="auto"/>
          </w:tcPr>
          <w:p w:rsidR="00067612" w:rsidRDefault="00067612" w:rsidP="001F383B">
            <w:pPr>
              <w:spacing w:after="120"/>
              <w:jc w:val="center"/>
              <w:rPr>
                <w:sz w:val="18"/>
                <w:szCs w:val="20"/>
              </w:rPr>
            </w:pPr>
            <w:r>
              <w:rPr>
                <w:sz w:val="18"/>
                <w:szCs w:val="20"/>
              </w:rPr>
              <w:t>$62,344</w:t>
            </w:r>
          </w:p>
        </w:tc>
      </w:tr>
      <w:tr w:rsidR="00067612" w:rsidTr="001F383B">
        <w:tc>
          <w:tcPr>
            <w:tcW w:w="0" w:type="auto"/>
          </w:tcPr>
          <w:p w:rsidR="00067612" w:rsidRDefault="00067612" w:rsidP="001F383B">
            <w:pPr>
              <w:spacing w:after="120"/>
              <w:rPr>
                <w:sz w:val="18"/>
                <w:szCs w:val="20"/>
              </w:rPr>
            </w:pPr>
            <w:r>
              <w:rPr>
                <w:sz w:val="18"/>
                <w:szCs w:val="20"/>
              </w:rPr>
              <w:t>Graham Richmond</w:t>
            </w:r>
          </w:p>
        </w:tc>
        <w:tc>
          <w:tcPr>
            <w:tcW w:w="0" w:type="auto"/>
          </w:tcPr>
          <w:p w:rsidR="00067612" w:rsidRDefault="00067612" w:rsidP="001F383B">
            <w:pPr>
              <w:spacing w:after="120"/>
              <w:jc w:val="center"/>
              <w:rPr>
                <w:sz w:val="18"/>
                <w:szCs w:val="20"/>
              </w:rPr>
            </w:pPr>
            <w:r>
              <w:rPr>
                <w:sz w:val="18"/>
                <w:szCs w:val="20"/>
              </w:rPr>
              <w:t>$50,000</w:t>
            </w:r>
          </w:p>
        </w:tc>
        <w:tc>
          <w:tcPr>
            <w:tcW w:w="0" w:type="auto"/>
          </w:tcPr>
          <w:p w:rsidR="00067612" w:rsidRDefault="00067612" w:rsidP="001F383B">
            <w:pPr>
              <w:spacing w:after="120"/>
              <w:jc w:val="center"/>
              <w:rPr>
                <w:sz w:val="18"/>
                <w:szCs w:val="20"/>
              </w:rPr>
            </w:pPr>
            <w:r>
              <w:rPr>
                <w:sz w:val="18"/>
                <w:szCs w:val="20"/>
              </w:rPr>
              <w:t>-</w:t>
            </w:r>
          </w:p>
        </w:tc>
        <w:tc>
          <w:tcPr>
            <w:tcW w:w="0" w:type="auto"/>
          </w:tcPr>
          <w:p w:rsidR="00067612" w:rsidRDefault="00067612" w:rsidP="001F383B">
            <w:pPr>
              <w:spacing w:after="120"/>
              <w:jc w:val="center"/>
              <w:rPr>
                <w:sz w:val="18"/>
                <w:szCs w:val="20"/>
              </w:rPr>
            </w:pPr>
            <w:r>
              <w:rPr>
                <w:sz w:val="18"/>
                <w:szCs w:val="20"/>
              </w:rPr>
              <w:t>$12,344</w:t>
            </w:r>
          </w:p>
        </w:tc>
        <w:tc>
          <w:tcPr>
            <w:tcW w:w="0" w:type="auto"/>
          </w:tcPr>
          <w:p w:rsidR="00067612" w:rsidRDefault="00067612" w:rsidP="001F383B">
            <w:pPr>
              <w:spacing w:after="120"/>
              <w:jc w:val="center"/>
              <w:rPr>
                <w:sz w:val="18"/>
                <w:szCs w:val="20"/>
              </w:rPr>
            </w:pPr>
            <w:r>
              <w:rPr>
                <w:sz w:val="18"/>
                <w:szCs w:val="20"/>
              </w:rPr>
              <w:t>-</w:t>
            </w:r>
          </w:p>
        </w:tc>
        <w:tc>
          <w:tcPr>
            <w:tcW w:w="0" w:type="auto"/>
          </w:tcPr>
          <w:p w:rsidR="00067612" w:rsidRDefault="00067612" w:rsidP="001F383B">
            <w:pPr>
              <w:spacing w:after="120"/>
              <w:jc w:val="center"/>
              <w:rPr>
                <w:sz w:val="18"/>
                <w:szCs w:val="20"/>
              </w:rPr>
            </w:pPr>
            <w:r>
              <w:rPr>
                <w:sz w:val="18"/>
                <w:szCs w:val="20"/>
              </w:rPr>
              <w:t>-</w:t>
            </w:r>
          </w:p>
        </w:tc>
        <w:tc>
          <w:tcPr>
            <w:tcW w:w="0" w:type="auto"/>
          </w:tcPr>
          <w:p w:rsidR="00067612" w:rsidRDefault="00067612" w:rsidP="001F383B">
            <w:pPr>
              <w:spacing w:after="120"/>
              <w:jc w:val="center"/>
              <w:rPr>
                <w:sz w:val="18"/>
                <w:szCs w:val="20"/>
              </w:rPr>
            </w:pPr>
            <w:r>
              <w:rPr>
                <w:sz w:val="18"/>
                <w:szCs w:val="20"/>
              </w:rPr>
              <w:t>-</w:t>
            </w:r>
          </w:p>
        </w:tc>
        <w:tc>
          <w:tcPr>
            <w:tcW w:w="0" w:type="auto"/>
          </w:tcPr>
          <w:p w:rsidR="00067612" w:rsidRDefault="00067612" w:rsidP="001F383B">
            <w:pPr>
              <w:spacing w:after="120"/>
              <w:jc w:val="center"/>
              <w:rPr>
                <w:sz w:val="18"/>
                <w:szCs w:val="20"/>
              </w:rPr>
            </w:pPr>
            <w:r>
              <w:rPr>
                <w:sz w:val="18"/>
                <w:szCs w:val="20"/>
              </w:rPr>
              <w:t>$62,344</w:t>
            </w:r>
          </w:p>
        </w:tc>
      </w:tr>
      <w:tr w:rsidR="00067612" w:rsidTr="001F383B">
        <w:tc>
          <w:tcPr>
            <w:tcW w:w="0" w:type="auto"/>
          </w:tcPr>
          <w:p w:rsidR="00067612" w:rsidRDefault="00067612" w:rsidP="001F383B">
            <w:pPr>
              <w:spacing w:after="120"/>
              <w:rPr>
                <w:sz w:val="18"/>
                <w:szCs w:val="20"/>
              </w:rPr>
            </w:pPr>
            <w:r>
              <w:rPr>
                <w:sz w:val="18"/>
                <w:szCs w:val="20"/>
              </w:rPr>
              <w:t>Michael Skinner</w:t>
            </w:r>
          </w:p>
        </w:tc>
        <w:tc>
          <w:tcPr>
            <w:tcW w:w="0" w:type="auto"/>
          </w:tcPr>
          <w:p w:rsidR="00067612" w:rsidRDefault="00067612" w:rsidP="001F383B">
            <w:pPr>
              <w:spacing w:after="120"/>
              <w:jc w:val="center"/>
              <w:rPr>
                <w:sz w:val="18"/>
                <w:szCs w:val="20"/>
              </w:rPr>
            </w:pPr>
            <w:r>
              <w:rPr>
                <w:sz w:val="18"/>
                <w:szCs w:val="20"/>
              </w:rPr>
              <w:t>$50,000</w:t>
            </w:r>
          </w:p>
        </w:tc>
        <w:tc>
          <w:tcPr>
            <w:tcW w:w="0" w:type="auto"/>
          </w:tcPr>
          <w:p w:rsidR="00067612" w:rsidRDefault="00067612" w:rsidP="001F383B">
            <w:pPr>
              <w:spacing w:after="120"/>
              <w:jc w:val="center"/>
              <w:rPr>
                <w:sz w:val="18"/>
                <w:szCs w:val="20"/>
              </w:rPr>
            </w:pPr>
            <w:r>
              <w:rPr>
                <w:sz w:val="18"/>
                <w:szCs w:val="20"/>
              </w:rPr>
              <w:t>-</w:t>
            </w:r>
          </w:p>
        </w:tc>
        <w:tc>
          <w:tcPr>
            <w:tcW w:w="0" w:type="auto"/>
          </w:tcPr>
          <w:p w:rsidR="00067612" w:rsidRDefault="00067612" w:rsidP="001F383B">
            <w:pPr>
              <w:spacing w:after="120"/>
              <w:jc w:val="center"/>
              <w:rPr>
                <w:sz w:val="18"/>
                <w:szCs w:val="20"/>
              </w:rPr>
            </w:pPr>
            <w:r>
              <w:rPr>
                <w:sz w:val="18"/>
                <w:szCs w:val="20"/>
              </w:rPr>
              <w:t>$12,344</w:t>
            </w:r>
          </w:p>
        </w:tc>
        <w:tc>
          <w:tcPr>
            <w:tcW w:w="0" w:type="auto"/>
          </w:tcPr>
          <w:p w:rsidR="00067612" w:rsidRDefault="00067612" w:rsidP="001F383B">
            <w:pPr>
              <w:spacing w:after="120"/>
              <w:jc w:val="center"/>
              <w:rPr>
                <w:sz w:val="18"/>
                <w:szCs w:val="20"/>
              </w:rPr>
            </w:pPr>
            <w:r>
              <w:rPr>
                <w:sz w:val="18"/>
                <w:szCs w:val="20"/>
              </w:rPr>
              <w:t>-</w:t>
            </w:r>
          </w:p>
        </w:tc>
        <w:tc>
          <w:tcPr>
            <w:tcW w:w="0" w:type="auto"/>
          </w:tcPr>
          <w:p w:rsidR="00067612" w:rsidRDefault="00067612" w:rsidP="001F383B">
            <w:pPr>
              <w:spacing w:after="120"/>
              <w:jc w:val="center"/>
              <w:rPr>
                <w:sz w:val="18"/>
                <w:szCs w:val="20"/>
              </w:rPr>
            </w:pPr>
            <w:r>
              <w:rPr>
                <w:sz w:val="18"/>
                <w:szCs w:val="20"/>
              </w:rPr>
              <w:t>-</w:t>
            </w:r>
          </w:p>
        </w:tc>
        <w:tc>
          <w:tcPr>
            <w:tcW w:w="0" w:type="auto"/>
          </w:tcPr>
          <w:p w:rsidR="00067612" w:rsidRDefault="00067612" w:rsidP="001F383B">
            <w:pPr>
              <w:spacing w:after="120"/>
              <w:jc w:val="center"/>
              <w:rPr>
                <w:sz w:val="18"/>
                <w:szCs w:val="20"/>
              </w:rPr>
            </w:pPr>
            <w:r>
              <w:rPr>
                <w:sz w:val="18"/>
                <w:szCs w:val="20"/>
              </w:rPr>
              <w:t>-</w:t>
            </w:r>
          </w:p>
        </w:tc>
        <w:tc>
          <w:tcPr>
            <w:tcW w:w="0" w:type="auto"/>
          </w:tcPr>
          <w:p w:rsidR="00067612" w:rsidRDefault="00067612" w:rsidP="001F383B">
            <w:pPr>
              <w:spacing w:after="120"/>
              <w:jc w:val="center"/>
              <w:rPr>
                <w:sz w:val="18"/>
                <w:szCs w:val="20"/>
              </w:rPr>
            </w:pPr>
            <w:r>
              <w:rPr>
                <w:sz w:val="18"/>
                <w:szCs w:val="20"/>
              </w:rPr>
              <w:t>$62,344</w:t>
            </w:r>
          </w:p>
        </w:tc>
      </w:tr>
    </w:tbl>
    <w:p w:rsidR="00067612" w:rsidRDefault="00067612" w:rsidP="00067612">
      <w:pPr>
        <w:spacing w:before="50" w:after="50"/>
        <w:ind w:left="720" w:hanging="720"/>
        <w:rPr>
          <w:sz w:val="18"/>
          <w:szCs w:val="18"/>
        </w:rPr>
      </w:pPr>
    </w:p>
    <w:p w:rsidR="00067612" w:rsidRDefault="00067612" w:rsidP="00067612">
      <w:pPr>
        <w:spacing w:before="50" w:after="50"/>
        <w:ind w:left="720" w:hanging="720"/>
        <w:rPr>
          <w:sz w:val="18"/>
          <w:szCs w:val="20"/>
        </w:rPr>
      </w:pPr>
      <w:r>
        <w:rPr>
          <w:sz w:val="18"/>
          <w:szCs w:val="20"/>
          <w:vertAlign w:val="superscript"/>
        </w:rPr>
        <w:t>(1)</w:t>
      </w:r>
      <w:r>
        <w:rPr>
          <w:sz w:val="18"/>
          <w:szCs w:val="20"/>
        </w:rPr>
        <w:tab/>
        <w:t>All directors received the amount of cash compensation to which they were entitled under the Board Compensation Plan, as described in the paragraphs directly preceding this Director Compensation Table in the section entitled “Director Compensation.”</w:t>
      </w:r>
    </w:p>
    <w:p w:rsidR="00067612" w:rsidRDefault="00067612" w:rsidP="00067612">
      <w:pPr>
        <w:spacing w:before="50" w:after="50"/>
        <w:ind w:left="720" w:hanging="720"/>
        <w:rPr>
          <w:sz w:val="18"/>
          <w:szCs w:val="20"/>
        </w:rPr>
      </w:pPr>
      <w:r>
        <w:rPr>
          <w:sz w:val="18"/>
          <w:szCs w:val="20"/>
          <w:vertAlign w:val="superscript"/>
        </w:rPr>
        <w:t>(2)</w:t>
      </w:r>
      <w:r>
        <w:rPr>
          <w:sz w:val="18"/>
          <w:szCs w:val="20"/>
        </w:rPr>
        <w:tab/>
        <w:t xml:space="preserve">Represents the grant date fair value of options awarded during the fiscal year ended December 31, 2011, in accordance with Financial Accounting Standards Board Accounting Standards Codification Topic 718, Compensation – Stock Compensation. The assumptions used to determine the valuation of the awards are discussed in Note 5 to our consolidated financial statements. At fiscal year end the aggregate number of option awards outstanding for each non-employee director then serving as a director was as follows: Trevor D’Souza, 9,333; Keith </w:t>
      </w:r>
      <w:proofErr w:type="spellStart"/>
      <w:r>
        <w:rPr>
          <w:sz w:val="18"/>
          <w:szCs w:val="20"/>
        </w:rPr>
        <w:t>Fenhaus</w:t>
      </w:r>
      <w:proofErr w:type="spellEnd"/>
      <w:r>
        <w:rPr>
          <w:sz w:val="18"/>
          <w:szCs w:val="20"/>
        </w:rPr>
        <w:t xml:space="preserve">, 18,000; Robert Morrison, 18,000; Graham Richmond, 14,000; and Michael Skinner, 14,000. </w:t>
      </w:r>
    </w:p>
    <w:p w:rsidR="00067612" w:rsidRDefault="00067612" w:rsidP="00067612">
      <w:pPr>
        <w:spacing w:before="50" w:after="50"/>
        <w:ind w:left="720" w:hanging="720"/>
        <w:rPr>
          <w:b/>
          <w:sz w:val="18"/>
          <w:szCs w:val="20"/>
        </w:rPr>
      </w:pPr>
      <w:r>
        <w:rPr>
          <w:sz w:val="18"/>
          <w:szCs w:val="20"/>
        </w:rPr>
        <w:t>(3)</w:t>
      </w:r>
      <w:r>
        <w:rPr>
          <w:sz w:val="18"/>
          <w:szCs w:val="20"/>
        </w:rPr>
        <w:tab/>
        <w:t xml:space="preserve">Includes an option to purchase 3,333 shares that was granted to Mr. D’Souza on January 11, 2011, following a revision of the 2009 Board Compensation Plan, for service provided during 2010.  Prior to the revision to the 2009 Board Compensation Plan, Mr. D’Souza was not eligible for an option award because he served as a representative </w:t>
      </w:r>
      <w:proofErr w:type="gramStart"/>
      <w:r>
        <w:rPr>
          <w:sz w:val="18"/>
          <w:szCs w:val="20"/>
        </w:rPr>
        <w:t xml:space="preserve">of  </w:t>
      </w:r>
      <w:proofErr w:type="spellStart"/>
      <w:r>
        <w:rPr>
          <w:sz w:val="18"/>
          <w:szCs w:val="20"/>
        </w:rPr>
        <w:t>LaunchEquity</w:t>
      </w:r>
      <w:proofErr w:type="spellEnd"/>
      <w:proofErr w:type="gramEnd"/>
      <w:r>
        <w:rPr>
          <w:sz w:val="18"/>
          <w:szCs w:val="20"/>
        </w:rPr>
        <w:t xml:space="preserve"> Partners, LLC .</w:t>
      </w:r>
    </w:p>
    <w:p w:rsidR="00067612" w:rsidRDefault="00067612" w:rsidP="00067612">
      <w:pPr>
        <w:pStyle w:val="BodyText"/>
        <w:ind w:left="720" w:hanging="720"/>
        <w:rPr>
          <w:sz w:val="18"/>
          <w:vertAlign w:val="superscript"/>
        </w:rPr>
      </w:pPr>
    </w:p>
    <w:p w:rsidR="00067612" w:rsidRDefault="00067612" w:rsidP="00067612">
      <w:pPr>
        <w:pStyle w:val="BodyText"/>
        <w:rPr>
          <w:b/>
          <w:sz w:val="20"/>
          <w:szCs w:val="22"/>
        </w:rPr>
      </w:pPr>
    </w:p>
    <w:p w:rsidR="00067612" w:rsidRDefault="00067612" w:rsidP="00067612">
      <w:pPr>
        <w:pStyle w:val="BodyText"/>
        <w:rPr>
          <w:b/>
          <w:sz w:val="20"/>
          <w:szCs w:val="22"/>
        </w:rPr>
      </w:pPr>
    </w:p>
    <w:p w:rsidR="00067612" w:rsidRDefault="00067612" w:rsidP="00D51EA1">
      <w:pPr>
        <w:pStyle w:val="Heading2"/>
      </w:pPr>
      <w:bookmarkStart w:id="36" w:name="_Toc319405353"/>
      <w:proofErr w:type="gramStart"/>
      <w:r>
        <w:t>ITEM 1</w:t>
      </w:r>
      <w:r>
        <w:rPr>
          <w:szCs w:val="20"/>
        </w:rPr>
        <w:t>2</w:t>
      </w:r>
      <w:r>
        <w:t>.</w:t>
      </w:r>
      <w:proofErr w:type="gramEnd"/>
      <w:r>
        <w:t xml:space="preserve">  </w:t>
      </w:r>
      <w:r w:rsidR="00D51EA1">
        <w:tab/>
      </w:r>
      <w:r>
        <w:t>SECURITY OWNERSHIP OF CERTAIN BENEFICIAL OWNERS AND MANAGEMENT AND RELATED STOCKHOLDER MATTERS</w:t>
      </w:r>
      <w:bookmarkEnd w:id="36"/>
    </w:p>
    <w:p w:rsidR="00067612" w:rsidRDefault="00067612" w:rsidP="00067612">
      <w:pPr>
        <w:pStyle w:val="BodyText"/>
        <w:rPr>
          <w:b/>
          <w:sz w:val="20"/>
          <w:szCs w:val="22"/>
        </w:rPr>
      </w:pPr>
    </w:p>
    <w:p w:rsidR="00067612" w:rsidRDefault="00067612" w:rsidP="00067612">
      <w:pPr>
        <w:pStyle w:val="BodyText"/>
        <w:jc w:val="center"/>
        <w:rPr>
          <w:b/>
          <w:sz w:val="20"/>
          <w:szCs w:val="22"/>
        </w:rPr>
      </w:pPr>
      <w:r>
        <w:rPr>
          <w:b/>
          <w:bCs/>
          <w:sz w:val="20"/>
          <w:szCs w:val="22"/>
        </w:rPr>
        <w:t>PRINCIPAL SHAREHOLDERS</w:t>
      </w:r>
    </w:p>
    <w:p w:rsidR="00067612" w:rsidRDefault="00067612" w:rsidP="00067612">
      <w:pPr>
        <w:pStyle w:val="BodyText"/>
        <w:rPr>
          <w:sz w:val="20"/>
          <w:szCs w:val="22"/>
        </w:rPr>
      </w:pPr>
    </w:p>
    <w:p w:rsidR="00067612" w:rsidRDefault="00067612" w:rsidP="00067612">
      <w:pPr>
        <w:pStyle w:val="BodyText"/>
        <w:rPr>
          <w:sz w:val="20"/>
          <w:szCs w:val="22"/>
        </w:rPr>
      </w:pPr>
      <w:r>
        <w:rPr>
          <w:sz w:val="18"/>
        </w:rPr>
        <w:tab/>
      </w:r>
      <w:r>
        <w:rPr>
          <w:sz w:val="20"/>
          <w:szCs w:val="22"/>
        </w:rPr>
        <w:t xml:space="preserve">The following table provides information concerning persons known to us to be the beneficial owners of more than 5% of our outstanding Common Stock as of March </w:t>
      </w:r>
      <w:r w:rsidRPr="00C576B1">
        <w:rPr>
          <w:sz w:val="20"/>
          <w:szCs w:val="22"/>
        </w:rPr>
        <w:t>13</w:t>
      </w:r>
      <w:r w:rsidRPr="00B75733">
        <w:rPr>
          <w:sz w:val="20"/>
          <w:szCs w:val="22"/>
        </w:rPr>
        <w:t>,</w:t>
      </w:r>
      <w:r>
        <w:rPr>
          <w:sz w:val="20"/>
          <w:szCs w:val="22"/>
        </w:rPr>
        <w:t xml:space="preserve"> 2012. Unless otherwise indicated, the shareholders listed in the table have sole voting and investment powers with respect to the shares indicated.</w:t>
      </w:r>
    </w:p>
    <w:p w:rsidR="00067612" w:rsidRDefault="00067612" w:rsidP="00067612">
      <w:pPr>
        <w:pStyle w:val="BodyText"/>
        <w:rPr>
          <w:sz w:val="20"/>
          <w:szCs w:val="22"/>
        </w:rPr>
      </w:pPr>
    </w:p>
    <w:tbl>
      <w:tblPr>
        <w:tblW w:w="0" w:type="auto"/>
        <w:tblInd w:w="152" w:type="dxa"/>
        <w:tblLayout w:type="fixed"/>
        <w:tblCellMar>
          <w:left w:w="0" w:type="dxa"/>
          <w:right w:w="0" w:type="dxa"/>
        </w:tblCellMar>
        <w:tblLook w:val="0000" w:firstRow="0" w:lastRow="0" w:firstColumn="0" w:lastColumn="0" w:noHBand="0" w:noVBand="0"/>
      </w:tblPr>
      <w:tblGrid>
        <w:gridCol w:w="5128"/>
        <w:gridCol w:w="2144"/>
        <w:gridCol w:w="1704"/>
      </w:tblGrid>
      <w:tr w:rsidR="00067612" w:rsidTr="001F383B">
        <w:trPr>
          <w:cantSplit/>
        </w:trPr>
        <w:tc>
          <w:tcPr>
            <w:tcW w:w="5128" w:type="dxa"/>
          </w:tcPr>
          <w:p w:rsidR="00067612" w:rsidRDefault="00067612" w:rsidP="001F383B">
            <w:pPr>
              <w:keepNext/>
              <w:spacing w:before="60" w:after="60"/>
              <w:rPr>
                <w:b/>
                <w:bCs/>
                <w:sz w:val="18"/>
                <w:szCs w:val="20"/>
              </w:rPr>
            </w:pPr>
            <w:r>
              <w:rPr>
                <w:b/>
                <w:bCs/>
                <w:sz w:val="18"/>
                <w:szCs w:val="20"/>
              </w:rPr>
              <w:t>Name and Address</w:t>
            </w:r>
          </w:p>
          <w:p w:rsidR="00067612" w:rsidRDefault="00067612" w:rsidP="001F383B">
            <w:pPr>
              <w:keepNext/>
              <w:spacing w:before="60" w:after="60"/>
              <w:rPr>
                <w:b/>
                <w:bCs/>
                <w:sz w:val="18"/>
                <w:szCs w:val="20"/>
                <w:u w:val="single"/>
              </w:rPr>
            </w:pPr>
            <w:r>
              <w:rPr>
                <w:b/>
                <w:bCs/>
                <w:sz w:val="18"/>
                <w:szCs w:val="18"/>
                <w:u w:val="single"/>
              </w:rPr>
              <w:t xml:space="preserve">of </w:t>
            </w:r>
            <w:r>
              <w:rPr>
                <w:b/>
                <w:bCs/>
                <w:sz w:val="18"/>
                <w:szCs w:val="20"/>
                <w:u w:val="single"/>
              </w:rPr>
              <w:t>Beneficial Owner</w:t>
            </w:r>
          </w:p>
        </w:tc>
        <w:tc>
          <w:tcPr>
            <w:tcW w:w="2144" w:type="dxa"/>
          </w:tcPr>
          <w:p w:rsidR="00067612" w:rsidRDefault="00067612" w:rsidP="001F383B">
            <w:pPr>
              <w:keepNext/>
              <w:spacing w:before="60" w:after="60"/>
              <w:jc w:val="center"/>
              <w:rPr>
                <w:b/>
                <w:bCs/>
                <w:sz w:val="18"/>
                <w:szCs w:val="20"/>
              </w:rPr>
            </w:pPr>
            <w:r>
              <w:rPr>
                <w:b/>
                <w:bCs/>
                <w:sz w:val="18"/>
                <w:szCs w:val="20"/>
              </w:rPr>
              <w:t>Number of Shares</w:t>
            </w:r>
          </w:p>
          <w:p w:rsidR="00067612" w:rsidRDefault="00067612" w:rsidP="001F383B">
            <w:pPr>
              <w:keepNext/>
              <w:spacing w:before="60" w:after="60"/>
              <w:jc w:val="center"/>
              <w:rPr>
                <w:b/>
                <w:bCs/>
                <w:sz w:val="18"/>
                <w:szCs w:val="20"/>
                <w:u w:val="single"/>
              </w:rPr>
            </w:pPr>
            <w:r>
              <w:rPr>
                <w:b/>
                <w:bCs/>
                <w:sz w:val="18"/>
                <w:szCs w:val="20"/>
                <w:u w:val="single"/>
              </w:rPr>
              <w:t>Beneficially Owned</w:t>
            </w:r>
          </w:p>
        </w:tc>
        <w:tc>
          <w:tcPr>
            <w:tcW w:w="1704" w:type="dxa"/>
          </w:tcPr>
          <w:p w:rsidR="00067612" w:rsidRDefault="00067612" w:rsidP="001F383B">
            <w:pPr>
              <w:keepNext/>
              <w:spacing w:before="60" w:after="60"/>
              <w:jc w:val="center"/>
              <w:rPr>
                <w:b/>
                <w:bCs/>
                <w:sz w:val="18"/>
                <w:szCs w:val="20"/>
              </w:rPr>
            </w:pPr>
            <w:r>
              <w:rPr>
                <w:b/>
                <w:bCs/>
                <w:sz w:val="18"/>
                <w:szCs w:val="20"/>
              </w:rPr>
              <w:t>Percent</w:t>
            </w:r>
          </w:p>
          <w:p w:rsidR="00067612" w:rsidRDefault="00067612" w:rsidP="001F383B">
            <w:pPr>
              <w:keepNext/>
              <w:spacing w:before="60" w:after="60"/>
              <w:jc w:val="center"/>
              <w:rPr>
                <w:b/>
                <w:bCs/>
                <w:sz w:val="18"/>
                <w:szCs w:val="20"/>
                <w:u w:val="single"/>
              </w:rPr>
            </w:pPr>
            <w:r>
              <w:rPr>
                <w:b/>
                <w:bCs/>
                <w:sz w:val="18"/>
                <w:szCs w:val="18"/>
                <w:u w:val="single"/>
              </w:rPr>
              <w:t xml:space="preserve">of </w:t>
            </w:r>
            <w:r>
              <w:rPr>
                <w:b/>
                <w:bCs/>
                <w:sz w:val="18"/>
                <w:szCs w:val="20"/>
                <w:u w:val="single"/>
              </w:rPr>
              <w:t>Class</w:t>
            </w:r>
          </w:p>
        </w:tc>
      </w:tr>
      <w:tr w:rsidR="00067612" w:rsidTr="001F383B">
        <w:tc>
          <w:tcPr>
            <w:tcW w:w="5128" w:type="dxa"/>
          </w:tcPr>
          <w:p w:rsidR="00067612" w:rsidRDefault="00067612" w:rsidP="001F383B">
            <w:pPr>
              <w:keepNext/>
              <w:rPr>
                <w:i/>
                <w:sz w:val="18"/>
                <w:szCs w:val="20"/>
              </w:rPr>
            </w:pPr>
            <w:proofErr w:type="spellStart"/>
            <w:r>
              <w:rPr>
                <w:i/>
                <w:sz w:val="18"/>
                <w:szCs w:val="20"/>
              </w:rPr>
              <w:t>LaunchEquity</w:t>
            </w:r>
            <w:proofErr w:type="spellEnd"/>
            <w:r>
              <w:rPr>
                <w:i/>
                <w:sz w:val="18"/>
                <w:szCs w:val="20"/>
              </w:rPr>
              <w:t xml:space="preserve"> Partners, LLC – Designated Series Education Partners</w:t>
            </w:r>
          </w:p>
          <w:p w:rsidR="00067612" w:rsidRDefault="00067612" w:rsidP="001F383B">
            <w:pPr>
              <w:keepNext/>
              <w:rPr>
                <w:sz w:val="18"/>
                <w:szCs w:val="20"/>
              </w:rPr>
            </w:pPr>
            <w:r>
              <w:rPr>
                <w:sz w:val="18"/>
                <w:szCs w:val="20"/>
              </w:rPr>
              <w:t>4230 N Oakland Ave #317</w:t>
            </w:r>
          </w:p>
          <w:p w:rsidR="00067612" w:rsidRDefault="00067612" w:rsidP="001F383B">
            <w:pPr>
              <w:keepNext/>
              <w:rPr>
                <w:sz w:val="18"/>
                <w:szCs w:val="20"/>
              </w:rPr>
            </w:pPr>
            <w:r>
              <w:rPr>
                <w:sz w:val="18"/>
                <w:szCs w:val="20"/>
              </w:rPr>
              <w:t>Shorewood, WI 53211-2042</w:t>
            </w:r>
            <w:r>
              <w:rPr>
                <w:sz w:val="18"/>
                <w:szCs w:val="20"/>
              </w:rPr>
              <w:br/>
            </w:r>
          </w:p>
        </w:tc>
        <w:tc>
          <w:tcPr>
            <w:tcW w:w="2144" w:type="dxa"/>
          </w:tcPr>
          <w:p w:rsidR="00067612" w:rsidRDefault="00067612" w:rsidP="001F383B">
            <w:pPr>
              <w:keepNext/>
              <w:tabs>
                <w:tab w:val="decimal" w:pos="1893"/>
              </w:tabs>
              <w:spacing w:before="60" w:after="60"/>
              <w:rPr>
                <w:sz w:val="18"/>
                <w:szCs w:val="20"/>
              </w:rPr>
            </w:pPr>
            <w:r>
              <w:rPr>
                <w:sz w:val="18"/>
                <w:szCs w:val="20"/>
              </w:rPr>
              <w:t>1,362,829</w:t>
            </w:r>
            <w:r>
              <w:rPr>
                <w:sz w:val="18"/>
                <w:szCs w:val="20"/>
                <w:vertAlign w:val="superscript"/>
              </w:rPr>
              <w:t>(1)</w:t>
            </w:r>
          </w:p>
        </w:tc>
        <w:tc>
          <w:tcPr>
            <w:tcW w:w="1704" w:type="dxa"/>
          </w:tcPr>
          <w:p w:rsidR="00067612" w:rsidRPr="00C576B1" w:rsidRDefault="0024432D" w:rsidP="001F383B">
            <w:pPr>
              <w:keepNext/>
              <w:tabs>
                <w:tab w:val="decimal" w:pos="856"/>
              </w:tabs>
              <w:spacing w:before="60" w:after="60"/>
              <w:rPr>
                <w:sz w:val="18"/>
                <w:szCs w:val="20"/>
              </w:rPr>
            </w:pPr>
            <w:r>
              <w:rPr>
                <w:sz w:val="18"/>
                <w:szCs w:val="20"/>
              </w:rPr>
              <w:t>27.6</w:t>
            </w:r>
            <w:r w:rsidR="00067612" w:rsidRPr="00C576B1">
              <w:rPr>
                <w:sz w:val="18"/>
                <w:szCs w:val="20"/>
              </w:rPr>
              <w:t>%</w:t>
            </w:r>
          </w:p>
        </w:tc>
      </w:tr>
      <w:tr w:rsidR="00067612" w:rsidTr="001F383B">
        <w:tc>
          <w:tcPr>
            <w:tcW w:w="5128" w:type="dxa"/>
          </w:tcPr>
          <w:p w:rsidR="00067612" w:rsidRDefault="00067612" w:rsidP="001F383B">
            <w:pPr>
              <w:keepNext/>
              <w:rPr>
                <w:sz w:val="18"/>
                <w:szCs w:val="20"/>
              </w:rPr>
            </w:pPr>
            <w:r>
              <w:rPr>
                <w:i/>
                <w:sz w:val="18"/>
                <w:szCs w:val="20"/>
              </w:rPr>
              <w:t>Bandera Master Fund L.P.</w:t>
            </w:r>
          </w:p>
          <w:p w:rsidR="00067612" w:rsidRDefault="00067612" w:rsidP="001F383B">
            <w:pPr>
              <w:keepNext/>
              <w:rPr>
                <w:sz w:val="18"/>
                <w:szCs w:val="20"/>
              </w:rPr>
            </w:pPr>
            <w:r>
              <w:rPr>
                <w:sz w:val="18"/>
                <w:szCs w:val="20"/>
              </w:rPr>
              <w:t>50 Broad Street</w:t>
            </w:r>
          </w:p>
          <w:p w:rsidR="00067612" w:rsidRDefault="00067612" w:rsidP="001F383B">
            <w:pPr>
              <w:keepNext/>
              <w:rPr>
                <w:sz w:val="18"/>
                <w:szCs w:val="20"/>
              </w:rPr>
            </w:pPr>
            <w:r>
              <w:rPr>
                <w:sz w:val="18"/>
                <w:szCs w:val="20"/>
              </w:rPr>
              <w:t>Suite 1820</w:t>
            </w:r>
          </w:p>
          <w:p w:rsidR="00067612" w:rsidRDefault="00067612" w:rsidP="001F383B">
            <w:pPr>
              <w:keepNext/>
              <w:rPr>
                <w:sz w:val="18"/>
                <w:szCs w:val="20"/>
              </w:rPr>
            </w:pPr>
            <w:r>
              <w:rPr>
                <w:sz w:val="18"/>
                <w:szCs w:val="20"/>
              </w:rPr>
              <w:t>New York, NY 10004</w:t>
            </w:r>
          </w:p>
          <w:p w:rsidR="00067612" w:rsidRDefault="00067612" w:rsidP="001F383B">
            <w:pPr>
              <w:keepNext/>
              <w:rPr>
                <w:sz w:val="18"/>
                <w:szCs w:val="20"/>
              </w:rPr>
            </w:pPr>
          </w:p>
        </w:tc>
        <w:tc>
          <w:tcPr>
            <w:tcW w:w="2144" w:type="dxa"/>
          </w:tcPr>
          <w:p w:rsidR="00067612" w:rsidRDefault="00B75733" w:rsidP="001F383B">
            <w:pPr>
              <w:keepNext/>
              <w:tabs>
                <w:tab w:val="decimal" w:pos="1893"/>
              </w:tabs>
              <w:spacing w:before="60" w:after="60"/>
              <w:rPr>
                <w:sz w:val="18"/>
                <w:szCs w:val="20"/>
                <w:highlight w:val="green"/>
              </w:rPr>
            </w:pPr>
            <w:r>
              <w:rPr>
                <w:sz w:val="18"/>
                <w:szCs w:val="20"/>
              </w:rPr>
              <w:t>520,132</w:t>
            </w:r>
            <w:r w:rsidR="00067612">
              <w:rPr>
                <w:sz w:val="18"/>
                <w:szCs w:val="20"/>
                <w:vertAlign w:val="superscript"/>
              </w:rPr>
              <w:t>(2)</w:t>
            </w:r>
          </w:p>
        </w:tc>
        <w:tc>
          <w:tcPr>
            <w:tcW w:w="1704" w:type="dxa"/>
          </w:tcPr>
          <w:p w:rsidR="00067612" w:rsidRPr="00C576B1" w:rsidRDefault="0024432D" w:rsidP="001F383B">
            <w:pPr>
              <w:keepNext/>
              <w:tabs>
                <w:tab w:val="decimal" w:pos="856"/>
              </w:tabs>
              <w:spacing w:before="60" w:after="60"/>
              <w:rPr>
                <w:sz w:val="18"/>
                <w:szCs w:val="20"/>
              </w:rPr>
            </w:pPr>
            <w:r>
              <w:rPr>
                <w:sz w:val="18"/>
                <w:szCs w:val="20"/>
              </w:rPr>
              <w:t>10.5</w:t>
            </w:r>
            <w:r w:rsidR="00067612" w:rsidRPr="00C576B1">
              <w:rPr>
                <w:sz w:val="18"/>
                <w:szCs w:val="20"/>
              </w:rPr>
              <w:t>%</w:t>
            </w:r>
          </w:p>
        </w:tc>
      </w:tr>
    </w:tbl>
    <w:p w:rsidR="00067612" w:rsidRDefault="00067612" w:rsidP="00067612">
      <w:pPr>
        <w:pStyle w:val="BodyText"/>
        <w:rPr>
          <w:sz w:val="20"/>
          <w:szCs w:val="22"/>
        </w:rPr>
      </w:pPr>
    </w:p>
    <w:p w:rsidR="00067612" w:rsidRDefault="00067612" w:rsidP="00067612">
      <w:pPr>
        <w:widowControl w:val="0"/>
        <w:ind w:left="360" w:hanging="360"/>
        <w:rPr>
          <w:sz w:val="18"/>
          <w:szCs w:val="20"/>
        </w:rPr>
      </w:pPr>
      <w:r>
        <w:rPr>
          <w:sz w:val="18"/>
          <w:szCs w:val="20"/>
          <w:vertAlign w:val="superscript"/>
        </w:rPr>
        <w:t xml:space="preserve"> (1)</w:t>
      </w:r>
      <w:r>
        <w:rPr>
          <w:sz w:val="18"/>
          <w:szCs w:val="20"/>
        </w:rPr>
        <w:tab/>
        <w:t xml:space="preserve">Represents shares held by </w:t>
      </w:r>
      <w:proofErr w:type="spellStart"/>
      <w:r>
        <w:rPr>
          <w:sz w:val="18"/>
          <w:szCs w:val="20"/>
        </w:rPr>
        <w:t>LaunchEquity</w:t>
      </w:r>
      <w:proofErr w:type="spellEnd"/>
      <w:r>
        <w:rPr>
          <w:sz w:val="18"/>
          <w:szCs w:val="20"/>
        </w:rPr>
        <w:t xml:space="preserve"> Acquisition Partners, LLC – Designated Series Education Partners, a designated series of a Delaware series limited liability company (“LEAP”), as set forth in the most recent Schedule 13D/A filed by </w:t>
      </w:r>
      <w:proofErr w:type="spellStart"/>
      <w:r>
        <w:rPr>
          <w:sz w:val="18"/>
          <w:szCs w:val="20"/>
        </w:rPr>
        <w:t>LaunchEquity</w:t>
      </w:r>
      <w:proofErr w:type="spellEnd"/>
      <w:r>
        <w:rPr>
          <w:sz w:val="18"/>
          <w:szCs w:val="20"/>
        </w:rPr>
        <w:t xml:space="preserve"> Partners, LLC with the Securities and Exchange Commission on August 24, 2011. LEAP is solely managed by </w:t>
      </w:r>
      <w:proofErr w:type="spellStart"/>
      <w:r>
        <w:rPr>
          <w:sz w:val="18"/>
          <w:szCs w:val="20"/>
        </w:rPr>
        <w:t>LaunchEquity</w:t>
      </w:r>
      <w:proofErr w:type="spellEnd"/>
      <w:r>
        <w:rPr>
          <w:sz w:val="18"/>
          <w:szCs w:val="20"/>
        </w:rPr>
        <w:t xml:space="preserve"> Partners, LLC, </w:t>
      </w:r>
      <w:proofErr w:type="gramStart"/>
      <w:r>
        <w:rPr>
          <w:sz w:val="18"/>
          <w:szCs w:val="20"/>
        </w:rPr>
        <w:t>an</w:t>
      </w:r>
      <w:proofErr w:type="gramEnd"/>
      <w:r>
        <w:rPr>
          <w:sz w:val="18"/>
          <w:szCs w:val="20"/>
        </w:rPr>
        <w:t xml:space="preserve"> Arizona limited liability company, which is solely managed by Andrew C. Stephens. </w:t>
      </w:r>
      <w:proofErr w:type="spellStart"/>
      <w:r>
        <w:rPr>
          <w:sz w:val="18"/>
          <w:szCs w:val="20"/>
        </w:rPr>
        <w:t>LaunchEquity</w:t>
      </w:r>
      <w:proofErr w:type="spellEnd"/>
      <w:r>
        <w:rPr>
          <w:sz w:val="18"/>
          <w:szCs w:val="20"/>
        </w:rPr>
        <w:t xml:space="preserve"> Partners, LLC and Mr. Stephens, as manager, have voting and dispositive power over all the shares held by LEAP. </w:t>
      </w:r>
    </w:p>
    <w:p w:rsidR="00067612" w:rsidRDefault="00067612" w:rsidP="00067612">
      <w:pPr>
        <w:widowControl w:val="0"/>
        <w:ind w:left="360" w:hanging="360"/>
        <w:rPr>
          <w:sz w:val="18"/>
          <w:szCs w:val="20"/>
        </w:rPr>
      </w:pPr>
    </w:p>
    <w:p w:rsidR="00067612" w:rsidRDefault="00067612" w:rsidP="00067612">
      <w:pPr>
        <w:widowControl w:val="0"/>
        <w:ind w:left="360" w:hanging="360"/>
        <w:rPr>
          <w:sz w:val="18"/>
          <w:szCs w:val="20"/>
        </w:rPr>
      </w:pPr>
      <w:r>
        <w:rPr>
          <w:sz w:val="18"/>
          <w:szCs w:val="20"/>
          <w:vertAlign w:val="superscript"/>
        </w:rPr>
        <w:t>(2)</w:t>
      </w:r>
      <w:r>
        <w:rPr>
          <w:sz w:val="18"/>
          <w:szCs w:val="20"/>
          <w:vertAlign w:val="superscript"/>
        </w:rPr>
        <w:tab/>
      </w:r>
      <w:r w:rsidR="00992EDD">
        <w:rPr>
          <w:sz w:val="18"/>
          <w:szCs w:val="20"/>
        </w:rPr>
        <w:t xml:space="preserve">The total includes 515,132 shares held by Bandera Master Fund L.P. (“Bandera Master Fund”), a Cayman Islands exempted limited partnership, as set forth in the Form 4 filed with the SEC on February 21, 2012 by Bandera Partners LLC, a Delaware limited liability company (“Bandera Partners”).   The Form 13G/A filed by Bandera Partners with the SEC on February 14, 2012 indicates that Bandera Partners is the investment manager of Bandera Master Fund and that Bandera Partners is managed by Gregory </w:t>
      </w:r>
      <w:proofErr w:type="spellStart"/>
      <w:r w:rsidR="00992EDD">
        <w:rPr>
          <w:sz w:val="18"/>
          <w:szCs w:val="20"/>
        </w:rPr>
        <w:t>Bylinsky</w:t>
      </w:r>
      <w:proofErr w:type="spellEnd"/>
      <w:r w:rsidR="00992EDD">
        <w:rPr>
          <w:sz w:val="18"/>
          <w:szCs w:val="20"/>
        </w:rPr>
        <w:t xml:space="preserve">, Jefferson Gramm, and Andrew </w:t>
      </w:r>
      <w:proofErr w:type="spellStart"/>
      <w:r w:rsidR="00992EDD">
        <w:rPr>
          <w:sz w:val="18"/>
          <w:szCs w:val="20"/>
        </w:rPr>
        <w:t>Shipiz</w:t>
      </w:r>
      <w:proofErr w:type="spellEnd"/>
      <w:r w:rsidR="00992EDD">
        <w:rPr>
          <w:sz w:val="18"/>
          <w:szCs w:val="20"/>
        </w:rPr>
        <w:t xml:space="preserve">.  Bandera Partners LLC and Mr. </w:t>
      </w:r>
      <w:proofErr w:type="spellStart"/>
      <w:r w:rsidR="00992EDD">
        <w:rPr>
          <w:sz w:val="18"/>
          <w:szCs w:val="20"/>
        </w:rPr>
        <w:t>Bylinsky</w:t>
      </w:r>
      <w:proofErr w:type="spellEnd"/>
      <w:r w:rsidR="00992EDD">
        <w:rPr>
          <w:sz w:val="18"/>
          <w:szCs w:val="20"/>
        </w:rPr>
        <w:t xml:space="preserve">, Mr. Graham, and Mr. </w:t>
      </w:r>
      <w:proofErr w:type="spellStart"/>
      <w:r w:rsidR="00992EDD">
        <w:rPr>
          <w:sz w:val="18"/>
          <w:szCs w:val="20"/>
        </w:rPr>
        <w:t>Shipiz</w:t>
      </w:r>
      <w:proofErr w:type="spellEnd"/>
      <w:r w:rsidR="00992EDD">
        <w:rPr>
          <w:sz w:val="18"/>
          <w:szCs w:val="20"/>
        </w:rPr>
        <w:t>, as managers, have voting and dispositive power over all the shares held by Bandera Master Fund.</w:t>
      </w:r>
    </w:p>
    <w:p w:rsidR="00067612" w:rsidRDefault="00067612" w:rsidP="00067612">
      <w:pPr>
        <w:widowControl w:val="0"/>
        <w:ind w:left="360" w:hanging="360"/>
        <w:rPr>
          <w:b/>
          <w:bCs/>
          <w:sz w:val="18"/>
          <w:szCs w:val="20"/>
        </w:rPr>
      </w:pPr>
      <w:r>
        <w:rPr>
          <w:sz w:val="18"/>
          <w:szCs w:val="20"/>
        </w:rPr>
        <w:tab/>
        <w:t>The total also include</w:t>
      </w:r>
      <w:r w:rsidR="005366C7">
        <w:rPr>
          <w:sz w:val="18"/>
          <w:szCs w:val="20"/>
        </w:rPr>
        <w:t>s 5,000 shares held by Mr. Gram</w:t>
      </w:r>
      <w:r>
        <w:rPr>
          <w:sz w:val="18"/>
          <w:szCs w:val="20"/>
        </w:rPr>
        <w:t>m, with r</w:t>
      </w:r>
      <w:r w:rsidR="005366C7">
        <w:rPr>
          <w:sz w:val="18"/>
          <w:szCs w:val="20"/>
        </w:rPr>
        <w:t>espect to which shares Mr. Gram</w:t>
      </w:r>
      <w:r>
        <w:rPr>
          <w:sz w:val="18"/>
          <w:szCs w:val="20"/>
        </w:rPr>
        <w:t>m has sole voting and dispositive power</w:t>
      </w:r>
      <w:r w:rsidR="00B75733">
        <w:rPr>
          <w:sz w:val="18"/>
          <w:szCs w:val="20"/>
        </w:rPr>
        <w:t>, as set forth in the Schedule 13G/A filed with the Securities and Exchange Commission by Bandera Partners on February 14, 2012</w:t>
      </w:r>
      <w:r>
        <w:rPr>
          <w:sz w:val="18"/>
          <w:szCs w:val="20"/>
        </w:rPr>
        <w:t>.</w:t>
      </w:r>
    </w:p>
    <w:p w:rsidR="00067612" w:rsidRDefault="00067612" w:rsidP="00067612">
      <w:pPr>
        <w:widowControl w:val="0"/>
        <w:ind w:left="360" w:hanging="360"/>
        <w:rPr>
          <w:b/>
          <w:bCs/>
          <w:sz w:val="20"/>
          <w:szCs w:val="22"/>
        </w:rPr>
      </w:pPr>
    </w:p>
    <w:p w:rsidR="00067612" w:rsidRDefault="00067612" w:rsidP="00067612">
      <w:pPr>
        <w:keepNext/>
        <w:widowControl w:val="0"/>
        <w:jc w:val="center"/>
        <w:rPr>
          <w:b/>
          <w:bCs/>
          <w:sz w:val="20"/>
          <w:szCs w:val="22"/>
        </w:rPr>
      </w:pPr>
      <w:r>
        <w:rPr>
          <w:b/>
          <w:bCs/>
          <w:sz w:val="20"/>
          <w:szCs w:val="22"/>
        </w:rPr>
        <w:t>MANAGEMENT SHAREHOLDINGS</w:t>
      </w:r>
    </w:p>
    <w:p w:rsidR="00067612" w:rsidRDefault="00067612" w:rsidP="00067612">
      <w:pPr>
        <w:keepNext/>
        <w:widowControl w:val="0"/>
        <w:rPr>
          <w:sz w:val="20"/>
          <w:szCs w:val="22"/>
        </w:rPr>
      </w:pPr>
    </w:p>
    <w:p w:rsidR="00067612" w:rsidRDefault="00067612" w:rsidP="00067612">
      <w:pPr>
        <w:keepNext/>
        <w:widowControl w:val="0"/>
        <w:rPr>
          <w:sz w:val="20"/>
          <w:szCs w:val="22"/>
        </w:rPr>
      </w:pPr>
      <w:r>
        <w:rPr>
          <w:sz w:val="20"/>
          <w:szCs w:val="22"/>
        </w:rPr>
        <w:tab/>
        <w:t xml:space="preserve">The following table sets forth the number of shares of Common Stock beneficially owned as of </w:t>
      </w:r>
      <w:r w:rsidRPr="00B75733">
        <w:rPr>
          <w:sz w:val="20"/>
          <w:szCs w:val="22"/>
        </w:rPr>
        <w:t>March 13,</w:t>
      </w:r>
      <w:r>
        <w:rPr>
          <w:sz w:val="20"/>
          <w:szCs w:val="22"/>
        </w:rPr>
        <w:t xml:space="preserve"> 2012, by each of our Named Executive Officers, by each director and by all directors and executive officers as a group. Unless otherwise indicated, the shareholders listed in the table have sole voting and investment powers with respect to the shares indicated. </w:t>
      </w:r>
    </w:p>
    <w:p w:rsidR="00067612" w:rsidRDefault="00067612" w:rsidP="00067612">
      <w:pPr>
        <w:keepNext/>
        <w:rPr>
          <w:sz w:val="18"/>
          <w:szCs w:val="22"/>
        </w:rPr>
      </w:pPr>
    </w:p>
    <w:tbl>
      <w:tblPr>
        <w:tblW w:w="0" w:type="auto"/>
        <w:tblLook w:val="0000" w:firstRow="0" w:lastRow="0" w:firstColumn="0" w:lastColumn="0" w:noHBand="0" w:noVBand="0"/>
      </w:tblPr>
      <w:tblGrid>
        <w:gridCol w:w="3948"/>
        <w:gridCol w:w="2640"/>
        <w:gridCol w:w="1745"/>
      </w:tblGrid>
      <w:tr w:rsidR="00067612" w:rsidTr="001F383B">
        <w:tc>
          <w:tcPr>
            <w:tcW w:w="3948" w:type="dxa"/>
          </w:tcPr>
          <w:p w:rsidR="00067612" w:rsidRDefault="00067612" w:rsidP="001F383B">
            <w:pPr>
              <w:keepNext/>
              <w:rPr>
                <w:sz w:val="18"/>
                <w:szCs w:val="22"/>
              </w:rPr>
            </w:pPr>
            <w:r>
              <w:rPr>
                <w:b/>
                <w:bCs/>
                <w:sz w:val="18"/>
                <w:szCs w:val="22"/>
              </w:rPr>
              <w:t>Name of Beneficial</w:t>
            </w:r>
            <w:r>
              <w:rPr>
                <w:b/>
                <w:bCs/>
                <w:sz w:val="18"/>
                <w:szCs w:val="22"/>
              </w:rPr>
              <w:br/>
            </w:r>
            <w:r>
              <w:rPr>
                <w:b/>
                <w:bCs/>
                <w:sz w:val="18"/>
                <w:szCs w:val="22"/>
                <w:u w:val="single"/>
              </w:rPr>
              <w:t>Owner or Identity of Group</w:t>
            </w:r>
          </w:p>
        </w:tc>
        <w:tc>
          <w:tcPr>
            <w:tcW w:w="2640" w:type="dxa"/>
          </w:tcPr>
          <w:p w:rsidR="00067612" w:rsidRDefault="00067612" w:rsidP="001F383B">
            <w:pPr>
              <w:keepNext/>
              <w:rPr>
                <w:sz w:val="18"/>
                <w:szCs w:val="22"/>
              </w:rPr>
            </w:pPr>
            <w:r>
              <w:rPr>
                <w:b/>
                <w:bCs/>
                <w:sz w:val="18"/>
                <w:szCs w:val="22"/>
              </w:rPr>
              <w:t>Number of Shares</w:t>
            </w:r>
            <w:r>
              <w:rPr>
                <w:b/>
                <w:bCs/>
                <w:sz w:val="18"/>
                <w:szCs w:val="22"/>
              </w:rPr>
              <w:br/>
            </w:r>
            <w:r>
              <w:rPr>
                <w:b/>
                <w:bCs/>
                <w:sz w:val="18"/>
                <w:szCs w:val="22"/>
                <w:u w:val="single"/>
              </w:rPr>
              <w:t>Beneficially Owned</w:t>
            </w:r>
          </w:p>
        </w:tc>
        <w:tc>
          <w:tcPr>
            <w:tcW w:w="1745" w:type="dxa"/>
          </w:tcPr>
          <w:p w:rsidR="00067612" w:rsidRPr="00B75733" w:rsidRDefault="00067612" w:rsidP="001F383B">
            <w:pPr>
              <w:keepNext/>
              <w:rPr>
                <w:b/>
                <w:bCs/>
                <w:sz w:val="18"/>
                <w:szCs w:val="22"/>
              </w:rPr>
            </w:pPr>
            <w:r w:rsidRPr="00B75733">
              <w:rPr>
                <w:b/>
                <w:bCs/>
                <w:sz w:val="18"/>
                <w:szCs w:val="22"/>
              </w:rPr>
              <w:t xml:space="preserve">Percent </w:t>
            </w:r>
            <w:r w:rsidRPr="00B75733">
              <w:rPr>
                <w:b/>
                <w:bCs/>
                <w:sz w:val="18"/>
                <w:szCs w:val="22"/>
              </w:rPr>
              <w:br/>
            </w:r>
            <w:r w:rsidRPr="00B75733">
              <w:rPr>
                <w:b/>
                <w:bCs/>
                <w:sz w:val="18"/>
                <w:szCs w:val="22"/>
                <w:u w:val="single"/>
              </w:rPr>
              <w:t>of Class</w:t>
            </w:r>
            <w:r w:rsidRPr="00B75733">
              <w:rPr>
                <w:bCs/>
                <w:sz w:val="18"/>
                <w:szCs w:val="22"/>
                <w:vertAlign w:val="superscript"/>
              </w:rPr>
              <w:t>(1)</w:t>
            </w:r>
          </w:p>
        </w:tc>
      </w:tr>
      <w:tr w:rsidR="00067612" w:rsidTr="001F383B">
        <w:tc>
          <w:tcPr>
            <w:tcW w:w="3948" w:type="dxa"/>
          </w:tcPr>
          <w:p w:rsidR="00067612" w:rsidRDefault="00067612" w:rsidP="001F383B">
            <w:pPr>
              <w:keepNext/>
              <w:rPr>
                <w:sz w:val="18"/>
                <w:szCs w:val="22"/>
              </w:rPr>
            </w:pPr>
            <w:r>
              <w:rPr>
                <w:sz w:val="18"/>
                <w:szCs w:val="22"/>
              </w:rPr>
              <w:t>Karen T. van Lith</w:t>
            </w:r>
          </w:p>
        </w:tc>
        <w:tc>
          <w:tcPr>
            <w:tcW w:w="2640" w:type="dxa"/>
          </w:tcPr>
          <w:p w:rsidR="00067612" w:rsidRDefault="00067612" w:rsidP="001F383B">
            <w:pPr>
              <w:keepNext/>
              <w:tabs>
                <w:tab w:val="decimal" w:pos="1332"/>
              </w:tabs>
              <w:rPr>
                <w:sz w:val="18"/>
                <w:szCs w:val="22"/>
              </w:rPr>
            </w:pPr>
            <w:r>
              <w:rPr>
                <w:sz w:val="18"/>
                <w:szCs w:val="22"/>
              </w:rPr>
              <w:t>83,644</w:t>
            </w:r>
            <w:r>
              <w:rPr>
                <w:sz w:val="18"/>
                <w:szCs w:val="22"/>
                <w:vertAlign w:val="superscript"/>
              </w:rPr>
              <w:t>(2)</w:t>
            </w:r>
          </w:p>
        </w:tc>
        <w:tc>
          <w:tcPr>
            <w:tcW w:w="1745" w:type="dxa"/>
          </w:tcPr>
          <w:p w:rsidR="00067612" w:rsidRPr="00B75733" w:rsidRDefault="00067612" w:rsidP="001F383B">
            <w:pPr>
              <w:keepNext/>
              <w:tabs>
                <w:tab w:val="decimal" w:pos="732"/>
              </w:tabs>
              <w:rPr>
                <w:sz w:val="18"/>
                <w:szCs w:val="22"/>
              </w:rPr>
            </w:pPr>
            <w:r w:rsidRPr="00B75733">
              <w:rPr>
                <w:sz w:val="18"/>
                <w:szCs w:val="22"/>
              </w:rPr>
              <w:t>1.7%</w:t>
            </w:r>
          </w:p>
        </w:tc>
      </w:tr>
      <w:tr w:rsidR="00067612" w:rsidTr="001F383B">
        <w:tc>
          <w:tcPr>
            <w:tcW w:w="3948" w:type="dxa"/>
          </w:tcPr>
          <w:p w:rsidR="00067612" w:rsidRDefault="00067612" w:rsidP="001F383B">
            <w:pPr>
              <w:keepNext/>
              <w:rPr>
                <w:sz w:val="18"/>
                <w:szCs w:val="22"/>
              </w:rPr>
            </w:pPr>
            <w:r>
              <w:rPr>
                <w:sz w:val="18"/>
                <w:szCs w:val="22"/>
              </w:rPr>
              <w:t>Jeffrey A. Koch</w:t>
            </w:r>
          </w:p>
        </w:tc>
        <w:tc>
          <w:tcPr>
            <w:tcW w:w="2640" w:type="dxa"/>
          </w:tcPr>
          <w:p w:rsidR="00067612" w:rsidRDefault="00067612" w:rsidP="001F383B">
            <w:pPr>
              <w:keepNext/>
              <w:tabs>
                <w:tab w:val="decimal" w:pos="1332"/>
              </w:tabs>
              <w:rPr>
                <w:sz w:val="18"/>
                <w:szCs w:val="20"/>
              </w:rPr>
            </w:pPr>
            <w:r>
              <w:rPr>
                <w:sz w:val="18"/>
                <w:szCs w:val="20"/>
              </w:rPr>
              <w:t>68,870</w:t>
            </w:r>
            <w:r>
              <w:rPr>
                <w:sz w:val="18"/>
                <w:szCs w:val="20"/>
                <w:vertAlign w:val="superscript"/>
              </w:rPr>
              <w:t>(3)</w:t>
            </w:r>
          </w:p>
        </w:tc>
        <w:tc>
          <w:tcPr>
            <w:tcW w:w="1745" w:type="dxa"/>
          </w:tcPr>
          <w:p w:rsidR="00067612" w:rsidRPr="00B75733" w:rsidRDefault="00067612" w:rsidP="0024432D">
            <w:pPr>
              <w:keepNext/>
              <w:tabs>
                <w:tab w:val="decimal" w:pos="732"/>
              </w:tabs>
              <w:rPr>
                <w:sz w:val="18"/>
                <w:szCs w:val="22"/>
              </w:rPr>
            </w:pPr>
            <w:r w:rsidRPr="00B75733">
              <w:rPr>
                <w:sz w:val="18"/>
                <w:szCs w:val="22"/>
              </w:rPr>
              <w:t>1.</w:t>
            </w:r>
            <w:r w:rsidR="0024432D">
              <w:rPr>
                <w:sz w:val="18"/>
                <w:szCs w:val="22"/>
              </w:rPr>
              <w:t>4</w:t>
            </w:r>
            <w:r w:rsidRPr="00B75733">
              <w:rPr>
                <w:sz w:val="18"/>
                <w:szCs w:val="22"/>
              </w:rPr>
              <w:t>%</w:t>
            </w:r>
          </w:p>
        </w:tc>
      </w:tr>
      <w:tr w:rsidR="00067612" w:rsidTr="001F383B">
        <w:tc>
          <w:tcPr>
            <w:tcW w:w="3948" w:type="dxa"/>
          </w:tcPr>
          <w:p w:rsidR="00067612" w:rsidRDefault="00067612" w:rsidP="001F383B">
            <w:pPr>
              <w:keepNext/>
              <w:rPr>
                <w:sz w:val="18"/>
                <w:szCs w:val="22"/>
              </w:rPr>
            </w:pPr>
            <w:r>
              <w:rPr>
                <w:sz w:val="18"/>
                <w:szCs w:val="22"/>
              </w:rPr>
              <w:t>Trevor A. D’Souza</w:t>
            </w:r>
          </w:p>
        </w:tc>
        <w:tc>
          <w:tcPr>
            <w:tcW w:w="2640" w:type="dxa"/>
          </w:tcPr>
          <w:p w:rsidR="00067612" w:rsidRDefault="00067612" w:rsidP="001F383B">
            <w:pPr>
              <w:keepNext/>
              <w:tabs>
                <w:tab w:val="decimal" w:pos="1332"/>
              </w:tabs>
              <w:rPr>
                <w:sz w:val="18"/>
                <w:szCs w:val="22"/>
              </w:rPr>
            </w:pPr>
            <w:r>
              <w:rPr>
                <w:sz w:val="18"/>
                <w:szCs w:val="22"/>
              </w:rPr>
              <w:t>12,333</w:t>
            </w:r>
            <w:r>
              <w:rPr>
                <w:sz w:val="18"/>
                <w:szCs w:val="22"/>
                <w:vertAlign w:val="superscript"/>
              </w:rPr>
              <w:t>(4)</w:t>
            </w:r>
          </w:p>
        </w:tc>
        <w:tc>
          <w:tcPr>
            <w:tcW w:w="1745" w:type="dxa"/>
          </w:tcPr>
          <w:p w:rsidR="00067612" w:rsidRPr="00B75733" w:rsidRDefault="00067612" w:rsidP="001F383B">
            <w:pPr>
              <w:keepNext/>
              <w:tabs>
                <w:tab w:val="decimal" w:pos="732"/>
              </w:tabs>
              <w:rPr>
                <w:sz w:val="18"/>
                <w:szCs w:val="22"/>
              </w:rPr>
            </w:pPr>
            <w:r w:rsidRPr="00B75733">
              <w:rPr>
                <w:sz w:val="18"/>
                <w:szCs w:val="22"/>
              </w:rPr>
              <w:t>*</w:t>
            </w:r>
          </w:p>
        </w:tc>
      </w:tr>
      <w:tr w:rsidR="00067612" w:rsidTr="001F383B">
        <w:tc>
          <w:tcPr>
            <w:tcW w:w="3948" w:type="dxa"/>
          </w:tcPr>
          <w:p w:rsidR="00067612" w:rsidRDefault="00067612" w:rsidP="001F383B">
            <w:pPr>
              <w:keepNext/>
              <w:rPr>
                <w:sz w:val="18"/>
                <w:szCs w:val="22"/>
              </w:rPr>
            </w:pPr>
            <w:r>
              <w:rPr>
                <w:sz w:val="18"/>
                <w:szCs w:val="22"/>
              </w:rPr>
              <w:t xml:space="preserve">Keith A. </w:t>
            </w:r>
            <w:proofErr w:type="spellStart"/>
            <w:r>
              <w:rPr>
                <w:sz w:val="18"/>
                <w:szCs w:val="22"/>
              </w:rPr>
              <w:t>Fenhaus</w:t>
            </w:r>
            <w:proofErr w:type="spellEnd"/>
          </w:p>
        </w:tc>
        <w:tc>
          <w:tcPr>
            <w:tcW w:w="2640" w:type="dxa"/>
          </w:tcPr>
          <w:p w:rsidR="00067612" w:rsidRDefault="00067612" w:rsidP="001F383B">
            <w:pPr>
              <w:keepNext/>
              <w:tabs>
                <w:tab w:val="decimal" w:pos="1332"/>
              </w:tabs>
              <w:rPr>
                <w:sz w:val="18"/>
                <w:szCs w:val="22"/>
              </w:rPr>
            </w:pPr>
            <w:r>
              <w:rPr>
                <w:sz w:val="18"/>
                <w:szCs w:val="22"/>
              </w:rPr>
              <w:t>51,500</w:t>
            </w:r>
            <w:r>
              <w:rPr>
                <w:sz w:val="18"/>
                <w:szCs w:val="20"/>
                <w:vertAlign w:val="superscript"/>
              </w:rPr>
              <w:t>(5)</w:t>
            </w:r>
          </w:p>
        </w:tc>
        <w:tc>
          <w:tcPr>
            <w:tcW w:w="1745" w:type="dxa"/>
          </w:tcPr>
          <w:p w:rsidR="00067612" w:rsidRPr="00B75733" w:rsidRDefault="00067612" w:rsidP="001F383B">
            <w:pPr>
              <w:keepNext/>
              <w:tabs>
                <w:tab w:val="decimal" w:pos="732"/>
              </w:tabs>
              <w:rPr>
                <w:sz w:val="18"/>
                <w:szCs w:val="22"/>
              </w:rPr>
            </w:pPr>
            <w:r w:rsidRPr="00B75733">
              <w:rPr>
                <w:sz w:val="18"/>
                <w:szCs w:val="22"/>
              </w:rPr>
              <w:t>1.0%</w:t>
            </w:r>
          </w:p>
        </w:tc>
      </w:tr>
      <w:tr w:rsidR="00067612" w:rsidTr="001F383B">
        <w:tc>
          <w:tcPr>
            <w:tcW w:w="3948" w:type="dxa"/>
          </w:tcPr>
          <w:p w:rsidR="00067612" w:rsidRDefault="00067612" w:rsidP="001F383B">
            <w:pPr>
              <w:keepNext/>
              <w:rPr>
                <w:sz w:val="18"/>
                <w:szCs w:val="22"/>
              </w:rPr>
            </w:pPr>
            <w:r>
              <w:rPr>
                <w:sz w:val="18"/>
                <w:szCs w:val="22"/>
              </w:rPr>
              <w:t xml:space="preserve">Robert B. Morrison </w:t>
            </w:r>
          </w:p>
        </w:tc>
        <w:tc>
          <w:tcPr>
            <w:tcW w:w="2640" w:type="dxa"/>
          </w:tcPr>
          <w:p w:rsidR="00067612" w:rsidRDefault="00067612" w:rsidP="001F383B">
            <w:pPr>
              <w:keepNext/>
              <w:tabs>
                <w:tab w:val="decimal" w:pos="1332"/>
              </w:tabs>
              <w:rPr>
                <w:sz w:val="18"/>
                <w:szCs w:val="22"/>
              </w:rPr>
            </w:pPr>
            <w:r>
              <w:rPr>
                <w:sz w:val="18"/>
                <w:szCs w:val="22"/>
              </w:rPr>
              <w:t>20,111</w:t>
            </w:r>
            <w:r>
              <w:rPr>
                <w:sz w:val="18"/>
                <w:szCs w:val="20"/>
                <w:vertAlign w:val="superscript"/>
              </w:rPr>
              <w:t>(6)</w:t>
            </w:r>
          </w:p>
        </w:tc>
        <w:tc>
          <w:tcPr>
            <w:tcW w:w="1745" w:type="dxa"/>
          </w:tcPr>
          <w:p w:rsidR="00067612" w:rsidRPr="00B75733" w:rsidRDefault="00067612" w:rsidP="001F383B">
            <w:pPr>
              <w:keepNext/>
              <w:tabs>
                <w:tab w:val="decimal" w:pos="732"/>
              </w:tabs>
              <w:rPr>
                <w:sz w:val="18"/>
                <w:szCs w:val="22"/>
              </w:rPr>
            </w:pPr>
            <w:r w:rsidRPr="00B75733">
              <w:rPr>
                <w:sz w:val="18"/>
                <w:szCs w:val="22"/>
              </w:rPr>
              <w:t>*</w:t>
            </w:r>
          </w:p>
        </w:tc>
      </w:tr>
      <w:tr w:rsidR="00067612" w:rsidTr="001F383B">
        <w:tc>
          <w:tcPr>
            <w:tcW w:w="3948" w:type="dxa"/>
          </w:tcPr>
          <w:p w:rsidR="00067612" w:rsidRDefault="00067612" w:rsidP="001F383B">
            <w:pPr>
              <w:keepNext/>
              <w:rPr>
                <w:sz w:val="18"/>
                <w:szCs w:val="22"/>
              </w:rPr>
            </w:pPr>
            <w:r>
              <w:rPr>
                <w:sz w:val="18"/>
                <w:szCs w:val="22"/>
              </w:rPr>
              <w:t>Graham Richmond</w:t>
            </w:r>
          </w:p>
        </w:tc>
        <w:tc>
          <w:tcPr>
            <w:tcW w:w="2640" w:type="dxa"/>
          </w:tcPr>
          <w:p w:rsidR="00067612" w:rsidRDefault="00067612" w:rsidP="001F383B">
            <w:pPr>
              <w:keepNext/>
              <w:tabs>
                <w:tab w:val="decimal" w:pos="1332"/>
              </w:tabs>
              <w:rPr>
                <w:sz w:val="18"/>
                <w:szCs w:val="22"/>
              </w:rPr>
            </w:pPr>
            <w:r>
              <w:rPr>
                <w:sz w:val="18"/>
                <w:szCs w:val="22"/>
              </w:rPr>
              <w:t>16,000</w:t>
            </w:r>
            <w:r>
              <w:rPr>
                <w:sz w:val="18"/>
                <w:szCs w:val="20"/>
                <w:vertAlign w:val="superscript"/>
              </w:rPr>
              <w:t>(7)</w:t>
            </w:r>
          </w:p>
        </w:tc>
        <w:tc>
          <w:tcPr>
            <w:tcW w:w="1745" w:type="dxa"/>
          </w:tcPr>
          <w:p w:rsidR="00067612" w:rsidRPr="00B75733" w:rsidRDefault="00067612" w:rsidP="001F383B">
            <w:pPr>
              <w:keepNext/>
              <w:tabs>
                <w:tab w:val="decimal" w:pos="732"/>
              </w:tabs>
              <w:rPr>
                <w:sz w:val="18"/>
                <w:szCs w:val="22"/>
              </w:rPr>
            </w:pPr>
            <w:r w:rsidRPr="00B75733">
              <w:rPr>
                <w:sz w:val="18"/>
                <w:szCs w:val="22"/>
              </w:rPr>
              <w:t>*</w:t>
            </w:r>
          </w:p>
        </w:tc>
      </w:tr>
      <w:tr w:rsidR="00067612" w:rsidTr="001F383B">
        <w:tc>
          <w:tcPr>
            <w:tcW w:w="3948" w:type="dxa"/>
          </w:tcPr>
          <w:p w:rsidR="00067612" w:rsidRDefault="00067612" w:rsidP="001F383B">
            <w:pPr>
              <w:keepNext/>
              <w:rPr>
                <w:sz w:val="18"/>
                <w:szCs w:val="22"/>
              </w:rPr>
            </w:pPr>
            <w:r>
              <w:rPr>
                <w:sz w:val="18"/>
                <w:szCs w:val="22"/>
              </w:rPr>
              <w:t>Michael R. Skinner</w:t>
            </w:r>
          </w:p>
        </w:tc>
        <w:tc>
          <w:tcPr>
            <w:tcW w:w="2640" w:type="dxa"/>
          </w:tcPr>
          <w:p w:rsidR="00067612" w:rsidRDefault="00067612" w:rsidP="001F383B">
            <w:pPr>
              <w:keepNext/>
              <w:tabs>
                <w:tab w:val="decimal" w:pos="1332"/>
              </w:tabs>
              <w:rPr>
                <w:sz w:val="18"/>
                <w:szCs w:val="22"/>
              </w:rPr>
            </w:pPr>
            <w:r>
              <w:rPr>
                <w:sz w:val="18"/>
                <w:szCs w:val="22"/>
              </w:rPr>
              <w:t>16,000</w:t>
            </w:r>
            <w:r>
              <w:rPr>
                <w:sz w:val="18"/>
                <w:szCs w:val="22"/>
                <w:vertAlign w:val="superscript"/>
              </w:rPr>
              <w:t>(7)</w:t>
            </w:r>
          </w:p>
        </w:tc>
        <w:tc>
          <w:tcPr>
            <w:tcW w:w="1745" w:type="dxa"/>
          </w:tcPr>
          <w:p w:rsidR="00067612" w:rsidRPr="00B75733" w:rsidRDefault="00067612" w:rsidP="001F383B">
            <w:pPr>
              <w:keepNext/>
              <w:tabs>
                <w:tab w:val="decimal" w:pos="732"/>
              </w:tabs>
              <w:rPr>
                <w:sz w:val="18"/>
                <w:szCs w:val="22"/>
              </w:rPr>
            </w:pPr>
            <w:r w:rsidRPr="00B75733">
              <w:rPr>
                <w:sz w:val="18"/>
                <w:szCs w:val="22"/>
              </w:rPr>
              <w:t>*</w:t>
            </w:r>
          </w:p>
        </w:tc>
      </w:tr>
      <w:tr w:rsidR="00067612" w:rsidTr="001F383B">
        <w:tc>
          <w:tcPr>
            <w:tcW w:w="3948" w:type="dxa"/>
          </w:tcPr>
          <w:p w:rsidR="00067612" w:rsidRDefault="00067612" w:rsidP="001F383B">
            <w:pPr>
              <w:keepNext/>
              <w:rPr>
                <w:sz w:val="18"/>
                <w:szCs w:val="22"/>
              </w:rPr>
            </w:pPr>
            <w:r>
              <w:rPr>
                <w:sz w:val="18"/>
                <w:szCs w:val="22"/>
              </w:rPr>
              <w:t>Karen L. VanDerBosch</w:t>
            </w:r>
          </w:p>
        </w:tc>
        <w:tc>
          <w:tcPr>
            <w:tcW w:w="2640" w:type="dxa"/>
          </w:tcPr>
          <w:p w:rsidR="00067612" w:rsidRDefault="00067612" w:rsidP="001F383B">
            <w:pPr>
              <w:keepNext/>
              <w:tabs>
                <w:tab w:val="decimal" w:pos="1332"/>
              </w:tabs>
              <w:rPr>
                <w:sz w:val="18"/>
                <w:szCs w:val="22"/>
              </w:rPr>
            </w:pPr>
            <w:r>
              <w:rPr>
                <w:sz w:val="18"/>
                <w:szCs w:val="22"/>
              </w:rPr>
              <w:t>119,111</w:t>
            </w:r>
            <w:r>
              <w:rPr>
                <w:sz w:val="18"/>
                <w:szCs w:val="20"/>
                <w:vertAlign w:val="superscript"/>
              </w:rPr>
              <w:t>(8)</w:t>
            </w:r>
          </w:p>
        </w:tc>
        <w:tc>
          <w:tcPr>
            <w:tcW w:w="1745" w:type="dxa"/>
          </w:tcPr>
          <w:p w:rsidR="00067612" w:rsidRPr="00B75733" w:rsidRDefault="00067612" w:rsidP="001F383B">
            <w:pPr>
              <w:keepNext/>
              <w:tabs>
                <w:tab w:val="decimal" w:pos="732"/>
              </w:tabs>
              <w:rPr>
                <w:sz w:val="18"/>
                <w:szCs w:val="22"/>
              </w:rPr>
            </w:pPr>
            <w:r w:rsidRPr="00B75733">
              <w:rPr>
                <w:sz w:val="18"/>
                <w:szCs w:val="22"/>
              </w:rPr>
              <w:t>2.4%</w:t>
            </w:r>
          </w:p>
        </w:tc>
      </w:tr>
      <w:tr w:rsidR="00067612" w:rsidTr="001F383B">
        <w:tc>
          <w:tcPr>
            <w:tcW w:w="3948" w:type="dxa"/>
          </w:tcPr>
          <w:p w:rsidR="00067612" w:rsidRDefault="00067612" w:rsidP="001F383B">
            <w:pPr>
              <w:keepNext/>
              <w:rPr>
                <w:sz w:val="18"/>
                <w:szCs w:val="22"/>
              </w:rPr>
            </w:pPr>
            <w:r>
              <w:rPr>
                <w:sz w:val="18"/>
                <w:szCs w:val="22"/>
              </w:rPr>
              <w:t>Paul D. Carlson</w:t>
            </w:r>
          </w:p>
        </w:tc>
        <w:tc>
          <w:tcPr>
            <w:tcW w:w="2640" w:type="dxa"/>
          </w:tcPr>
          <w:p w:rsidR="00067612" w:rsidRDefault="00067612" w:rsidP="001F383B">
            <w:pPr>
              <w:keepNext/>
              <w:tabs>
                <w:tab w:val="decimal" w:pos="1332"/>
              </w:tabs>
              <w:rPr>
                <w:sz w:val="18"/>
                <w:szCs w:val="22"/>
              </w:rPr>
            </w:pPr>
            <w:r>
              <w:rPr>
                <w:sz w:val="18"/>
                <w:szCs w:val="22"/>
              </w:rPr>
              <w:t>4,680</w:t>
            </w:r>
            <w:r>
              <w:rPr>
                <w:sz w:val="18"/>
                <w:szCs w:val="22"/>
                <w:vertAlign w:val="superscript"/>
              </w:rPr>
              <w:t>(9)</w:t>
            </w:r>
          </w:p>
        </w:tc>
        <w:tc>
          <w:tcPr>
            <w:tcW w:w="1745" w:type="dxa"/>
          </w:tcPr>
          <w:p w:rsidR="00067612" w:rsidRPr="00B75733" w:rsidRDefault="00067612" w:rsidP="001F383B">
            <w:pPr>
              <w:keepNext/>
              <w:tabs>
                <w:tab w:val="decimal" w:pos="732"/>
              </w:tabs>
              <w:rPr>
                <w:sz w:val="18"/>
                <w:szCs w:val="22"/>
              </w:rPr>
            </w:pPr>
            <w:r w:rsidRPr="00B75733">
              <w:rPr>
                <w:sz w:val="18"/>
                <w:szCs w:val="22"/>
              </w:rPr>
              <w:t>*</w:t>
            </w:r>
          </w:p>
        </w:tc>
      </w:tr>
      <w:tr w:rsidR="00067612" w:rsidTr="001F383B">
        <w:tc>
          <w:tcPr>
            <w:tcW w:w="3948" w:type="dxa"/>
          </w:tcPr>
          <w:p w:rsidR="00067612" w:rsidRDefault="00067612" w:rsidP="001F383B">
            <w:pPr>
              <w:keepNext/>
              <w:ind w:left="360" w:hanging="360"/>
              <w:rPr>
                <w:sz w:val="18"/>
                <w:szCs w:val="22"/>
              </w:rPr>
            </w:pPr>
            <w:r>
              <w:rPr>
                <w:sz w:val="18"/>
                <w:szCs w:val="22"/>
              </w:rPr>
              <w:t xml:space="preserve">All current executive officers and directors </w:t>
            </w:r>
            <w:r>
              <w:rPr>
                <w:sz w:val="18"/>
                <w:szCs w:val="22"/>
              </w:rPr>
              <w:br/>
              <w:t>as a group (8 persons)</w:t>
            </w:r>
          </w:p>
        </w:tc>
        <w:tc>
          <w:tcPr>
            <w:tcW w:w="2640" w:type="dxa"/>
          </w:tcPr>
          <w:p w:rsidR="00067612" w:rsidRDefault="00770BE4" w:rsidP="0024432D">
            <w:pPr>
              <w:keepNext/>
              <w:tabs>
                <w:tab w:val="decimal" w:pos="1332"/>
              </w:tabs>
              <w:rPr>
                <w:sz w:val="18"/>
                <w:szCs w:val="22"/>
              </w:rPr>
            </w:pPr>
            <w:r>
              <w:rPr>
                <w:sz w:val="18"/>
                <w:szCs w:val="20"/>
              </w:rPr>
              <w:t>323,379</w:t>
            </w:r>
            <w:r w:rsidR="00067612">
              <w:rPr>
                <w:sz w:val="18"/>
                <w:szCs w:val="20"/>
                <w:vertAlign w:val="superscript"/>
              </w:rPr>
              <w:t>(10)</w:t>
            </w:r>
          </w:p>
        </w:tc>
        <w:tc>
          <w:tcPr>
            <w:tcW w:w="1745" w:type="dxa"/>
          </w:tcPr>
          <w:p w:rsidR="00067612" w:rsidRPr="00B75733" w:rsidRDefault="00770BE4" w:rsidP="001F383B">
            <w:pPr>
              <w:keepNext/>
              <w:tabs>
                <w:tab w:val="decimal" w:pos="732"/>
              </w:tabs>
              <w:rPr>
                <w:sz w:val="18"/>
                <w:szCs w:val="22"/>
              </w:rPr>
            </w:pPr>
            <w:r>
              <w:rPr>
                <w:sz w:val="18"/>
                <w:szCs w:val="22"/>
              </w:rPr>
              <w:t>6.6</w:t>
            </w:r>
            <w:r w:rsidR="00067612" w:rsidRPr="00B75733">
              <w:rPr>
                <w:sz w:val="18"/>
                <w:szCs w:val="22"/>
              </w:rPr>
              <w:t>%</w:t>
            </w:r>
          </w:p>
        </w:tc>
      </w:tr>
    </w:tbl>
    <w:p w:rsidR="00067612" w:rsidRDefault="00067612" w:rsidP="00067612">
      <w:pPr>
        <w:keepNext/>
        <w:rPr>
          <w:sz w:val="18"/>
          <w:szCs w:val="18"/>
        </w:rPr>
      </w:pPr>
      <w:r>
        <w:rPr>
          <w:sz w:val="18"/>
          <w:szCs w:val="18"/>
          <w:u w:val="single"/>
        </w:rPr>
        <w:tab/>
      </w:r>
      <w:r>
        <w:rPr>
          <w:sz w:val="18"/>
          <w:szCs w:val="18"/>
          <w:u w:val="single"/>
        </w:rPr>
        <w:tab/>
      </w:r>
      <w:r>
        <w:rPr>
          <w:sz w:val="18"/>
          <w:szCs w:val="18"/>
          <w:u w:val="single"/>
        </w:rPr>
        <w:tab/>
      </w:r>
    </w:p>
    <w:p w:rsidR="00067612" w:rsidRDefault="00067612" w:rsidP="00067612">
      <w:pPr>
        <w:keepNext/>
        <w:spacing w:before="50" w:after="50"/>
        <w:rPr>
          <w:sz w:val="18"/>
          <w:szCs w:val="18"/>
        </w:rPr>
      </w:pPr>
      <w:r>
        <w:rPr>
          <w:sz w:val="18"/>
          <w:szCs w:val="18"/>
        </w:rPr>
        <w:t>*Less than 1%</w:t>
      </w:r>
    </w:p>
    <w:p w:rsidR="00067612" w:rsidRDefault="00067612" w:rsidP="00067612">
      <w:pPr>
        <w:spacing w:before="50" w:after="50"/>
        <w:ind w:left="720" w:hanging="720"/>
        <w:rPr>
          <w:sz w:val="18"/>
          <w:szCs w:val="20"/>
        </w:rPr>
      </w:pPr>
      <w:r>
        <w:rPr>
          <w:sz w:val="18"/>
          <w:szCs w:val="20"/>
        </w:rPr>
        <w:t xml:space="preserve"> </w:t>
      </w:r>
    </w:p>
    <w:p w:rsidR="00067612" w:rsidRPr="00B75733" w:rsidRDefault="00067612" w:rsidP="00067612">
      <w:pPr>
        <w:spacing w:after="120"/>
        <w:ind w:left="720" w:hanging="720"/>
        <w:rPr>
          <w:sz w:val="18"/>
          <w:szCs w:val="18"/>
        </w:rPr>
      </w:pPr>
      <w:r w:rsidRPr="00B75733">
        <w:rPr>
          <w:sz w:val="18"/>
          <w:szCs w:val="18"/>
          <w:vertAlign w:val="superscript"/>
        </w:rPr>
        <w:t>(1)</w:t>
      </w:r>
      <w:r w:rsidRPr="00B75733">
        <w:rPr>
          <w:sz w:val="18"/>
          <w:szCs w:val="18"/>
        </w:rPr>
        <w:tab/>
        <w:t>Based on 4,934,020 shares of Common Stock issued and outstanding as of March 13, 2012. Shares not outstanding but deemed beneficially owned by virtue of the right of a person to acquire them as of March 13, 2012, or within sixty days of such date, are treated as outstanding only when determining the percent owned by such individual and when determining the percent owned by a group.</w:t>
      </w:r>
    </w:p>
    <w:p w:rsidR="00067612" w:rsidRPr="00B75733" w:rsidRDefault="00067612" w:rsidP="00067612">
      <w:pPr>
        <w:keepNext/>
        <w:spacing w:after="120"/>
        <w:ind w:left="720" w:hanging="720"/>
        <w:rPr>
          <w:sz w:val="18"/>
          <w:szCs w:val="18"/>
        </w:rPr>
      </w:pPr>
      <w:r w:rsidRPr="00B75733">
        <w:rPr>
          <w:sz w:val="18"/>
          <w:szCs w:val="18"/>
          <w:vertAlign w:val="superscript"/>
        </w:rPr>
        <w:t>(2)</w:t>
      </w:r>
      <w:r w:rsidRPr="00B75733">
        <w:rPr>
          <w:sz w:val="18"/>
          <w:szCs w:val="18"/>
        </w:rPr>
        <w:tab/>
        <w:t>Includes 55,000 shares that are owned outright and 28,644 shares that may be purchased upon exercise of options that are exercisable as of March 13, 2012 or within 60 days of such date.</w:t>
      </w:r>
    </w:p>
    <w:p w:rsidR="00067612" w:rsidRPr="00B75733" w:rsidRDefault="00067612" w:rsidP="00067612">
      <w:pPr>
        <w:keepNext/>
        <w:spacing w:after="120"/>
        <w:ind w:left="720" w:hanging="720"/>
        <w:rPr>
          <w:sz w:val="18"/>
          <w:szCs w:val="18"/>
        </w:rPr>
      </w:pPr>
      <w:r w:rsidRPr="00B75733">
        <w:rPr>
          <w:sz w:val="18"/>
          <w:szCs w:val="18"/>
          <w:vertAlign w:val="superscript"/>
        </w:rPr>
        <w:t>(3)</w:t>
      </w:r>
      <w:r w:rsidRPr="00B75733">
        <w:rPr>
          <w:sz w:val="18"/>
          <w:szCs w:val="18"/>
          <w:vertAlign w:val="superscript"/>
        </w:rPr>
        <w:tab/>
      </w:r>
      <w:r w:rsidRPr="00B75733">
        <w:rPr>
          <w:sz w:val="18"/>
          <w:szCs w:val="18"/>
        </w:rPr>
        <w:t>Includes 64,919 shares held by The Koch Family Trust (the “Trust”), 951 shares held by Mr. Koch directly, and 3,000 options that are exercisable as of March 13, 2012 or within 60 days of such date. Mr. Koch is trustee of the Trust and thus has voting and dispositive power over all the shares held by the Trust. Mr. Koch disclaims beneficial ownership of the shares in the Trust except to the extent of his pecuniary interest therein.</w:t>
      </w:r>
    </w:p>
    <w:p w:rsidR="00067612" w:rsidRPr="00B75733" w:rsidRDefault="00067612" w:rsidP="00067612">
      <w:pPr>
        <w:keepNext/>
        <w:spacing w:after="120"/>
        <w:ind w:left="720" w:hanging="720"/>
        <w:rPr>
          <w:sz w:val="18"/>
          <w:szCs w:val="18"/>
        </w:rPr>
      </w:pPr>
      <w:r w:rsidRPr="00B75733">
        <w:rPr>
          <w:sz w:val="18"/>
          <w:szCs w:val="18"/>
          <w:vertAlign w:val="superscript"/>
        </w:rPr>
        <w:t>(4)</w:t>
      </w:r>
      <w:r w:rsidRPr="00B75733">
        <w:rPr>
          <w:sz w:val="18"/>
          <w:szCs w:val="18"/>
          <w:vertAlign w:val="superscript"/>
        </w:rPr>
        <w:tab/>
      </w:r>
      <w:r w:rsidRPr="00B75733">
        <w:rPr>
          <w:sz w:val="18"/>
          <w:szCs w:val="18"/>
        </w:rPr>
        <w:t>Includes 1,000 shares that are owned outright and 11,333 shares that may be purchased upon exercise of options that are exercisable as of March 13, 2012 or within 60 days of such date.</w:t>
      </w:r>
    </w:p>
    <w:p w:rsidR="00067612" w:rsidRPr="00B75733" w:rsidRDefault="00067612" w:rsidP="00067612">
      <w:pPr>
        <w:keepNext/>
        <w:spacing w:after="120"/>
        <w:ind w:left="720" w:hanging="720"/>
        <w:rPr>
          <w:sz w:val="18"/>
          <w:szCs w:val="18"/>
        </w:rPr>
      </w:pPr>
      <w:r w:rsidRPr="00B75733">
        <w:rPr>
          <w:sz w:val="18"/>
          <w:szCs w:val="18"/>
          <w:vertAlign w:val="superscript"/>
        </w:rPr>
        <w:t>(5)</w:t>
      </w:r>
      <w:r w:rsidRPr="00B75733">
        <w:rPr>
          <w:sz w:val="18"/>
          <w:szCs w:val="18"/>
        </w:rPr>
        <w:t xml:space="preserve"> </w:t>
      </w:r>
      <w:r w:rsidRPr="00B75733">
        <w:rPr>
          <w:sz w:val="18"/>
          <w:szCs w:val="18"/>
        </w:rPr>
        <w:tab/>
        <w:t>Includes 35,500 shares that are owned outright and 16,000 shares that may be purchased upon exercise of options that are exercisable as of March 13, 2012 or within 60 days of such date.</w:t>
      </w:r>
    </w:p>
    <w:p w:rsidR="00067612" w:rsidRPr="00B75733" w:rsidRDefault="00067612" w:rsidP="00067612">
      <w:pPr>
        <w:keepNext/>
        <w:spacing w:after="120"/>
        <w:ind w:left="720" w:hanging="720"/>
        <w:rPr>
          <w:sz w:val="18"/>
          <w:szCs w:val="18"/>
        </w:rPr>
      </w:pPr>
      <w:r w:rsidRPr="00B75733">
        <w:rPr>
          <w:sz w:val="18"/>
          <w:szCs w:val="18"/>
          <w:vertAlign w:val="superscript"/>
        </w:rPr>
        <w:t>(6)</w:t>
      </w:r>
      <w:r w:rsidRPr="00B75733">
        <w:rPr>
          <w:sz w:val="18"/>
          <w:szCs w:val="18"/>
        </w:rPr>
        <w:tab/>
        <w:t>Includes 4,111 shares that are owned outright and 16,000 shares that may be purchased upon exercise of options that are exercisable as of March 13, 2012 or within 60 days of such date.</w:t>
      </w:r>
    </w:p>
    <w:p w:rsidR="00067612" w:rsidRPr="00B75733" w:rsidRDefault="00067612" w:rsidP="00067612">
      <w:pPr>
        <w:keepNext/>
        <w:spacing w:after="120"/>
        <w:ind w:left="720" w:hanging="720"/>
        <w:rPr>
          <w:sz w:val="18"/>
          <w:szCs w:val="18"/>
        </w:rPr>
      </w:pPr>
      <w:r w:rsidRPr="00B75733">
        <w:rPr>
          <w:sz w:val="18"/>
          <w:szCs w:val="18"/>
          <w:vertAlign w:val="superscript"/>
        </w:rPr>
        <w:t>(7)</w:t>
      </w:r>
      <w:r w:rsidRPr="00B75733">
        <w:rPr>
          <w:sz w:val="18"/>
          <w:szCs w:val="18"/>
        </w:rPr>
        <w:tab/>
        <w:t>Includes 4,000 shares that are owned outright and 12,000 shares that may be purchased upon exercise of options that are exercisable as of March 13, 2012 or within 60 days of such date.</w:t>
      </w:r>
    </w:p>
    <w:p w:rsidR="00067612" w:rsidRPr="00B75733" w:rsidRDefault="00067612" w:rsidP="00067612">
      <w:pPr>
        <w:spacing w:after="120"/>
        <w:ind w:left="720" w:hanging="720"/>
        <w:rPr>
          <w:sz w:val="18"/>
          <w:szCs w:val="18"/>
        </w:rPr>
      </w:pPr>
      <w:r w:rsidRPr="00B75733">
        <w:rPr>
          <w:sz w:val="18"/>
          <w:szCs w:val="18"/>
          <w:vertAlign w:val="superscript"/>
        </w:rPr>
        <w:t>(8)</w:t>
      </w:r>
      <w:r w:rsidRPr="00B75733">
        <w:rPr>
          <w:sz w:val="18"/>
          <w:szCs w:val="18"/>
        </w:rPr>
        <w:tab/>
        <w:t>Induces 24,780 shares owned outright and 94,331 shares that may be purchased upon exercise of options that are exercisable as of March 13, 2012 or within 60 days of such date.</w:t>
      </w:r>
    </w:p>
    <w:p w:rsidR="00067612" w:rsidRPr="00B75733" w:rsidRDefault="00067612" w:rsidP="00067612">
      <w:pPr>
        <w:spacing w:after="120"/>
        <w:ind w:left="720" w:hanging="720"/>
        <w:rPr>
          <w:sz w:val="18"/>
          <w:szCs w:val="18"/>
        </w:rPr>
      </w:pPr>
      <w:r w:rsidRPr="00B75733">
        <w:rPr>
          <w:sz w:val="18"/>
          <w:szCs w:val="18"/>
          <w:vertAlign w:val="superscript"/>
        </w:rPr>
        <w:t>(9)</w:t>
      </w:r>
      <w:r w:rsidRPr="00B75733">
        <w:rPr>
          <w:sz w:val="18"/>
          <w:szCs w:val="18"/>
        </w:rPr>
        <w:tab/>
        <w:t>Includes 4,680 shares that may be purchased upon exercise of options that are exercisable as of March 13, 2012 or within 60 days of such date.</w:t>
      </w:r>
    </w:p>
    <w:p w:rsidR="00770BE4" w:rsidRDefault="00067612" w:rsidP="00770BE4">
      <w:pPr>
        <w:spacing w:after="120"/>
        <w:ind w:left="720" w:hanging="720"/>
      </w:pPr>
      <w:r w:rsidRPr="00B75733">
        <w:rPr>
          <w:sz w:val="18"/>
          <w:szCs w:val="18"/>
          <w:vertAlign w:val="superscript"/>
        </w:rPr>
        <w:t>(10)</w:t>
      </w:r>
      <w:r w:rsidRPr="00B75733">
        <w:rPr>
          <w:sz w:val="18"/>
          <w:szCs w:val="18"/>
        </w:rPr>
        <w:tab/>
        <w:t xml:space="preserve">Includes </w:t>
      </w:r>
      <w:r w:rsidR="00770BE4" w:rsidRPr="00B75733">
        <w:rPr>
          <w:sz w:val="18"/>
          <w:szCs w:val="18"/>
        </w:rPr>
        <w:t>19</w:t>
      </w:r>
      <w:r w:rsidR="00770BE4">
        <w:rPr>
          <w:sz w:val="18"/>
          <w:szCs w:val="18"/>
        </w:rPr>
        <w:t>4</w:t>
      </w:r>
      <w:r w:rsidRPr="00B75733">
        <w:rPr>
          <w:sz w:val="18"/>
          <w:szCs w:val="18"/>
        </w:rPr>
        <w:t>,988 shares that may be purchased by all officers and directors as a group upon exercise of options exercisable as of March 13, 2012</w:t>
      </w:r>
      <w:r>
        <w:rPr>
          <w:sz w:val="18"/>
          <w:szCs w:val="18"/>
        </w:rPr>
        <w:t xml:space="preserve"> or within 60 days of such date</w:t>
      </w:r>
      <w:r w:rsidR="00770BE4">
        <w:rPr>
          <w:sz w:val="18"/>
          <w:szCs w:val="18"/>
        </w:rPr>
        <w:t xml:space="preserve"> </w:t>
      </w:r>
      <w:r w:rsidR="00770BE4" w:rsidRPr="00770BE4">
        <w:rPr>
          <w:sz w:val="18"/>
          <w:szCs w:val="18"/>
        </w:rPr>
        <w:t>, but does not include shares beneficially owned by Mr. Koch, who was not an executive officer or director on March 13, 2012.</w:t>
      </w:r>
      <w:r w:rsidR="00770BE4">
        <w:rPr>
          <w:rFonts w:ascii="Tahoma" w:hAnsi="Tahoma" w:cs="Tahoma"/>
          <w:color w:val="0000FF"/>
          <w:sz w:val="20"/>
          <w:szCs w:val="20"/>
        </w:rPr>
        <w:t>  </w:t>
      </w:r>
    </w:p>
    <w:p w:rsidR="00067612" w:rsidRDefault="00067612" w:rsidP="00067612">
      <w:pPr>
        <w:spacing w:after="120"/>
        <w:ind w:left="720" w:hanging="720"/>
        <w:rPr>
          <w:sz w:val="18"/>
          <w:szCs w:val="20"/>
        </w:rPr>
      </w:pPr>
    </w:p>
    <w:p w:rsidR="00067612" w:rsidRDefault="00067612" w:rsidP="00067612">
      <w:pPr>
        <w:ind w:left="475" w:hanging="475"/>
        <w:rPr>
          <w:sz w:val="18"/>
          <w:szCs w:val="20"/>
        </w:rPr>
      </w:pPr>
      <w:r>
        <w:rPr>
          <w:sz w:val="20"/>
          <w:szCs w:val="22"/>
        </w:rPr>
        <w:tab/>
      </w:r>
    </w:p>
    <w:p w:rsidR="00067612" w:rsidRDefault="00067612" w:rsidP="00067612">
      <w:pPr>
        <w:keepNext/>
        <w:rPr>
          <w:sz w:val="20"/>
          <w:szCs w:val="22"/>
        </w:rPr>
      </w:pPr>
      <w:r>
        <w:rPr>
          <w:b/>
          <w:sz w:val="20"/>
          <w:szCs w:val="22"/>
        </w:rPr>
        <w:t xml:space="preserve">Securities Authorized for Issuance </w:t>
      </w:r>
      <w:proofErr w:type="gramStart"/>
      <w:r>
        <w:rPr>
          <w:b/>
          <w:sz w:val="20"/>
          <w:szCs w:val="22"/>
        </w:rPr>
        <w:t>Under</w:t>
      </w:r>
      <w:proofErr w:type="gramEnd"/>
      <w:r>
        <w:rPr>
          <w:b/>
          <w:sz w:val="20"/>
          <w:szCs w:val="22"/>
        </w:rPr>
        <w:t xml:space="preserve"> Equity Compensation Plans </w:t>
      </w:r>
    </w:p>
    <w:p w:rsidR="00067612" w:rsidRDefault="00067612" w:rsidP="00067612">
      <w:pPr>
        <w:keepNext/>
        <w:rPr>
          <w:sz w:val="20"/>
          <w:szCs w:val="22"/>
        </w:rPr>
      </w:pPr>
    </w:p>
    <w:p w:rsidR="00067612" w:rsidRDefault="00067612" w:rsidP="00067612">
      <w:pPr>
        <w:keepNext/>
        <w:rPr>
          <w:sz w:val="18"/>
          <w:szCs w:val="20"/>
        </w:rPr>
      </w:pPr>
      <w:r>
        <w:rPr>
          <w:sz w:val="20"/>
          <w:szCs w:val="22"/>
        </w:rPr>
        <w:tab/>
        <w:t>The following table provides information concerning our equity compensation plans as of December 31, 2011:</w:t>
      </w:r>
      <w:r>
        <w:rPr>
          <w:sz w:val="18"/>
          <w:szCs w:val="20"/>
        </w:rPr>
        <w:t> </w:t>
      </w:r>
    </w:p>
    <w:tbl>
      <w:tblPr>
        <w:tblW w:w="4750" w:type="pct"/>
        <w:tblCellMar>
          <w:left w:w="0" w:type="dxa"/>
          <w:right w:w="0" w:type="dxa"/>
        </w:tblCellMar>
        <w:tblLook w:val="0000" w:firstRow="0" w:lastRow="0" w:firstColumn="0" w:lastColumn="0" w:noHBand="0" w:noVBand="0"/>
      </w:tblPr>
      <w:tblGrid>
        <w:gridCol w:w="4483"/>
        <w:gridCol w:w="45"/>
        <w:gridCol w:w="98"/>
        <w:gridCol w:w="1104"/>
        <w:gridCol w:w="45"/>
        <w:gridCol w:w="45"/>
        <w:gridCol w:w="125"/>
        <w:gridCol w:w="1351"/>
        <w:gridCol w:w="45"/>
        <w:gridCol w:w="45"/>
        <w:gridCol w:w="153"/>
        <w:gridCol w:w="1363"/>
        <w:gridCol w:w="45"/>
      </w:tblGrid>
      <w:tr w:rsidR="00067612" w:rsidTr="001F383B">
        <w:trPr>
          <w:trHeight w:val="2628"/>
        </w:trPr>
        <w:tc>
          <w:tcPr>
            <w:tcW w:w="2516" w:type="pct"/>
            <w:tcBorders>
              <w:bottom w:val="single" w:sz="12" w:space="0" w:color="000000"/>
            </w:tcBorders>
            <w:vAlign w:val="bottom"/>
          </w:tcPr>
          <w:p w:rsidR="00067612" w:rsidRDefault="00067612" w:rsidP="001F383B">
            <w:pPr>
              <w:keepNext/>
              <w:rPr>
                <w:sz w:val="22"/>
              </w:rPr>
            </w:pPr>
            <w:r>
              <w:rPr>
                <w:b/>
                <w:bCs/>
                <w:sz w:val="18"/>
                <w:szCs w:val="20"/>
              </w:rPr>
              <w:t>Plan category</w:t>
            </w:r>
          </w:p>
        </w:tc>
        <w:tc>
          <w:tcPr>
            <w:tcW w:w="24" w:type="pct"/>
            <w:tcMar>
              <w:top w:w="0" w:type="dxa"/>
              <w:left w:w="0" w:type="dxa"/>
              <w:bottom w:w="33" w:type="dxa"/>
              <w:right w:w="0" w:type="dxa"/>
            </w:tcMar>
            <w:vAlign w:val="bottom"/>
          </w:tcPr>
          <w:p w:rsidR="00067612" w:rsidRDefault="00067612" w:rsidP="001F383B">
            <w:pPr>
              <w:keepNext/>
              <w:rPr>
                <w:sz w:val="22"/>
              </w:rPr>
            </w:pPr>
            <w:r>
              <w:rPr>
                <w:b/>
                <w:bCs/>
                <w:sz w:val="18"/>
                <w:szCs w:val="20"/>
              </w:rPr>
              <w:t> </w:t>
            </w:r>
          </w:p>
        </w:tc>
        <w:tc>
          <w:tcPr>
            <w:tcW w:w="692" w:type="pct"/>
            <w:gridSpan w:val="2"/>
            <w:tcBorders>
              <w:bottom w:val="single" w:sz="12" w:space="0" w:color="000000"/>
            </w:tcBorders>
            <w:noWrap/>
            <w:tcMar>
              <w:top w:w="0" w:type="dxa"/>
              <w:left w:w="0" w:type="dxa"/>
              <w:bottom w:w="33" w:type="dxa"/>
              <w:right w:w="0" w:type="dxa"/>
            </w:tcMar>
            <w:vAlign w:val="bottom"/>
          </w:tcPr>
          <w:p w:rsidR="00067612" w:rsidRDefault="00067612" w:rsidP="001F383B">
            <w:pPr>
              <w:keepNext/>
              <w:jc w:val="center"/>
              <w:rPr>
                <w:sz w:val="22"/>
              </w:rPr>
            </w:pPr>
            <w:r>
              <w:rPr>
                <w:b/>
                <w:bCs/>
                <w:sz w:val="18"/>
                <w:szCs w:val="20"/>
              </w:rPr>
              <w:t>Number of</w:t>
            </w:r>
          </w:p>
          <w:p w:rsidR="00067612" w:rsidRDefault="00067612" w:rsidP="001F383B">
            <w:pPr>
              <w:keepNext/>
              <w:jc w:val="center"/>
              <w:rPr>
                <w:sz w:val="22"/>
              </w:rPr>
            </w:pPr>
            <w:r>
              <w:rPr>
                <w:b/>
                <w:bCs/>
                <w:sz w:val="18"/>
                <w:szCs w:val="20"/>
              </w:rPr>
              <w:t>securities to be</w:t>
            </w:r>
          </w:p>
          <w:p w:rsidR="00067612" w:rsidRDefault="00067612" w:rsidP="001F383B">
            <w:pPr>
              <w:keepNext/>
              <w:jc w:val="center"/>
              <w:rPr>
                <w:sz w:val="22"/>
              </w:rPr>
            </w:pPr>
            <w:r>
              <w:rPr>
                <w:b/>
                <w:bCs/>
                <w:sz w:val="18"/>
                <w:szCs w:val="20"/>
              </w:rPr>
              <w:t>issued upon</w:t>
            </w:r>
          </w:p>
          <w:p w:rsidR="00067612" w:rsidRDefault="00067612" w:rsidP="001F383B">
            <w:pPr>
              <w:keepNext/>
              <w:jc w:val="center"/>
              <w:rPr>
                <w:sz w:val="22"/>
              </w:rPr>
            </w:pPr>
            <w:r>
              <w:rPr>
                <w:b/>
                <w:bCs/>
                <w:sz w:val="18"/>
                <w:szCs w:val="20"/>
              </w:rPr>
              <w:t>exercise of</w:t>
            </w:r>
          </w:p>
          <w:p w:rsidR="00067612" w:rsidRDefault="00067612" w:rsidP="001F383B">
            <w:pPr>
              <w:keepNext/>
              <w:jc w:val="center"/>
              <w:rPr>
                <w:sz w:val="22"/>
              </w:rPr>
            </w:pPr>
            <w:r>
              <w:rPr>
                <w:b/>
                <w:bCs/>
                <w:sz w:val="18"/>
                <w:szCs w:val="20"/>
              </w:rPr>
              <w:t>outstanding</w:t>
            </w:r>
          </w:p>
          <w:p w:rsidR="00067612" w:rsidRDefault="00067612" w:rsidP="001F383B">
            <w:pPr>
              <w:keepNext/>
              <w:jc w:val="center"/>
              <w:rPr>
                <w:sz w:val="22"/>
              </w:rPr>
            </w:pPr>
            <w:r>
              <w:rPr>
                <w:b/>
                <w:bCs/>
                <w:sz w:val="18"/>
                <w:szCs w:val="20"/>
              </w:rPr>
              <w:t>options</w:t>
            </w:r>
          </w:p>
          <w:p w:rsidR="00067612" w:rsidRDefault="00067612" w:rsidP="001F383B">
            <w:pPr>
              <w:keepNext/>
              <w:jc w:val="center"/>
              <w:rPr>
                <w:sz w:val="22"/>
              </w:rPr>
            </w:pPr>
            <w:r>
              <w:rPr>
                <w:b/>
                <w:bCs/>
                <w:sz w:val="18"/>
                <w:szCs w:val="20"/>
              </w:rPr>
              <w:t>(a)</w:t>
            </w:r>
          </w:p>
        </w:tc>
        <w:tc>
          <w:tcPr>
            <w:tcW w:w="24" w:type="pct"/>
            <w:noWrap/>
            <w:tcMar>
              <w:top w:w="0" w:type="dxa"/>
              <w:left w:w="0" w:type="dxa"/>
              <w:bottom w:w="33" w:type="dxa"/>
              <w:right w:w="0" w:type="dxa"/>
            </w:tcMar>
            <w:vAlign w:val="bottom"/>
          </w:tcPr>
          <w:p w:rsidR="00067612" w:rsidRDefault="00067612" w:rsidP="001F383B">
            <w:pPr>
              <w:keepNext/>
              <w:rPr>
                <w:sz w:val="22"/>
              </w:rPr>
            </w:pPr>
            <w:r>
              <w:rPr>
                <w:b/>
                <w:bCs/>
                <w:sz w:val="18"/>
                <w:szCs w:val="20"/>
              </w:rPr>
              <w:t> </w:t>
            </w:r>
          </w:p>
        </w:tc>
        <w:tc>
          <w:tcPr>
            <w:tcW w:w="24" w:type="pct"/>
            <w:tcMar>
              <w:top w:w="0" w:type="dxa"/>
              <w:left w:w="0" w:type="dxa"/>
              <w:bottom w:w="33" w:type="dxa"/>
              <w:right w:w="0" w:type="dxa"/>
            </w:tcMar>
            <w:vAlign w:val="bottom"/>
          </w:tcPr>
          <w:p w:rsidR="00067612" w:rsidRDefault="00067612" w:rsidP="001F383B">
            <w:pPr>
              <w:keepNext/>
              <w:rPr>
                <w:sz w:val="22"/>
              </w:rPr>
            </w:pPr>
            <w:r>
              <w:rPr>
                <w:b/>
                <w:bCs/>
                <w:sz w:val="18"/>
                <w:szCs w:val="20"/>
              </w:rPr>
              <w:t> </w:t>
            </w:r>
          </w:p>
        </w:tc>
        <w:tc>
          <w:tcPr>
            <w:tcW w:w="845" w:type="pct"/>
            <w:gridSpan w:val="2"/>
            <w:tcBorders>
              <w:bottom w:val="single" w:sz="12" w:space="0" w:color="000000"/>
            </w:tcBorders>
            <w:noWrap/>
            <w:tcMar>
              <w:top w:w="0" w:type="dxa"/>
              <w:left w:w="0" w:type="dxa"/>
              <w:bottom w:w="33" w:type="dxa"/>
              <w:right w:w="0" w:type="dxa"/>
            </w:tcMar>
            <w:vAlign w:val="bottom"/>
          </w:tcPr>
          <w:p w:rsidR="00067612" w:rsidRDefault="00067612" w:rsidP="001F383B">
            <w:pPr>
              <w:keepNext/>
              <w:jc w:val="center"/>
              <w:rPr>
                <w:sz w:val="22"/>
              </w:rPr>
            </w:pPr>
            <w:r>
              <w:rPr>
                <w:b/>
                <w:bCs/>
                <w:sz w:val="18"/>
                <w:szCs w:val="20"/>
              </w:rPr>
              <w:t>Weighted-average</w:t>
            </w:r>
          </w:p>
          <w:p w:rsidR="00067612" w:rsidRDefault="00067612" w:rsidP="001F383B">
            <w:pPr>
              <w:keepNext/>
              <w:jc w:val="center"/>
              <w:rPr>
                <w:sz w:val="22"/>
              </w:rPr>
            </w:pPr>
            <w:r>
              <w:rPr>
                <w:b/>
                <w:bCs/>
                <w:sz w:val="18"/>
                <w:szCs w:val="20"/>
              </w:rPr>
              <w:t>exercise price of</w:t>
            </w:r>
          </w:p>
          <w:p w:rsidR="00067612" w:rsidRDefault="00067612" w:rsidP="001F383B">
            <w:pPr>
              <w:keepNext/>
              <w:jc w:val="center"/>
              <w:rPr>
                <w:sz w:val="22"/>
              </w:rPr>
            </w:pPr>
            <w:r>
              <w:rPr>
                <w:b/>
                <w:bCs/>
                <w:sz w:val="18"/>
                <w:szCs w:val="20"/>
              </w:rPr>
              <w:t>outstanding</w:t>
            </w:r>
          </w:p>
          <w:p w:rsidR="00067612" w:rsidRDefault="00067612" w:rsidP="001F383B">
            <w:pPr>
              <w:keepNext/>
              <w:jc w:val="center"/>
              <w:rPr>
                <w:sz w:val="22"/>
              </w:rPr>
            </w:pPr>
            <w:r>
              <w:rPr>
                <w:b/>
                <w:bCs/>
                <w:sz w:val="18"/>
                <w:szCs w:val="20"/>
              </w:rPr>
              <w:t>options</w:t>
            </w:r>
          </w:p>
          <w:p w:rsidR="00067612" w:rsidRDefault="00067612" w:rsidP="001F383B">
            <w:pPr>
              <w:keepNext/>
              <w:jc w:val="center"/>
              <w:rPr>
                <w:sz w:val="22"/>
              </w:rPr>
            </w:pPr>
            <w:r>
              <w:rPr>
                <w:b/>
                <w:bCs/>
                <w:sz w:val="18"/>
                <w:szCs w:val="20"/>
              </w:rPr>
              <w:t>(b)</w:t>
            </w:r>
          </w:p>
        </w:tc>
        <w:tc>
          <w:tcPr>
            <w:tcW w:w="24" w:type="pct"/>
            <w:noWrap/>
            <w:tcMar>
              <w:top w:w="0" w:type="dxa"/>
              <w:left w:w="0" w:type="dxa"/>
              <w:bottom w:w="33" w:type="dxa"/>
              <w:right w:w="0" w:type="dxa"/>
            </w:tcMar>
            <w:vAlign w:val="bottom"/>
          </w:tcPr>
          <w:p w:rsidR="00067612" w:rsidRDefault="00067612" w:rsidP="001F383B">
            <w:pPr>
              <w:keepNext/>
              <w:rPr>
                <w:sz w:val="22"/>
              </w:rPr>
            </w:pPr>
            <w:r>
              <w:rPr>
                <w:b/>
                <w:bCs/>
                <w:sz w:val="18"/>
                <w:szCs w:val="20"/>
              </w:rPr>
              <w:t> </w:t>
            </w:r>
          </w:p>
        </w:tc>
        <w:tc>
          <w:tcPr>
            <w:tcW w:w="24" w:type="pct"/>
            <w:tcMar>
              <w:top w:w="0" w:type="dxa"/>
              <w:left w:w="0" w:type="dxa"/>
              <w:bottom w:w="33" w:type="dxa"/>
              <w:right w:w="0" w:type="dxa"/>
            </w:tcMar>
            <w:vAlign w:val="bottom"/>
          </w:tcPr>
          <w:p w:rsidR="00067612" w:rsidRDefault="00067612" w:rsidP="001F383B">
            <w:pPr>
              <w:keepNext/>
              <w:rPr>
                <w:sz w:val="22"/>
              </w:rPr>
            </w:pPr>
            <w:r>
              <w:rPr>
                <w:b/>
                <w:bCs/>
                <w:sz w:val="18"/>
                <w:szCs w:val="20"/>
              </w:rPr>
              <w:t> </w:t>
            </w:r>
          </w:p>
        </w:tc>
        <w:tc>
          <w:tcPr>
            <w:tcW w:w="804" w:type="pct"/>
            <w:gridSpan w:val="2"/>
            <w:tcBorders>
              <w:bottom w:val="single" w:sz="12" w:space="0" w:color="000000"/>
            </w:tcBorders>
            <w:noWrap/>
            <w:vAlign w:val="bottom"/>
          </w:tcPr>
          <w:p w:rsidR="00067612" w:rsidRDefault="00067612" w:rsidP="001F383B">
            <w:pPr>
              <w:keepNext/>
              <w:jc w:val="center"/>
              <w:rPr>
                <w:sz w:val="22"/>
              </w:rPr>
            </w:pPr>
            <w:r>
              <w:rPr>
                <w:b/>
                <w:bCs/>
                <w:sz w:val="18"/>
                <w:szCs w:val="20"/>
              </w:rPr>
              <w:t>Number of</w:t>
            </w:r>
          </w:p>
          <w:p w:rsidR="00067612" w:rsidRDefault="00067612" w:rsidP="001F383B">
            <w:pPr>
              <w:keepNext/>
              <w:jc w:val="center"/>
              <w:rPr>
                <w:sz w:val="22"/>
              </w:rPr>
            </w:pPr>
            <w:r>
              <w:rPr>
                <w:b/>
                <w:bCs/>
                <w:sz w:val="18"/>
                <w:szCs w:val="20"/>
              </w:rPr>
              <w:t>securities</w:t>
            </w:r>
          </w:p>
          <w:p w:rsidR="00067612" w:rsidRDefault="00067612" w:rsidP="001F383B">
            <w:pPr>
              <w:keepNext/>
              <w:jc w:val="center"/>
              <w:rPr>
                <w:sz w:val="22"/>
              </w:rPr>
            </w:pPr>
            <w:r>
              <w:rPr>
                <w:b/>
                <w:bCs/>
                <w:sz w:val="18"/>
                <w:szCs w:val="20"/>
              </w:rPr>
              <w:t>remaining</w:t>
            </w:r>
          </w:p>
          <w:p w:rsidR="00067612" w:rsidRDefault="00067612" w:rsidP="001F383B">
            <w:pPr>
              <w:keepNext/>
              <w:jc w:val="center"/>
              <w:rPr>
                <w:sz w:val="22"/>
              </w:rPr>
            </w:pPr>
            <w:r>
              <w:rPr>
                <w:b/>
                <w:bCs/>
                <w:sz w:val="18"/>
                <w:szCs w:val="20"/>
              </w:rPr>
              <w:t>available for</w:t>
            </w:r>
          </w:p>
          <w:p w:rsidR="00067612" w:rsidRDefault="00067612" w:rsidP="001F383B">
            <w:pPr>
              <w:keepNext/>
              <w:jc w:val="center"/>
              <w:rPr>
                <w:sz w:val="22"/>
              </w:rPr>
            </w:pPr>
            <w:r>
              <w:rPr>
                <w:b/>
                <w:bCs/>
                <w:sz w:val="18"/>
                <w:szCs w:val="20"/>
              </w:rPr>
              <w:t>future issuance</w:t>
            </w:r>
          </w:p>
          <w:p w:rsidR="00067612" w:rsidRDefault="00067612" w:rsidP="001F383B">
            <w:pPr>
              <w:keepNext/>
              <w:jc w:val="center"/>
              <w:rPr>
                <w:b/>
                <w:bCs/>
                <w:sz w:val="18"/>
                <w:szCs w:val="20"/>
              </w:rPr>
            </w:pPr>
            <w:r>
              <w:rPr>
                <w:b/>
                <w:bCs/>
                <w:sz w:val="18"/>
                <w:szCs w:val="20"/>
              </w:rPr>
              <w:t xml:space="preserve">under equity </w:t>
            </w:r>
          </w:p>
          <w:p w:rsidR="00067612" w:rsidRDefault="00067612" w:rsidP="001F383B">
            <w:pPr>
              <w:keepNext/>
              <w:jc w:val="center"/>
              <w:rPr>
                <w:b/>
                <w:bCs/>
                <w:sz w:val="18"/>
                <w:szCs w:val="20"/>
              </w:rPr>
            </w:pPr>
            <w:r>
              <w:rPr>
                <w:b/>
                <w:bCs/>
                <w:sz w:val="18"/>
                <w:szCs w:val="20"/>
              </w:rPr>
              <w:t xml:space="preserve">compensation plans </w:t>
            </w:r>
          </w:p>
          <w:p w:rsidR="00067612" w:rsidRDefault="00067612" w:rsidP="001F383B">
            <w:pPr>
              <w:keepNext/>
              <w:jc w:val="center"/>
              <w:rPr>
                <w:sz w:val="22"/>
              </w:rPr>
            </w:pPr>
            <w:r>
              <w:rPr>
                <w:b/>
                <w:bCs/>
                <w:sz w:val="18"/>
                <w:szCs w:val="20"/>
              </w:rPr>
              <w:t>(excluding</w:t>
            </w:r>
          </w:p>
          <w:p w:rsidR="00067612" w:rsidRDefault="00067612" w:rsidP="001F383B">
            <w:pPr>
              <w:keepNext/>
              <w:jc w:val="center"/>
              <w:rPr>
                <w:sz w:val="22"/>
              </w:rPr>
            </w:pPr>
            <w:r>
              <w:rPr>
                <w:b/>
                <w:bCs/>
                <w:sz w:val="18"/>
                <w:szCs w:val="20"/>
              </w:rPr>
              <w:t>securities</w:t>
            </w:r>
          </w:p>
          <w:p w:rsidR="00067612" w:rsidRDefault="00067612" w:rsidP="001F383B">
            <w:pPr>
              <w:keepNext/>
              <w:jc w:val="center"/>
              <w:rPr>
                <w:sz w:val="22"/>
              </w:rPr>
            </w:pPr>
            <w:r>
              <w:rPr>
                <w:b/>
                <w:bCs/>
                <w:sz w:val="18"/>
                <w:szCs w:val="20"/>
              </w:rPr>
              <w:t>reflected in</w:t>
            </w:r>
          </w:p>
          <w:p w:rsidR="00067612" w:rsidRDefault="00067612" w:rsidP="001F383B">
            <w:pPr>
              <w:keepNext/>
              <w:jc w:val="center"/>
              <w:rPr>
                <w:sz w:val="22"/>
              </w:rPr>
            </w:pPr>
            <w:r>
              <w:rPr>
                <w:b/>
                <w:bCs/>
                <w:sz w:val="18"/>
                <w:szCs w:val="20"/>
              </w:rPr>
              <w:t>column (a)</w:t>
            </w:r>
          </w:p>
          <w:p w:rsidR="00067612" w:rsidRDefault="00067612" w:rsidP="001F383B">
            <w:pPr>
              <w:keepNext/>
              <w:jc w:val="center"/>
              <w:rPr>
                <w:sz w:val="22"/>
              </w:rPr>
            </w:pPr>
            <w:r>
              <w:rPr>
                <w:b/>
                <w:bCs/>
                <w:sz w:val="18"/>
                <w:szCs w:val="20"/>
              </w:rPr>
              <w:t>(c)</w:t>
            </w:r>
          </w:p>
        </w:tc>
        <w:tc>
          <w:tcPr>
            <w:tcW w:w="24" w:type="pct"/>
            <w:noWrap/>
            <w:tcMar>
              <w:top w:w="0" w:type="dxa"/>
              <w:left w:w="0" w:type="dxa"/>
              <w:bottom w:w="33" w:type="dxa"/>
              <w:right w:w="0" w:type="dxa"/>
            </w:tcMar>
            <w:vAlign w:val="bottom"/>
          </w:tcPr>
          <w:p w:rsidR="00067612" w:rsidRDefault="00067612" w:rsidP="001F383B">
            <w:pPr>
              <w:keepNext/>
              <w:rPr>
                <w:sz w:val="22"/>
              </w:rPr>
            </w:pPr>
            <w:r>
              <w:rPr>
                <w:b/>
                <w:bCs/>
                <w:sz w:val="18"/>
                <w:szCs w:val="20"/>
              </w:rPr>
              <w:t> </w:t>
            </w:r>
          </w:p>
        </w:tc>
      </w:tr>
      <w:tr w:rsidR="00067612" w:rsidTr="001F383B">
        <w:trPr>
          <w:trHeight w:val="333"/>
        </w:trPr>
        <w:tc>
          <w:tcPr>
            <w:tcW w:w="2516" w:type="pct"/>
            <w:vAlign w:val="bottom"/>
          </w:tcPr>
          <w:p w:rsidR="00067612" w:rsidRDefault="00067612" w:rsidP="001F383B">
            <w:pPr>
              <w:keepNext/>
              <w:rPr>
                <w:sz w:val="22"/>
              </w:rPr>
            </w:pPr>
            <w:r>
              <w:rPr>
                <w:sz w:val="18"/>
                <w:szCs w:val="20"/>
              </w:rPr>
              <w:t>  </w:t>
            </w:r>
          </w:p>
        </w:tc>
        <w:tc>
          <w:tcPr>
            <w:tcW w:w="24" w:type="pct"/>
            <w:vAlign w:val="bottom"/>
          </w:tcPr>
          <w:p w:rsidR="00067612" w:rsidRDefault="00067612" w:rsidP="001F383B">
            <w:pPr>
              <w:keepNext/>
              <w:jc w:val="right"/>
              <w:rPr>
                <w:sz w:val="22"/>
              </w:rPr>
            </w:pPr>
            <w:r>
              <w:rPr>
                <w:sz w:val="18"/>
                <w:szCs w:val="20"/>
              </w:rPr>
              <w:t> </w:t>
            </w:r>
          </w:p>
        </w:tc>
        <w:tc>
          <w:tcPr>
            <w:tcW w:w="692" w:type="pct"/>
            <w:gridSpan w:val="2"/>
            <w:noWrap/>
            <w:vAlign w:val="bottom"/>
          </w:tcPr>
          <w:p w:rsidR="00067612" w:rsidRDefault="00067612" w:rsidP="001F383B">
            <w:pPr>
              <w:keepNext/>
              <w:jc w:val="right"/>
              <w:rPr>
                <w:sz w:val="22"/>
              </w:rPr>
            </w:pPr>
            <w:r>
              <w:rPr>
                <w:sz w:val="22"/>
              </w:rPr>
              <w:t> </w:t>
            </w:r>
          </w:p>
        </w:tc>
        <w:tc>
          <w:tcPr>
            <w:tcW w:w="24" w:type="pct"/>
            <w:noWrap/>
            <w:vAlign w:val="bottom"/>
          </w:tcPr>
          <w:p w:rsidR="00067612" w:rsidRDefault="00067612" w:rsidP="001F383B">
            <w:pPr>
              <w:keepNext/>
              <w:rPr>
                <w:sz w:val="22"/>
              </w:rPr>
            </w:pPr>
            <w:r>
              <w:rPr>
                <w:sz w:val="18"/>
                <w:szCs w:val="20"/>
              </w:rPr>
              <w:t> </w:t>
            </w:r>
          </w:p>
        </w:tc>
        <w:tc>
          <w:tcPr>
            <w:tcW w:w="24" w:type="pct"/>
            <w:vAlign w:val="bottom"/>
          </w:tcPr>
          <w:p w:rsidR="00067612" w:rsidRDefault="00067612" w:rsidP="001F383B">
            <w:pPr>
              <w:keepNext/>
              <w:jc w:val="right"/>
              <w:rPr>
                <w:sz w:val="22"/>
              </w:rPr>
            </w:pPr>
            <w:r>
              <w:rPr>
                <w:sz w:val="18"/>
                <w:szCs w:val="20"/>
              </w:rPr>
              <w:t> </w:t>
            </w:r>
          </w:p>
        </w:tc>
        <w:tc>
          <w:tcPr>
            <w:tcW w:w="845" w:type="pct"/>
            <w:gridSpan w:val="2"/>
            <w:noWrap/>
            <w:vAlign w:val="bottom"/>
          </w:tcPr>
          <w:p w:rsidR="00067612" w:rsidRDefault="00067612" w:rsidP="001F383B">
            <w:pPr>
              <w:keepNext/>
              <w:jc w:val="right"/>
              <w:rPr>
                <w:sz w:val="22"/>
              </w:rPr>
            </w:pPr>
            <w:r>
              <w:rPr>
                <w:sz w:val="22"/>
              </w:rPr>
              <w:t> </w:t>
            </w:r>
          </w:p>
        </w:tc>
        <w:tc>
          <w:tcPr>
            <w:tcW w:w="24" w:type="pct"/>
            <w:noWrap/>
            <w:vAlign w:val="bottom"/>
          </w:tcPr>
          <w:p w:rsidR="00067612" w:rsidRDefault="00067612" w:rsidP="001F383B">
            <w:pPr>
              <w:keepNext/>
              <w:rPr>
                <w:sz w:val="22"/>
              </w:rPr>
            </w:pPr>
            <w:r>
              <w:rPr>
                <w:sz w:val="18"/>
                <w:szCs w:val="20"/>
              </w:rPr>
              <w:t> </w:t>
            </w:r>
          </w:p>
        </w:tc>
        <w:tc>
          <w:tcPr>
            <w:tcW w:w="24" w:type="pct"/>
            <w:vAlign w:val="bottom"/>
          </w:tcPr>
          <w:p w:rsidR="00067612" w:rsidRDefault="00067612" w:rsidP="001F383B">
            <w:pPr>
              <w:keepNext/>
              <w:jc w:val="right"/>
              <w:rPr>
                <w:sz w:val="22"/>
              </w:rPr>
            </w:pPr>
            <w:r>
              <w:rPr>
                <w:sz w:val="18"/>
                <w:szCs w:val="20"/>
              </w:rPr>
              <w:t> </w:t>
            </w:r>
          </w:p>
        </w:tc>
        <w:tc>
          <w:tcPr>
            <w:tcW w:w="804" w:type="pct"/>
            <w:gridSpan w:val="2"/>
            <w:noWrap/>
            <w:vAlign w:val="bottom"/>
          </w:tcPr>
          <w:p w:rsidR="00067612" w:rsidRDefault="00067612" w:rsidP="001F383B">
            <w:pPr>
              <w:keepNext/>
              <w:jc w:val="right"/>
              <w:rPr>
                <w:sz w:val="22"/>
              </w:rPr>
            </w:pPr>
            <w:r>
              <w:rPr>
                <w:sz w:val="22"/>
              </w:rPr>
              <w:t> </w:t>
            </w:r>
          </w:p>
        </w:tc>
        <w:tc>
          <w:tcPr>
            <w:tcW w:w="24" w:type="pct"/>
            <w:noWrap/>
            <w:vAlign w:val="bottom"/>
          </w:tcPr>
          <w:p w:rsidR="00067612" w:rsidRDefault="00067612" w:rsidP="001F383B">
            <w:pPr>
              <w:keepNext/>
              <w:rPr>
                <w:sz w:val="22"/>
              </w:rPr>
            </w:pPr>
            <w:r>
              <w:rPr>
                <w:sz w:val="18"/>
                <w:szCs w:val="20"/>
              </w:rPr>
              <w:t> </w:t>
            </w:r>
          </w:p>
        </w:tc>
      </w:tr>
      <w:tr w:rsidR="00067612" w:rsidTr="001F383B">
        <w:tc>
          <w:tcPr>
            <w:tcW w:w="2516" w:type="pct"/>
            <w:vAlign w:val="bottom"/>
          </w:tcPr>
          <w:p w:rsidR="00067612" w:rsidRDefault="00067612" w:rsidP="001F383B">
            <w:pPr>
              <w:keepNext/>
              <w:rPr>
                <w:sz w:val="18"/>
                <w:szCs w:val="20"/>
              </w:rPr>
            </w:pPr>
            <w:r>
              <w:rPr>
                <w:sz w:val="18"/>
                <w:szCs w:val="20"/>
              </w:rPr>
              <w:t xml:space="preserve">Equity compensation plans approved by </w:t>
            </w:r>
          </w:p>
          <w:p w:rsidR="00067612" w:rsidRDefault="00067612" w:rsidP="001F383B">
            <w:pPr>
              <w:keepNext/>
              <w:rPr>
                <w:sz w:val="22"/>
              </w:rPr>
            </w:pPr>
            <w:r>
              <w:rPr>
                <w:sz w:val="18"/>
                <w:szCs w:val="20"/>
              </w:rPr>
              <w:t>security holders</w:t>
            </w:r>
          </w:p>
        </w:tc>
        <w:tc>
          <w:tcPr>
            <w:tcW w:w="24" w:type="pct"/>
            <w:vAlign w:val="bottom"/>
          </w:tcPr>
          <w:p w:rsidR="00067612" w:rsidRDefault="00067612" w:rsidP="001F383B">
            <w:pPr>
              <w:keepNext/>
              <w:rPr>
                <w:sz w:val="22"/>
              </w:rPr>
            </w:pPr>
            <w:r>
              <w:rPr>
                <w:sz w:val="18"/>
                <w:szCs w:val="20"/>
              </w:rPr>
              <w:t> </w:t>
            </w:r>
          </w:p>
        </w:tc>
        <w:tc>
          <w:tcPr>
            <w:tcW w:w="59" w:type="pct"/>
            <w:vAlign w:val="bottom"/>
          </w:tcPr>
          <w:p w:rsidR="00067612" w:rsidRDefault="00067612" w:rsidP="001F383B">
            <w:pPr>
              <w:keepNext/>
              <w:rPr>
                <w:sz w:val="22"/>
              </w:rPr>
            </w:pPr>
            <w:r>
              <w:rPr>
                <w:sz w:val="18"/>
                <w:szCs w:val="20"/>
              </w:rPr>
              <w:t> </w:t>
            </w:r>
          </w:p>
        </w:tc>
        <w:tc>
          <w:tcPr>
            <w:tcW w:w="633" w:type="pct"/>
            <w:vAlign w:val="bottom"/>
          </w:tcPr>
          <w:p w:rsidR="00067612" w:rsidRDefault="00067612" w:rsidP="001F383B">
            <w:pPr>
              <w:keepNext/>
              <w:jc w:val="right"/>
              <w:rPr>
                <w:sz w:val="22"/>
              </w:rPr>
            </w:pPr>
            <w:r>
              <w:rPr>
                <w:sz w:val="18"/>
                <w:szCs w:val="20"/>
              </w:rPr>
              <w:t>522,971</w:t>
            </w:r>
          </w:p>
        </w:tc>
        <w:tc>
          <w:tcPr>
            <w:tcW w:w="24" w:type="pct"/>
            <w:noWrap/>
            <w:vAlign w:val="bottom"/>
          </w:tcPr>
          <w:p w:rsidR="00067612" w:rsidRDefault="00067612" w:rsidP="001F383B">
            <w:pPr>
              <w:keepNext/>
              <w:rPr>
                <w:sz w:val="22"/>
              </w:rPr>
            </w:pPr>
            <w:r>
              <w:rPr>
                <w:sz w:val="18"/>
                <w:szCs w:val="20"/>
              </w:rPr>
              <w:t> </w:t>
            </w:r>
          </w:p>
        </w:tc>
        <w:tc>
          <w:tcPr>
            <w:tcW w:w="24" w:type="pct"/>
            <w:vAlign w:val="bottom"/>
          </w:tcPr>
          <w:p w:rsidR="00067612" w:rsidRDefault="00067612" w:rsidP="001F383B">
            <w:pPr>
              <w:keepNext/>
              <w:rPr>
                <w:sz w:val="22"/>
              </w:rPr>
            </w:pPr>
            <w:r>
              <w:rPr>
                <w:sz w:val="18"/>
                <w:szCs w:val="20"/>
              </w:rPr>
              <w:t> </w:t>
            </w:r>
          </w:p>
        </w:tc>
        <w:tc>
          <w:tcPr>
            <w:tcW w:w="75" w:type="pct"/>
            <w:vAlign w:val="bottom"/>
          </w:tcPr>
          <w:p w:rsidR="00067612" w:rsidRDefault="00067612" w:rsidP="001F383B">
            <w:pPr>
              <w:keepNext/>
              <w:jc w:val="center"/>
              <w:rPr>
                <w:sz w:val="22"/>
              </w:rPr>
            </w:pPr>
          </w:p>
        </w:tc>
        <w:tc>
          <w:tcPr>
            <w:tcW w:w="770" w:type="pct"/>
            <w:vAlign w:val="bottom"/>
          </w:tcPr>
          <w:p w:rsidR="00067612" w:rsidRDefault="00067612" w:rsidP="001F383B">
            <w:pPr>
              <w:keepNext/>
              <w:jc w:val="center"/>
              <w:rPr>
                <w:sz w:val="22"/>
              </w:rPr>
            </w:pPr>
            <w:r>
              <w:rPr>
                <w:sz w:val="18"/>
                <w:szCs w:val="20"/>
              </w:rPr>
              <w:t>$5.36</w:t>
            </w:r>
          </w:p>
        </w:tc>
        <w:tc>
          <w:tcPr>
            <w:tcW w:w="24" w:type="pct"/>
            <w:noWrap/>
            <w:vAlign w:val="bottom"/>
          </w:tcPr>
          <w:p w:rsidR="00067612" w:rsidRDefault="00067612" w:rsidP="001F383B">
            <w:pPr>
              <w:keepNext/>
              <w:rPr>
                <w:sz w:val="22"/>
              </w:rPr>
            </w:pPr>
            <w:r>
              <w:rPr>
                <w:sz w:val="18"/>
                <w:szCs w:val="20"/>
              </w:rPr>
              <w:t> </w:t>
            </w:r>
          </w:p>
        </w:tc>
        <w:tc>
          <w:tcPr>
            <w:tcW w:w="24" w:type="pct"/>
            <w:vAlign w:val="bottom"/>
          </w:tcPr>
          <w:p w:rsidR="00067612" w:rsidRDefault="00067612" w:rsidP="001F383B">
            <w:pPr>
              <w:keepNext/>
              <w:rPr>
                <w:sz w:val="22"/>
              </w:rPr>
            </w:pPr>
            <w:r>
              <w:rPr>
                <w:sz w:val="18"/>
                <w:szCs w:val="20"/>
              </w:rPr>
              <w:t> </w:t>
            </w:r>
          </w:p>
        </w:tc>
        <w:tc>
          <w:tcPr>
            <w:tcW w:w="81" w:type="pct"/>
            <w:vAlign w:val="bottom"/>
          </w:tcPr>
          <w:p w:rsidR="00067612" w:rsidRDefault="00067612" w:rsidP="001F383B">
            <w:pPr>
              <w:keepNext/>
              <w:rPr>
                <w:sz w:val="22"/>
              </w:rPr>
            </w:pPr>
            <w:r>
              <w:rPr>
                <w:sz w:val="18"/>
                <w:szCs w:val="20"/>
              </w:rPr>
              <w:t> </w:t>
            </w:r>
          </w:p>
        </w:tc>
        <w:tc>
          <w:tcPr>
            <w:tcW w:w="723" w:type="pct"/>
            <w:vAlign w:val="bottom"/>
          </w:tcPr>
          <w:p w:rsidR="00067612" w:rsidRDefault="00067612" w:rsidP="001F383B">
            <w:pPr>
              <w:keepNext/>
              <w:jc w:val="center"/>
              <w:rPr>
                <w:sz w:val="22"/>
              </w:rPr>
            </w:pPr>
            <w:r>
              <w:rPr>
                <w:sz w:val="18"/>
                <w:szCs w:val="20"/>
              </w:rPr>
              <w:t>230,951</w:t>
            </w:r>
          </w:p>
        </w:tc>
        <w:tc>
          <w:tcPr>
            <w:tcW w:w="24" w:type="pct"/>
            <w:noWrap/>
            <w:vAlign w:val="bottom"/>
          </w:tcPr>
          <w:p w:rsidR="00067612" w:rsidRDefault="00067612" w:rsidP="001F383B">
            <w:pPr>
              <w:keepNext/>
              <w:rPr>
                <w:sz w:val="22"/>
              </w:rPr>
            </w:pPr>
            <w:r>
              <w:rPr>
                <w:sz w:val="18"/>
                <w:szCs w:val="20"/>
              </w:rPr>
              <w:t> </w:t>
            </w:r>
          </w:p>
        </w:tc>
      </w:tr>
      <w:tr w:rsidR="00067612" w:rsidTr="001F383B">
        <w:tc>
          <w:tcPr>
            <w:tcW w:w="2516" w:type="pct"/>
            <w:vAlign w:val="bottom"/>
          </w:tcPr>
          <w:p w:rsidR="00067612" w:rsidRDefault="00067612" w:rsidP="001F383B">
            <w:pPr>
              <w:keepNext/>
              <w:rPr>
                <w:sz w:val="18"/>
                <w:szCs w:val="20"/>
              </w:rPr>
            </w:pPr>
            <w:r>
              <w:rPr>
                <w:sz w:val="18"/>
                <w:szCs w:val="20"/>
              </w:rPr>
              <w:t>Total</w:t>
            </w:r>
          </w:p>
        </w:tc>
        <w:tc>
          <w:tcPr>
            <w:tcW w:w="24" w:type="pct"/>
            <w:vAlign w:val="bottom"/>
          </w:tcPr>
          <w:p w:rsidR="00067612" w:rsidRDefault="00067612" w:rsidP="001F383B">
            <w:pPr>
              <w:keepNext/>
              <w:rPr>
                <w:sz w:val="18"/>
                <w:szCs w:val="20"/>
              </w:rPr>
            </w:pPr>
          </w:p>
        </w:tc>
        <w:tc>
          <w:tcPr>
            <w:tcW w:w="59" w:type="pct"/>
            <w:vAlign w:val="bottom"/>
          </w:tcPr>
          <w:p w:rsidR="00067612" w:rsidRDefault="00067612" w:rsidP="001F383B">
            <w:pPr>
              <w:keepNext/>
              <w:rPr>
                <w:sz w:val="18"/>
                <w:szCs w:val="20"/>
              </w:rPr>
            </w:pPr>
          </w:p>
        </w:tc>
        <w:tc>
          <w:tcPr>
            <w:tcW w:w="633" w:type="pct"/>
            <w:vAlign w:val="bottom"/>
          </w:tcPr>
          <w:p w:rsidR="00067612" w:rsidRDefault="00067612" w:rsidP="001F383B">
            <w:pPr>
              <w:keepNext/>
              <w:jc w:val="right"/>
              <w:rPr>
                <w:sz w:val="22"/>
              </w:rPr>
            </w:pPr>
            <w:r>
              <w:rPr>
                <w:sz w:val="18"/>
                <w:szCs w:val="20"/>
              </w:rPr>
              <w:t>522,971</w:t>
            </w:r>
          </w:p>
        </w:tc>
        <w:tc>
          <w:tcPr>
            <w:tcW w:w="24" w:type="pct"/>
            <w:noWrap/>
            <w:vAlign w:val="bottom"/>
          </w:tcPr>
          <w:p w:rsidR="00067612" w:rsidRDefault="00067612" w:rsidP="001F383B">
            <w:pPr>
              <w:keepNext/>
              <w:rPr>
                <w:sz w:val="18"/>
                <w:szCs w:val="20"/>
              </w:rPr>
            </w:pPr>
          </w:p>
        </w:tc>
        <w:tc>
          <w:tcPr>
            <w:tcW w:w="24" w:type="pct"/>
            <w:vAlign w:val="bottom"/>
          </w:tcPr>
          <w:p w:rsidR="00067612" w:rsidRDefault="00067612" w:rsidP="001F383B">
            <w:pPr>
              <w:keepNext/>
              <w:rPr>
                <w:sz w:val="18"/>
                <w:szCs w:val="20"/>
              </w:rPr>
            </w:pPr>
          </w:p>
        </w:tc>
        <w:tc>
          <w:tcPr>
            <w:tcW w:w="75" w:type="pct"/>
            <w:vAlign w:val="bottom"/>
          </w:tcPr>
          <w:p w:rsidR="00067612" w:rsidRDefault="00067612" w:rsidP="001F383B">
            <w:pPr>
              <w:keepNext/>
              <w:jc w:val="center"/>
              <w:rPr>
                <w:sz w:val="22"/>
              </w:rPr>
            </w:pPr>
          </w:p>
        </w:tc>
        <w:tc>
          <w:tcPr>
            <w:tcW w:w="770" w:type="pct"/>
            <w:vAlign w:val="bottom"/>
          </w:tcPr>
          <w:p w:rsidR="00067612" w:rsidRDefault="00067612" w:rsidP="001F383B">
            <w:pPr>
              <w:keepNext/>
              <w:jc w:val="center"/>
              <w:rPr>
                <w:sz w:val="22"/>
              </w:rPr>
            </w:pPr>
            <w:r>
              <w:rPr>
                <w:sz w:val="18"/>
                <w:szCs w:val="20"/>
              </w:rPr>
              <w:t>$5.36</w:t>
            </w:r>
          </w:p>
        </w:tc>
        <w:tc>
          <w:tcPr>
            <w:tcW w:w="24" w:type="pct"/>
            <w:noWrap/>
            <w:vAlign w:val="bottom"/>
          </w:tcPr>
          <w:p w:rsidR="00067612" w:rsidRDefault="00067612" w:rsidP="001F383B">
            <w:pPr>
              <w:keepNext/>
              <w:rPr>
                <w:sz w:val="18"/>
                <w:szCs w:val="20"/>
              </w:rPr>
            </w:pPr>
          </w:p>
        </w:tc>
        <w:tc>
          <w:tcPr>
            <w:tcW w:w="24" w:type="pct"/>
            <w:vAlign w:val="bottom"/>
          </w:tcPr>
          <w:p w:rsidR="00067612" w:rsidRDefault="00067612" w:rsidP="001F383B">
            <w:pPr>
              <w:keepNext/>
              <w:rPr>
                <w:sz w:val="18"/>
                <w:szCs w:val="20"/>
              </w:rPr>
            </w:pPr>
          </w:p>
        </w:tc>
        <w:tc>
          <w:tcPr>
            <w:tcW w:w="81" w:type="pct"/>
            <w:vAlign w:val="bottom"/>
          </w:tcPr>
          <w:p w:rsidR="00067612" w:rsidRDefault="00067612" w:rsidP="001F383B">
            <w:pPr>
              <w:keepNext/>
              <w:rPr>
                <w:sz w:val="18"/>
                <w:szCs w:val="20"/>
              </w:rPr>
            </w:pPr>
          </w:p>
        </w:tc>
        <w:tc>
          <w:tcPr>
            <w:tcW w:w="723" w:type="pct"/>
            <w:vAlign w:val="bottom"/>
          </w:tcPr>
          <w:p w:rsidR="00067612" w:rsidRDefault="00067612" w:rsidP="001F383B">
            <w:pPr>
              <w:keepNext/>
              <w:jc w:val="center"/>
              <w:rPr>
                <w:sz w:val="22"/>
              </w:rPr>
            </w:pPr>
            <w:r>
              <w:rPr>
                <w:sz w:val="18"/>
                <w:szCs w:val="20"/>
              </w:rPr>
              <w:t>230,951</w:t>
            </w:r>
          </w:p>
        </w:tc>
        <w:tc>
          <w:tcPr>
            <w:tcW w:w="24" w:type="pct"/>
            <w:noWrap/>
            <w:vAlign w:val="bottom"/>
          </w:tcPr>
          <w:p w:rsidR="00067612" w:rsidRDefault="00067612" w:rsidP="001F383B">
            <w:pPr>
              <w:keepNext/>
              <w:rPr>
                <w:sz w:val="18"/>
                <w:szCs w:val="20"/>
              </w:rPr>
            </w:pPr>
          </w:p>
        </w:tc>
      </w:tr>
    </w:tbl>
    <w:p w:rsidR="00067612" w:rsidRDefault="00067612" w:rsidP="00067612">
      <w:pPr>
        <w:rPr>
          <w:sz w:val="20"/>
          <w:szCs w:val="22"/>
        </w:rPr>
      </w:pPr>
    </w:p>
    <w:p w:rsidR="00067612" w:rsidRDefault="00067612" w:rsidP="00067612">
      <w:pPr>
        <w:rPr>
          <w:sz w:val="20"/>
          <w:szCs w:val="22"/>
        </w:rPr>
      </w:pPr>
    </w:p>
    <w:p w:rsidR="00067612" w:rsidRDefault="00067612" w:rsidP="00D51EA1">
      <w:pPr>
        <w:pStyle w:val="Heading2"/>
        <w:rPr>
          <w:szCs w:val="20"/>
        </w:rPr>
      </w:pPr>
      <w:bookmarkStart w:id="37" w:name="_Toc319405354"/>
      <w:proofErr w:type="gramStart"/>
      <w:r>
        <w:t>ITEM 13.</w:t>
      </w:r>
      <w:proofErr w:type="gramEnd"/>
      <w:r>
        <w:t xml:space="preserve"> </w:t>
      </w:r>
      <w:r w:rsidR="00D51EA1">
        <w:tab/>
      </w:r>
      <w:r>
        <w:t xml:space="preserve">CERTAIN RELATIONSHIPS AND RELATED TRANSACTIONS, AND DIRECTOR </w:t>
      </w:r>
      <w:r>
        <w:rPr>
          <w:szCs w:val="20"/>
        </w:rPr>
        <w:t>INDEPENDENCE</w:t>
      </w:r>
      <w:bookmarkEnd w:id="37"/>
      <w:r>
        <w:rPr>
          <w:szCs w:val="20"/>
        </w:rPr>
        <w:t xml:space="preserve">  </w:t>
      </w:r>
    </w:p>
    <w:p w:rsidR="00067612" w:rsidRDefault="00067612" w:rsidP="00067612">
      <w:pPr>
        <w:keepNext/>
        <w:rPr>
          <w:b/>
          <w:bCs/>
          <w:sz w:val="20"/>
          <w:szCs w:val="20"/>
        </w:rPr>
      </w:pPr>
    </w:p>
    <w:p w:rsidR="00067612" w:rsidRDefault="00067612" w:rsidP="00067612">
      <w:pPr>
        <w:keepNext/>
        <w:rPr>
          <w:b/>
          <w:bCs/>
          <w:sz w:val="20"/>
          <w:szCs w:val="20"/>
        </w:rPr>
      </w:pPr>
      <w:r>
        <w:rPr>
          <w:b/>
          <w:bCs/>
          <w:sz w:val="20"/>
          <w:szCs w:val="20"/>
        </w:rPr>
        <w:t>Certain Relationships and Related Transactions</w:t>
      </w:r>
    </w:p>
    <w:p w:rsidR="00067612" w:rsidRDefault="00067612" w:rsidP="00067612">
      <w:pPr>
        <w:keepNext/>
        <w:rPr>
          <w:b/>
          <w:bCs/>
          <w:sz w:val="20"/>
          <w:szCs w:val="20"/>
        </w:rPr>
      </w:pPr>
    </w:p>
    <w:p w:rsidR="00067612" w:rsidRDefault="00067612" w:rsidP="00067612">
      <w:pPr>
        <w:keepNext/>
        <w:rPr>
          <w:sz w:val="20"/>
          <w:szCs w:val="20"/>
        </w:rPr>
      </w:pPr>
      <w:r>
        <w:rPr>
          <w:b/>
          <w:bCs/>
          <w:sz w:val="20"/>
          <w:szCs w:val="20"/>
        </w:rPr>
        <w:tab/>
      </w:r>
      <w:r>
        <w:rPr>
          <w:sz w:val="20"/>
          <w:szCs w:val="20"/>
        </w:rPr>
        <w:t>There were no related party transactions in our 2011 or 2010 fiscal years.</w:t>
      </w:r>
    </w:p>
    <w:p w:rsidR="00067612" w:rsidRDefault="00067612" w:rsidP="00067612">
      <w:pPr>
        <w:keepNext/>
        <w:rPr>
          <w:b/>
          <w:bCs/>
          <w:sz w:val="20"/>
          <w:szCs w:val="20"/>
        </w:rPr>
      </w:pPr>
    </w:p>
    <w:p w:rsidR="00067612" w:rsidRDefault="00067612" w:rsidP="00067612">
      <w:pPr>
        <w:keepNext/>
        <w:rPr>
          <w:b/>
          <w:bCs/>
          <w:sz w:val="20"/>
          <w:szCs w:val="20"/>
        </w:rPr>
      </w:pPr>
      <w:r>
        <w:rPr>
          <w:b/>
          <w:bCs/>
          <w:sz w:val="20"/>
          <w:szCs w:val="20"/>
        </w:rPr>
        <w:t>Director Independence</w:t>
      </w:r>
    </w:p>
    <w:p w:rsidR="00067612" w:rsidRDefault="00067612" w:rsidP="00067612">
      <w:pPr>
        <w:keepNext/>
        <w:rPr>
          <w:sz w:val="20"/>
          <w:szCs w:val="20"/>
        </w:rPr>
      </w:pPr>
    </w:p>
    <w:p w:rsidR="00067612" w:rsidRDefault="00067612" w:rsidP="00067612">
      <w:pPr>
        <w:pStyle w:val="BodyText"/>
        <w:rPr>
          <w:rFonts w:ascii="Times New Roman" w:hAnsi="Times New Roman" w:cs="Times New Roman"/>
          <w:sz w:val="20"/>
          <w:szCs w:val="20"/>
        </w:rPr>
      </w:pPr>
      <w:r>
        <w:rPr>
          <w:rFonts w:ascii="Times New Roman" w:hAnsi="Times New Roman" w:cs="Times New Roman"/>
          <w:sz w:val="20"/>
          <w:szCs w:val="20"/>
        </w:rPr>
        <w:tab/>
        <w:t xml:space="preserve">The Board has determined that currently and at all times during the year ended December 31, 2011, a majority of its members are “independent” as defined by the listing standards of the </w:t>
      </w:r>
      <w:proofErr w:type="spellStart"/>
      <w:r>
        <w:rPr>
          <w:rFonts w:ascii="Times New Roman" w:hAnsi="Times New Roman" w:cs="Times New Roman"/>
          <w:sz w:val="20"/>
          <w:szCs w:val="20"/>
        </w:rPr>
        <w:t>Nasdaq</w:t>
      </w:r>
      <w:proofErr w:type="spellEnd"/>
      <w:r>
        <w:rPr>
          <w:rFonts w:ascii="Times New Roman" w:hAnsi="Times New Roman" w:cs="Times New Roman"/>
          <w:sz w:val="20"/>
          <w:szCs w:val="20"/>
        </w:rPr>
        <w:t xml:space="preserve"> Stock Market. The Board considers in its evaluation of independence any existing related-party transactions, and the Board’s determination is based on its belief that none of the independent directors have any relationships that, in the opinion of the Board of Directors, would interfere with the exercise of independent judgment in carrying out the responsibilities of a director. The current independent directors are Trevor D’Souza, Keith </w:t>
      </w:r>
      <w:proofErr w:type="spellStart"/>
      <w:r>
        <w:rPr>
          <w:rFonts w:ascii="Times New Roman" w:hAnsi="Times New Roman" w:cs="Times New Roman"/>
          <w:sz w:val="20"/>
          <w:szCs w:val="20"/>
        </w:rPr>
        <w:t>Fenhaus</w:t>
      </w:r>
      <w:proofErr w:type="spellEnd"/>
      <w:r>
        <w:rPr>
          <w:rFonts w:ascii="Times New Roman" w:hAnsi="Times New Roman" w:cs="Times New Roman"/>
          <w:sz w:val="20"/>
          <w:szCs w:val="20"/>
        </w:rPr>
        <w:t xml:space="preserve">, Robert Morrison, Graham Richmond, and Michael Skinner. In determining the independence of Mr. Morrison, the </w:t>
      </w:r>
      <w:r w:rsidR="00030AE6">
        <w:rPr>
          <w:rFonts w:ascii="Times New Roman" w:hAnsi="Times New Roman" w:cs="Times New Roman"/>
          <w:sz w:val="20"/>
          <w:szCs w:val="20"/>
        </w:rPr>
        <w:t>B</w:t>
      </w:r>
      <w:r>
        <w:rPr>
          <w:rFonts w:ascii="Times New Roman" w:hAnsi="Times New Roman" w:cs="Times New Roman"/>
          <w:sz w:val="20"/>
          <w:szCs w:val="20"/>
        </w:rPr>
        <w:t>oard has considered the paid consulting services that</w:t>
      </w:r>
      <w:r w:rsidR="00992EDD">
        <w:rPr>
          <w:rFonts w:ascii="Times New Roman" w:hAnsi="Times New Roman" w:cs="Times New Roman"/>
          <w:sz w:val="20"/>
          <w:szCs w:val="20"/>
        </w:rPr>
        <w:t xml:space="preserve"> an entity affiliated with</w:t>
      </w:r>
      <w:r>
        <w:rPr>
          <w:rFonts w:ascii="Times New Roman" w:hAnsi="Times New Roman" w:cs="Times New Roman"/>
          <w:sz w:val="20"/>
          <w:szCs w:val="20"/>
        </w:rPr>
        <w:t xml:space="preserve"> Mr. Morrison may provide from time to time.</w:t>
      </w:r>
      <w:bookmarkEnd w:id="31"/>
      <w:r w:rsidR="00030AE6">
        <w:rPr>
          <w:rFonts w:ascii="Times New Roman" w:hAnsi="Times New Roman" w:cs="Times New Roman"/>
          <w:sz w:val="20"/>
          <w:szCs w:val="20"/>
        </w:rPr>
        <w:t xml:space="preserve"> In determining the independence of Mr. D’Souza, the Board has considered the </w:t>
      </w:r>
      <w:proofErr w:type="spellStart"/>
      <w:r w:rsidR="00030AE6">
        <w:rPr>
          <w:rFonts w:ascii="Times New Roman" w:hAnsi="Times New Roman" w:cs="Times New Roman"/>
          <w:sz w:val="20"/>
          <w:szCs w:val="20"/>
        </w:rPr>
        <w:t>LaunchEquity</w:t>
      </w:r>
      <w:proofErr w:type="spellEnd"/>
      <w:r w:rsidR="00030AE6">
        <w:rPr>
          <w:rFonts w:ascii="Times New Roman" w:hAnsi="Times New Roman" w:cs="Times New Roman"/>
          <w:sz w:val="20"/>
          <w:szCs w:val="20"/>
        </w:rPr>
        <w:t xml:space="preserve"> Agreement, a related arrangement required by </w:t>
      </w:r>
      <w:proofErr w:type="spellStart"/>
      <w:r w:rsidR="00030AE6">
        <w:rPr>
          <w:rFonts w:ascii="Times New Roman" w:hAnsi="Times New Roman" w:cs="Times New Roman"/>
          <w:sz w:val="20"/>
          <w:szCs w:val="20"/>
        </w:rPr>
        <w:t>LaunchEquity</w:t>
      </w:r>
      <w:proofErr w:type="spellEnd"/>
      <w:r w:rsidR="00030AE6">
        <w:rPr>
          <w:rFonts w:ascii="Times New Roman" w:hAnsi="Times New Roman" w:cs="Times New Roman"/>
          <w:sz w:val="20"/>
          <w:szCs w:val="20"/>
        </w:rPr>
        <w:t xml:space="preserve"> between it and its nominees, including Mr. D’Souza, pursuant to which </w:t>
      </w:r>
      <w:proofErr w:type="spellStart"/>
      <w:r w:rsidR="00030AE6">
        <w:rPr>
          <w:rFonts w:ascii="Times New Roman" w:hAnsi="Times New Roman" w:cs="Times New Roman"/>
          <w:sz w:val="20"/>
          <w:szCs w:val="20"/>
        </w:rPr>
        <w:t>LaunchEquity</w:t>
      </w:r>
      <w:proofErr w:type="spellEnd"/>
      <w:r w:rsidR="00030AE6">
        <w:rPr>
          <w:rFonts w:ascii="Times New Roman" w:hAnsi="Times New Roman" w:cs="Times New Roman"/>
          <w:sz w:val="20"/>
          <w:szCs w:val="20"/>
        </w:rPr>
        <w:t xml:space="preserve"> can submit the nominee’s resignation from the Board; the share ownership of </w:t>
      </w:r>
      <w:proofErr w:type="spellStart"/>
      <w:r w:rsidR="00030AE6">
        <w:rPr>
          <w:rFonts w:ascii="Times New Roman" w:hAnsi="Times New Roman" w:cs="Times New Roman"/>
          <w:sz w:val="20"/>
          <w:szCs w:val="20"/>
        </w:rPr>
        <w:t>LaunchEquity</w:t>
      </w:r>
      <w:proofErr w:type="spellEnd"/>
      <w:r w:rsidR="00030AE6">
        <w:rPr>
          <w:rFonts w:ascii="Times New Roman" w:hAnsi="Times New Roman" w:cs="Times New Roman"/>
          <w:sz w:val="20"/>
          <w:szCs w:val="20"/>
        </w:rPr>
        <w:t xml:space="preserve">; and the lack of any other relationship between Mr. D’Souza and </w:t>
      </w:r>
      <w:proofErr w:type="spellStart"/>
      <w:r w:rsidR="00030AE6">
        <w:rPr>
          <w:rFonts w:ascii="Times New Roman" w:hAnsi="Times New Roman" w:cs="Times New Roman"/>
          <w:sz w:val="20"/>
          <w:szCs w:val="20"/>
        </w:rPr>
        <w:t>LaunchEquity</w:t>
      </w:r>
      <w:proofErr w:type="spellEnd"/>
      <w:r w:rsidR="00030AE6">
        <w:rPr>
          <w:rFonts w:ascii="Times New Roman" w:hAnsi="Times New Roman" w:cs="Times New Roman"/>
          <w:sz w:val="20"/>
          <w:szCs w:val="20"/>
        </w:rPr>
        <w:t>.</w:t>
      </w:r>
    </w:p>
    <w:p w:rsidR="00067612" w:rsidRDefault="00067612" w:rsidP="00067612">
      <w:pPr>
        <w:pStyle w:val="BodyText"/>
        <w:rPr>
          <w:rFonts w:ascii="Times New Roman" w:hAnsi="Times New Roman" w:cs="Times New Roman"/>
          <w:sz w:val="20"/>
          <w:szCs w:val="20"/>
        </w:rPr>
      </w:pPr>
    </w:p>
    <w:p w:rsidR="00067612" w:rsidRDefault="00067612" w:rsidP="00D51EA1">
      <w:pPr>
        <w:pStyle w:val="Heading2"/>
      </w:pPr>
      <w:bookmarkStart w:id="38" w:name="_Toc319405355"/>
      <w:proofErr w:type="gramStart"/>
      <w:r>
        <w:lastRenderedPageBreak/>
        <w:t>ITEM 14.</w:t>
      </w:r>
      <w:proofErr w:type="gramEnd"/>
      <w:r>
        <w:t xml:space="preserve">  </w:t>
      </w:r>
      <w:r w:rsidR="00D51EA1">
        <w:tab/>
      </w:r>
      <w:r>
        <w:t>PRINCIPAL ACCOUNTANT FEES AND SERVICES</w:t>
      </w:r>
      <w:bookmarkEnd w:id="38"/>
    </w:p>
    <w:p w:rsidR="00067612" w:rsidRDefault="00067612" w:rsidP="00067612">
      <w:pPr>
        <w:keepNext/>
        <w:rPr>
          <w:b/>
          <w:sz w:val="20"/>
          <w:szCs w:val="22"/>
        </w:rPr>
      </w:pPr>
    </w:p>
    <w:p w:rsidR="00067612" w:rsidRDefault="00067612" w:rsidP="00067612">
      <w:pPr>
        <w:keepNext/>
        <w:rPr>
          <w:b/>
          <w:bCs/>
          <w:sz w:val="20"/>
          <w:szCs w:val="22"/>
        </w:rPr>
      </w:pPr>
      <w:r>
        <w:rPr>
          <w:b/>
          <w:bCs/>
          <w:sz w:val="20"/>
          <w:szCs w:val="22"/>
        </w:rPr>
        <w:t>Audit Fees</w:t>
      </w:r>
    </w:p>
    <w:p w:rsidR="00067612" w:rsidRDefault="00067612" w:rsidP="00067612">
      <w:pPr>
        <w:keepNext/>
        <w:rPr>
          <w:i/>
          <w:sz w:val="20"/>
          <w:szCs w:val="22"/>
        </w:rPr>
      </w:pPr>
    </w:p>
    <w:p w:rsidR="00067612" w:rsidRDefault="00067612" w:rsidP="00067612">
      <w:pPr>
        <w:keepNext/>
        <w:rPr>
          <w:sz w:val="20"/>
          <w:szCs w:val="22"/>
        </w:rPr>
      </w:pPr>
      <w:r>
        <w:rPr>
          <w:sz w:val="20"/>
          <w:szCs w:val="22"/>
        </w:rPr>
        <w:tab/>
        <w:t xml:space="preserve">The following table sets forth the approximate fees billed by our principal accountant in fiscal years 2011 and 2010: </w:t>
      </w:r>
    </w:p>
    <w:p w:rsidR="00067612" w:rsidRDefault="00067612" w:rsidP="00067612">
      <w:pPr>
        <w:keepNext/>
        <w:rPr>
          <w:sz w:val="18"/>
          <w:szCs w:val="22"/>
        </w:rPr>
      </w:pPr>
    </w:p>
    <w:tbl>
      <w:tblPr>
        <w:tblW w:w="0" w:type="auto"/>
        <w:jc w:val="center"/>
        <w:tblLook w:val="0000" w:firstRow="0" w:lastRow="0" w:firstColumn="0" w:lastColumn="0" w:noHBand="0" w:noVBand="0"/>
      </w:tblPr>
      <w:tblGrid>
        <w:gridCol w:w="2183"/>
        <w:gridCol w:w="360"/>
        <w:gridCol w:w="2029"/>
        <w:gridCol w:w="2105"/>
        <w:gridCol w:w="22"/>
      </w:tblGrid>
      <w:tr w:rsidR="00067612" w:rsidTr="001F383B">
        <w:trPr>
          <w:jc w:val="center"/>
        </w:trPr>
        <w:tc>
          <w:tcPr>
            <w:tcW w:w="2183" w:type="dxa"/>
          </w:tcPr>
          <w:p w:rsidR="00067612" w:rsidRDefault="00067612" w:rsidP="001F383B">
            <w:pPr>
              <w:keepNext/>
              <w:jc w:val="both"/>
              <w:rPr>
                <w:sz w:val="20"/>
              </w:rPr>
            </w:pPr>
          </w:p>
        </w:tc>
        <w:tc>
          <w:tcPr>
            <w:tcW w:w="360" w:type="dxa"/>
          </w:tcPr>
          <w:p w:rsidR="00067612" w:rsidRDefault="00067612" w:rsidP="001F383B">
            <w:pPr>
              <w:keepNext/>
              <w:jc w:val="center"/>
              <w:rPr>
                <w:sz w:val="20"/>
                <w:u w:val="single"/>
              </w:rPr>
            </w:pPr>
          </w:p>
        </w:tc>
        <w:tc>
          <w:tcPr>
            <w:tcW w:w="4156" w:type="dxa"/>
            <w:gridSpan w:val="3"/>
          </w:tcPr>
          <w:p w:rsidR="00067612" w:rsidRDefault="00067612" w:rsidP="001F383B">
            <w:pPr>
              <w:keepNext/>
              <w:jc w:val="center"/>
              <w:rPr>
                <w:sz w:val="20"/>
                <w:u w:val="single"/>
              </w:rPr>
            </w:pPr>
            <w:r>
              <w:rPr>
                <w:sz w:val="20"/>
              </w:rPr>
              <w:t xml:space="preserve">                           </w:t>
            </w:r>
            <w:r>
              <w:rPr>
                <w:sz w:val="20"/>
                <w:u w:val="single"/>
              </w:rPr>
              <w:t xml:space="preserve"> </w:t>
            </w:r>
            <w:proofErr w:type="spellStart"/>
            <w:r>
              <w:rPr>
                <w:sz w:val="20"/>
                <w:u w:val="single"/>
              </w:rPr>
              <w:t>McGladrey</w:t>
            </w:r>
            <w:proofErr w:type="spellEnd"/>
            <w:r>
              <w:rPr>
                <w:sz w:val="20"/>
                <w:u w:val="single"/>
              </w:rPr>
              <w:t xml:space="preserve"> &amp; Pullen, LLP      </w:t>
            </w:r>
          </w:p>
        </w:tc>
      </w:tr>
      <w:tr w:rsidR="00067612" w:rsidTr="001F383B">
        <w:trPr>
          <w:gridAfter w:val="1"/>
          <w:wAfter w:w="22" w:type="dxa"/>
          <w:jc w:val="center"/>
        </w:trPr>
        <w:tc>
          <w:tcPr>
            <w:tcW w:w="2183" w:type="dxa"/>
          </w:tcPr>
          <w:p w:rsidR="00067612" w:rsidRDefault="00067612" w:rsidP="001F383B">
            <w:pPr>
              <w:keepNext/>
              <w:jc w:val="both"/>
              <w:rPr>
                <w:sz w:val="20"/>
              </w:rPr>
            </w:pPr>
          </w:p>
        </w:tc>
        <w:tc>
          <w:tcPr>
            <w:tcW w:w="360" w:type="dxa"/>
          </w:tcPr>
          <w:p w:rsidR="00067612" w:rsidRDefault="00067612" w:rsidP="001F383B">
            <w:pPr>
              <w:keepNext/>
              <w:jc w:val="center"/>
              <w:rPr>
                <w:sz w:val="20"/>
                <w:u w:val="single"/>
              </w:rPr>
            </w:pPr>
          </w:p>
        </w:tc>
        <w:tc>
          <w:tcPr>
            <w:tcW w:w="2029" w:type="dxa"/>
          </w:tcPr>
          <w:p w:rsidR="00067612" w:rsidRDefault="00067612" w:rsidP="001F383B">
            <w:pPr>
              <w:keepNext/>
              <w:jc w:val="right"/>
              <w:rPr>
                <w:sz w:val="20"/>
                <w:u w:val="single"/>
              </w:rPr>
            </w:pPr>
            <w:r>
              <w:rPr>
                <w:sz w:val="20"/>
                <w:u w:val="single"/>
              </w:rPr>
              <w:t>2011</w:t>
            </w:r>
          </w:p>
        </w:tc>
        <w:tc>
          <w:tcPr>
            <w:tcW w:w="2105" w:type="dxa"/>
          </w:tcPr>
          <w:p w:rsidR="00067612" w:rsidRDefault="00067612" w:rsidP="001F383B">
            <w:pPr>
              <w:keepNext/>
              <w:jc w:val="right"/>
              <w:rPr>
                <w:sz w:val="20"/>
                <w:u w:val="single"/>
              </w:rPr>
            </w:pPr>
            <w:r>
              <w:rPr>
                <w:sz w:val="20"/>
                <w:u w:val="single"/>
              </w:rPr>
              <w:t>2010</w:t>
            </w:r>
          </w:p>
        </w:tc>
      </w:tr>
      <w:tr w:rsidR="00067612" w:rsidTr="001F383B">
        <w:trPr>
          <w:gridAfter w:val="1"/>
          <w:wAfter w:w="22" w:type="dxa"/>
          <w:jc w:val="center"/>
        </w:trPr>
        <w:tc>
          <w:tcPr>
            <w:tcW w:w="2183" w:type="dxa"/>
          </w:tcPr>
          <w:p w:rsidR="00067612" w:rsidRDefault="00067612" w:rsidP="001F383B">
            <w:pPr>
              <w:keepNext/>
              <w:jc w:val="both"/>
              <w:rPr>
                <w:sz w:val="20"/>
              </w:rPr>
            </w:pPr>
            <w:r>
              <w:rPr>
                <w:sz w:val="20"/>
              </w:rPr>
              <w:t>Audit Fees</w:t>
            </w:r>
          </w:p>
        </w:tc>
        <w:tc>
          <w:tcPr>
            <w:tcW w:w="360" w:type="dxa"/>
          </w:tcPr>
          <w:p w:rsidR="00067612" w:rsidRDefault="00067612" w:rsidP="001F383B">
            <w:pPr>
              <w:keepNext/>
              <w:tabs>
                <w:tab w:val="decimal" w:pos="1062"/>
              </w:tabs>
              <w:rPr>
                <w:sz w:val="20"/>
              </w:rPr>
            </w:pPr>
          </w:p>
        </w:tc>
        <w:tc>
          <w:tcPr>
            <w:tcW w:w="2029" w:type="dxa"/>
          </w:tcPr>
          <w:p w:rsidR="00067612" w:rsidRDefault="00067612" w:rsidP="008155CB">
            <w:pPr>
              <w:keepNext/>
              <w:tabs>
                <w:tab w:val="decimal" w:pos="1062"/>
              </w:tabs>
              <w:jc w:val="right"/>
              <w:rPr>
                <w:sz w:val="20"/>
              </w:rPr>
            </w:pPr>
            <w:r>
              <w:rPr>
                <w:sz w:val="20"/>
              </w:rPr>
              <w:t>$</w:t>
            </w:r>
            <w:r w:rsidR="008155CB">
              <w:rPr>
                <w:sz w:val="20"/>
              </w:rPr>
              <w:t>165,000</w:t>
            </w:r>
          </w:p>
        </w:tc>
        <w:tc>
          <w:tcPr>
            <w:tcW w:w="2105" w:type="dxa"/>
          </w:tcPr>
          <w:p w:rsidR="00067612" w:rsidRDefault="00067612" w:rsidP="001F383B">
            <w:pPr>
              <w:keepNext/>
              <w:tabs>
                <w:tab w:val="decimal" w:pos="1062"/>
              </w:tabs>
              <w:jc w:val="right"/>
              <w:rPr>
                <w:sz w:val="20"/>
              </w:rPr>
            </w:pPr>
            <w:r>
              <w:rPr>
                <w:sz w:val="20"/>
              </w:rPr>
              <w:t>$156,000</w:t>
            </w:r>
          </w:p>
        </w:tc>
      </w:tr>
      <w:tr w:rsidR="00067612" w:rsidTr="001F383B">
        <w:trPr>
          <w:gridAfter w:val="1"/>
          <w:wAfter w:w="22" w:type="dxa"/>
          <w:jc w:val="center"/>
        </w:trPr>
        <w:tc>
          <w:tcPr>
            <w:tcW w:w="2183" w:type="dxa"/>
          </w:tcPr>
          <w:p w:rsidR="00067612" w:rsidRDefault="00067612" w:rsidP="001F383B">
            <w:pPr>
              <w:keepNext/>
              <w:jc w:val="both"/>
              <w:rPr>
                <w:sz w:val="20"/>
              </w:rPr>
            </w:pPr>
            <w:r>
              <w:rPr>
                <w:sz w:val="20"/>
              </w:rPr>
              <w:t>Audit-Related Fees</w:t>
            </w:r>
          </w:p>
        </w:tc>
        <w:tc>
          <w:tcPr>
            <w:tcW w:w="360" w:type="dxa"/>
          </w:tcPr>
          <w:p w:rsidR="00067612" w:rsidRDefault="00067612" w:rsidP="001F383B">
            <w:pPr>
              <w:keepNext/>
              <w:tabs>
                <w:tab w:val="decimal" w:pos="1062"/>
              </w:tabs>
              <w:rPr>
                <w:sz w:val="20"/>
              </w:rPr>
            </w:pPr>
          </w:p>
        </w:tc>
        <w:tc>
          <w:tcPr>
            <w:tcW w:w="2029" w:type="dxa"/>
          </w:tcPr>
          <w:p w:rsidR="00067612" w:rsidRDefault="008155CB" w:rsidP="001F383B">
            <w:pPr>
              <w:keepNext/>
              <w:tabs>
                <w:tab w:val="decimal" w:pos="1062"/>
              </w:tabs>
              <w:jc w:val="right"/>
              <w:rPr>
                <w:sz w:val="20"/>
              </w:rPr>
            </w:pPr>
            <w:r>
              <w:rPr>
                <w:sz w:val="20"/>
              </w:rPr>
              <w:t>35,000</w:t>
            </w:r>
          </w:p>
        </w:tc>
        <w:tc>
          <w:tcPr>
            <w:tcW w:w="2105" w:type="dxa"/>
          </w:tcPr>
          <w:p w:rsidR="00067612" w:rsidRDefault="00067612" w:rsidP="001F383B">
            <w:pPr>
              <w:keepNext/>
              <w:tabs>
                <w:tab w:val="decimal" w:pos="1062"/>
              </w:tabs>
              <w:jc w:val="right"/>
              <w:rPr>
                <w:sz w:val="20"/>
              </w:rPr>
            </w:pPr>
            <w:r>
              <w:rPr>
                <w:sz w:val="20"/>
              </w:rPr>
              <w:t>-</w:t>
            </w:r>
          </w:p>
        </w:tc>
      </w:tr>
      <w:tr w:rsidR="00067612" w:rsidTr="001F383B">
        <w:trPr>
          <w:gridAfter w:val="1"/>
          <w:wAfter w:w="22" w:type="dxa"/>
          <w:jc w:val="center"/>
        </w:trPr>
        <w:tc>
          <w:tcPr>
            <w:tcW w:w="2183" w:type="dxa"/>
          </w:tcPr>
          <w:p w:rsidR="00067612" w:rsidRDefault="00067612" w:rsidP="001F383B">
            <w:pPr>
              <w:keepNext/>
              <w:jc w:val="both"/>
              <w:rPr>
                <w:sz w:val="20"/>
              </w:rPr>
            </w:pPr>
            <w:r>
              <w:rPr>
                <w:sz w:val="20"/>
              </w:rPr>
              <w:t>Tax Fees</w:t>
            </w:r>
          </w:p>
        </w:tc>
        <w:tc>
          <w:tcPr>
            <w:tcW w:w="360" w:type="dxa"/>
          </w:tcPr>
          <w:p w:rsidR="00067612" w:rsidRDefault="00067612" w:rsidP="001F383B">
            <w:pPr>
              <w:keepNext/>
              <w:tabs>
                <w:tab w:val="decimal" w:pos="1062"/>
              </w:tabs>
              <w:rPr>
                <w:sz w:val="20"/>
              </w:rPr>
            </w:pPr>
          </w:p>
        </w:tc>
        <w:tc>
          <w:tcPr>
            <w:tcW w:w="2029" w:type="dxa"/>
          </w:tcPr>
          <w:p w:rsidR="00067612" w:rsidRDefault="008155CB" w:rsidP="001F383B">
            <w:pPr>
              <w:keepNext/>
              <w:tabs>
                <w:tab w:val="decimal" w:pos="1062"/>
              </w:tabs>
              <w:jc w:val="right"/>
              <w:rPr>
                <w:sz w:val="20"/>
              </w:rPr>
            </w:pPr>
            <w:r>
              <w:rPr>
                <w:sz w:val="20"/>
              </w:rPr>
              <w:t>1,900</w:t>
            </w:r>
          </w:p>
        </w:tc>
        <w:tc>
          <w:tcPr>
            <w:tcW w:w="2105" w:type="dxa"/>
          </w:tcPr>
          <w:p w:rsidR="00067612" w:rsidRDefault="00067612" w:rsidP="001F383B">
            <w:pPr>
              <w:keepNext/>
              <w:tabs>
                <w:tab w:val="decimal" w:pos="1062"/>
              </w:tabs>
              <w:jc w:val="right"/>
              <w:rPr>
                <w:sz w:val="20"/>
              </w:rPr>
            </w:pPr>
            <w:r>
              <w:rPr>
                <w:sz w:val="20"/>
              </w:rPr>
              <w:t>85,000</w:t>
            </w:r>
          </w:p>
        </w:tc>
      </w:tr>
      <w:tr w:rsidR="00067612" w:rsidTr="001F383B">
        <w:trPr>
          <w:gridAfter w:val="1"/>
          <w:wAfter w:w="22" w:type="dxa"/>
          <w:jc w:val="center"/>
        </w:trPr>
        <w:tc>
          <w:tcPr>
            <w:tcW w:w="2183" w:type="dxa"/>
          </w:tcPr>
          <w:p w:rsidR="00067612" w:rsidRDefault="00067612" w:rsidP="001F383B">
            <w:pPr>
              <w:keepNext/>
              <w:jc w:val="both"/>
              <w:rPr>
                <w:sz w:val="20"/>
              </w:rPr>
            </w:pPr>
            <w:r>
              <w:rPr>
                <w:sz w:val="20"/>
              </w:rPr>
              <w:t>All Other Fees</w:t>
            </w:r>
          </w:p>
        </w:tc>
        <w:tc>
          <w:tcPr>
            <w:tcW w:w="360" w:type="dxa"/>
          </w:tcPr>
          <w:p w:rsidR="00067612" w:rsidRDefault="00067612" w:rsidP="001F383B">
            <w:pPr>
              <w:keepNext/>
              <w:tabs>
                <w:tab w:val="decimal" w:pos="1062"/>
              </w:tabs>
              <w:rPr>
                <w:sz w:val="20"/>
              </w:rPr>
            </w:pPr>
          </w:p>
        </w:tc>
        <w:tc>
          <w:tcPr>
            <w:tcW w:w="2029" w:type="dxa"/>
          </w:tcPr>
          <w:p w:rsidR="00067612" w:rsidRDefault="00067612" w:rsidP="001F383B">
            <w:pPr>
              <w:keepNext/>
              <w:tabs>
                <w:tab w:val="decimal" w:pos="1062"/>
              </w:tabs>
              <w:jc w:val="right"/>
              <w:rPr>
                <w:sz w:val="20"/>
                <w:u w:val="single"/>
              </w:rPr>
            </w:pPr>
            <w:r>
              <w:rPr>
                <w:sz w:val="20"/>
                <w:u w:val="single"/>
              </w:rPr>
              <w:t xml:space="preserve">             -</w:t>
            </w:r>
          </w:p>
        </w:tc>
        <w:tc>
          <w:tcPr>
            <w:tcW w:w="2105" w:type="dxa"/>
          </w:tcPr>
          <w:p w:rsidR="00067612" w:rsidRDefault="00067612" w:rsidP="001F383B">
            <w:pPr>
              <w:keepNext/>
              <w:tabs>
                <w:tab w:val="decimal" w:pos="1062"/>
              </w:tabs>
              <w:jc w:val="right"/>
              <w:rPr>
                <w:sz w:val="20"/>
                <w:u w:val="single"/>
              </w:rPr>
            </w:pPr>
            <w:r>
              <w:rPr>
                <w:sz w:val="20"/>
                <w:u w:val="single"/>
              </w:rPr>
              <w:t xml:space="preserve">             -</w:t>
            </w:r>
          </w:p>
        </w:tc>
      </w:tr>
      <w:tr w:rsidR="00067612" w:rsidTr="001F383B">
        <w:trPr>
          <w:gridAfter w:val="1"/>
          <w:wAfter w:w="22" w:type="dxa"/>
          <w:jc w:val="center"/>
        </w:trPr>
        <w:tc>
          <w:tcPr>
            <w:tcW w:w="2183" w:type="dxa"/>
          </w:tcPr>
          <w:p w:rsidR="00067612" w:rsidRDefault="00067612" w:rsidP="001F383B">
            <w:pPr>
              <w:keepNext/>
              <w:jc w:val="both"/>
              <w:rPr>
                <w:sz w:val="20"/>
              </w:rPr>
            </w:pPr>
          </w:p>
        </w:tc>
        <w:tc>
          <w:tcPr>
            <w:tcW w:w="360" w:type="dxa"/>
          </w:tcPr>
          <w:p w:rsidR="00067612" w:rsidRDefault="00067612" w:rsidP="001F383B">
            <w:pPr>
              <w:keepNext/>
              <w:tabs>
                <w:tab w:val="decimal" w:pos="1062"/>
              </w:tabs>
              <w:rPr>
                <w:sz w:val="20"/>
              </w:rPr>
            </w:pPr>
          </w:p>
        </w:tc>
        <w:tc>
          <w:tcPr>
            <w:tcW w:w="2029" w:type="dxa"/>
          </w:tcPr>
          <w:p w:rsidR="00067612" w:rsidRDefault="008155CB" w:rsidP="001F383B">
            <w:pPr>
              <w:keepNext/>
              <w:tabs>
                <w:tab w:val="decimal" w:pos="1062"/>
              </w:tabs>
              <w:jc w:val="right"/>
              <w:rPr>
                <w:sz w:val="20"/>
              </w:rPr>
            </w:pPr>
            <w:r>
              <w:rPr>
                <w:sz w:val="20"/>
              </w:rPr>
              <w:t>$201,900</w:t>
            </w:r>
          </w:p>
        </w:tc>
        <w:tc>
          <w:tcPr>
            <w:tcW w:w="2105" w:type="dxa"/>
          </w:tcPr>
          <w:p w:rsidR="00067612" w:rsidRDefault="00067612" w:rsidP="001F383B">
            <w:pPr>
              <w:keepNext/>
              <w:tabs>
                <w:tab w:val="decimal" w:pos="1062"/>
              </w:tabs>
              <w:jc w:val="right"/>
              <w:rPr>
                <w:sz w:val="20"/>
              </w:rPr>
            </w:pPr>
            <w:r>
              <w:rPr>
                <w:sz w:val="20"/>
              </w:rPr>
              <w:t>$241,000</w:t>
            </w:r>
          </w:p>
        </w:tc>
      </w:tr>
    </w:tbl>
    <w:p w:rsidR="00067612" w:rsidRDefault="00067612" w:rsidP="00067612">
      <w:pPr>
        <w:keepNext/>
        <w:rPr>
          <w:sz w:val="18"/>
          <w:szCs w:val="22"/>
        </w:rPr>
      </w:pPr>
    </w:p>
    <w:p w:rsidR="00067612" w:rsidRDefault="00067612" w:rsidP="00067612">
      <w:pPr>
        <w:keepNext/>
        <w:jc w:val="both"/>
        <w:rPr>
          <w:sz w:val="18"/>
          <w:szCs w:val="22"/>
        </w:rPr>
      </w:pPr>
    </w:p>
    <w:p w:rsidR="00067612" w:rsidRDefault="00067612" w:rsidP="00067612">
      <w:pPr>
        <w:keepNext/>
        <w:rPr>
          <w:sz w:val="20"/>
          <w:szCs w:val="22"/>
        </w:rPr>
      </w:pPr>
      <w:r>
        <w:rPr>
          <w:sz w:val="18"/>
          <w:szCs w:val="22"/>
        </w:rPr>
        <w:tab/>
      </w:r>
      <w:r>
        <w:rPr>
          <w:b/>
          <w:sz w:val="20"/>
          <w:szCs w:val="22"/>
        </w:rPr>
        <w:t>Audit Fees</w:t>
      </w:r>
      <w:r>
        <w:rPr>
          <w:sz w:val="20"/>
          <w:szCs w:val="22"/>
        </w:rPr>
        <w:t xml:space="preserve"> are </w:t>
      </w:r>
      <w:r w:rsidR="0045741E">
        <w:rPr>
          <w:sz w:val="20"/>
          <w:szCs w:val="22"/>
        </w:rPr>
        <w:t xml:space="preserve">paid to </w:t>
      </w:r>
      <w:proofErr w:type="spellStart"/>
      <w:r w:rsidR="0045741E">
        <w:rPr>
          <w:sz w:val="20"/>
          <w:szCs w:val="22"/>
        </w:rPr>
        <w:t>McGladrey</w:t>
      </w:r>
      <w:proofErr w:type="spellEnd"/>
      <w:r w:rsidR="0045741E">
        <w:rPr>
          <w:sz w:val="20"/>
          <w:szCs w:val="22"/>
        </w:rPr>
        <w:t xml:space="preserve"> &amp; Pullen, LLP </w:t>
      </w:r>
      <w:r>
        <w:rPr>
          <w:sz w:val="20"/>
          <w:szCs w:val="22"/>
        </w:rPr>
        <w:t xml:space="preserve">for professional services rendered for the audit of our annual financial statements and review of financial statements included in our Forms 10-K and 10-Q and attendance at Audit Committee meetings and review of documents filed with the SEC. </w:t>
      </w:r>
    </w:p>
    <w:p w:rsidR="00067612" w:rsidRDefault="00067612" w:rsidP="00067612">
      <w:pPr>
        <w:keepNext/>
        <w:rPr>
          <w:sz w:val="20"/>
          <w:szCs w:val="22"/>
        </w:rPr>
      </w:pPr>
    </w:p>
    <w:p w:rsidR="00067612" w:rsidRDefault="00067612" w:rsidP="00067612">
      <w:pPr>
        <w:keepNext/>
        <w:rPr>
          <w:sz w:val="20"/>
          <w:szCs w:val="22"/>
        </w:rPr>
      </w:pPr>
      <w:r>
        <w:rPr>
          <w:sz w:val="20"/>
          <w:szCs w:val="22"/>
        </w:rPr>
        <w:tab/>
      </w:r>
      <w:r>
        <w:rPr>
          <w:b/>
          <w:sz w:val="20"/>
          <w:szCs w:val="22"/>
        </w:rPr>
        <w:t>Tax Fees</w:t>
      </w:r>
      <w:r>
        <w:rPr>
          <w:sz w:val="20"/>
          <w:szCs w:val="22"/>
        </w:rPr>
        <w:t xml:space="preserve"> </w:t>
      </w:r>
      <w:r w:rsidR="0045741E">
        <w:rPr>
          <w:sz w:val="20"/>
          <w:szCs w:val="22"/>
        </w:rPr>
        <w:t xml:space="preserve">paid to RSM </w:t>
      </w:r>
      <w:proofErr w:type="spellStart"/>
      <w:r w:rsidR="0045741E">
        <w:rPr>
          <w:sz w:val="20"/>
          <w:szCs w:val="22"/>
        </w:rPr>
        <w:t>McGladrey</w:t>
      </w:r>
      <w:proofErr w:type="spellEnd"/>
      <w:r w:rsidR="0045741E">
        <w:rPr>
          <w:sz w:val="20"/>
          <w:szCs w:val="22"/>
        </w:rPr>
        <w:t xml:space="preserve">, Inc. </w:t>
      </w:r>
      <w:r w:rsidR="004366FE">
        <w:rPr>
          <w:sz w:val="20"/>
          <w:szCs w:val="22"/>
        </w:rPr>
        <w:t xml:space="preserve">(an affiliate of </w:t>
      </w:r>
      <w:proofErr w:type="spellStart"/>
      <w:r w:rsidR="004366FE">
        <w:rPr>
          <w:sz w:val="20"/>
          <w:szCs w:val="22"/>
        </w:rPr>
        <w:t>McGladrey</w:t>
      </w:r>
      <w:proofErr w:type="spellEnd"/>
      <w:r w:rsidR="004366FE">
        <w:rPr>
          <w:sz w:val="20"/>
          <w:szCs w:val="22"/>
        </w:rPr>
        <w:t xml:space="preserve"> &amp; Pullen, LLP) </w:t>
      </w:r>
      <w:r>
        <w:rPr>
          <w:sz w:val="20"/>
          <w:szCs w:val="22"/>
        </w:rPr>
        <w:t>include fees for services provided in connection with preparation of federal and state tax returns, and tax consulting projects.</w:t>
      </w:r>
      <w:r w:rsidR="0045741E">
        <w:rPr>
          <w:sz w:val="20"/>
          <w:szCs w:val="22"/>
        </w:rPr>
        <w:t xml:space="preserve"> On December 1, 2011, </w:t>
      </w:r>
      <w:proofErr w:type="spellStart"/>
      <w:r w:rsidR="0045741E">
        <w:rPr>
          <w:sz w:val="20"/>
          <w:szCs w:val="22"/>
        </w:rPr>
        <w:t>McGladrey</w:t>
      </w:r>
      <w:proofErr w:type="spellEnd"/>
      <w:r w:rsidR="0045741E">
        <w:rPr>
          <w:sz w:val="20"/>
          <w:szCs w:val="22"/>
        </w:rPr>
        <w:t xml:space="preserve"> &amp; Pullen, LLP acquired RSM </w:t>
      </w:r>
      <w:proofErr w:type="spellStart"/>
      <w:r w:rsidR="0045741E">
        <w:rPr>
          <w:sz w:val="20"/>
          <w:szCs w:val="22"/>
        </w:rPr>
        <w:t>McGladrey</w:t>
      </w:r>
      <w:proofErr w:type="spellEnd"/>
      <w:r w:rsidR="0045741E">
        <w:rPr>
          <w:sz w:val="20"/>
          <w:szCs w:val="22"/>
        </w:rPr>
        <w:t>, Inc.</w:t>
      </w:r>
    </w:p>
    <w:p w:rsidR="00067612" w:rsidRDefault="00067612" w:rsidP="00067612">
      <w:pPr>
        <w:rPr>
          <w:sz w:val="20"/>
          <w:szCs w:val="22"/>
        </w:rPr>
      </w:pPr>
    </w:p>
    <w:p w:rsidR="00067612" w:rsidRDefault="00067612" w:rsidP="00067612">
      <w:pPr>
        <w:keepNext/>
        <w:jc w:val="both"/>
        <w:rPr>
          <w:sz w:val="20"/>
          <w:szCs w:val="22"/>
        </w:rPr>
      </w:pPr>
      <w:r>
        <w:rPr>
          <w:sz w:val="20"/>
          <w:szCs w:val="22"/>
        </w:rPr>
        <w:tab/>
        <w:t xml:space="preserve">Our Audit Committee has considered whether provision of the above non-audit services is compatible with maintaining the independence of </w:t>
      </w:r>
      <w:proofErr w:type="spellStart"/>
      <w:r>
        <w:rPr>
          <w:sz w:val="20"/>
          <w:szCs w:val="22"/>
        </w:rPr>
        <w:t>McGladrey</w:t>
      </w:r>
      <w:proofErr w:type="spellEnd"/>
      <w:r>
        <w:rPr>
          <w:sz w:val="20"/>
          <w:szCs w:val="22"/>
        </w:rPr>
        <w:t xml:space="preserve"> &amp; Pullen, LLP and has determined that such services are compatible with maintaining their independence. </w:t>
      </w:r>
    </w:p>
    <w:p w:rsidR="00067612" w:rsidRDefault="00067612" w:rsidP="00067612">
      <w:pPr>
        <w:keepNext/>
        <w:jc w:val="both"/>
        <w:rPr>
          <w:sz w:val="20"/>
          <w:szCs w:val="22"/>
        </w:rPr>
      </w:pPr>
    </w:p>
    <w:p w:rsidR="00067612" w:rsidRDefault="00067612" w:rsidP="00067612">
      <w:pPr>
        <w:keepNext/>
        <w:rPr>
          <w:b/>
          <w:bCs/>
          <w:iCs/>
          <w:sz w:val="20"/>
          <w:szCs w:val="22"/>
        </w:rPr>
      </w:pPr>
      <w:r>
        <w:rPr>
          <w:b/>
          <w:bCs/>
          <w:sz w:val="20"/>
          <w:szCs w:val="22"/>
        </w:rPr>
        <w:t>Pre-Approval of Audit Fees</w:t>
      </w:r>
    </w:p>
    <w:p w:rsidR="00067612" w:rsidRDefault="00067612" w:rsidP="00067612">
      <w:pPr>
        <w:keepNext/>
        <w:rPr>
          <w:sz w:val="20"/>
          <w:szCs w:val="22"/>
        </w:rPr>
      </w:pPr>
    </w:p>
    <w:p w:rsidR="00067612" w:rsidRDefault="00067612" w:rsidP="00067612">
      <w:pPr>
        <w:keepNext/>
        <w:rPr>
          <w:sz w:val="20"/>
          <w:szCs w:val="22"/>
        </w:rPr>
      </w:pPr>
      <w:r>
        <w:rPr>
          <w:sz w:val="20"/>
          <w:szCs w:val="22"/>
        </w:rPr>
        <w:tab/>
        <w:t xml:space="preserve">The Audit Committee is responsible for pre-approving all </w:t>
      </w:r>
      <w:proofErr w:type="gramStart"/>
      <w:r>
        <w:rPr>
          <w:sz w:val="20"/>
          <w:szCs w:val="22"/>
        </w:rPr>
        <w:t>audit</w:t>
      </w:r>
      <w:proofErr w:type="gramEnd"/>
      <w:r>
        <w:rPr>
          <w:sz w:val="20"/>
          <w:szCs w:val="22"/>
        </w:rPr>
        <w:t xml:space="preserve"> and permitted non-audit services to be performed for </w:t>
      </w:r>
      <w:proofErr w:type="spellStart"/>
      <w:r>
        <w:rPr>
          <w:sz w:val="20"/>
          <w:szCs w:val="22"/>
        </w:rPr>
        <w:t>MakeMusic</w:t>
      </w:r>
      <w:proofErr w:type="spellEnd"/>
      <w:r>
        <w:rPr>
          <w:sz w:val="20"/>
          <w:szCs w:val="22"/>
        </w:rPr>
        <w:t xml:space="preserve"> by its independent auditors or any other auditing or accounting firm. Unless a particular service has received general pre-approval by the Audit Committee, each service provided must be specifically pre-approved. Any proposed services exceeding pre-approved cost levels will also require specific pre-approval by the Audit Committee.  </w:t>
      </w:r>
    </w:p>
    <w:p w:rsidR="00067612" w:rsidRDefault="00067612" w:rsidP="00067612">
      <w:pPr>
        <w:rPr>
          <w:sz w:val="20"/>
          <w:szCs w:val="22"/>
        </w:rPr>
      </w:pPr>
    </w:p>
    <w:p w:rsidR="00067612" w:rsidRDefault="00067612" w:rsidP="00067612">
      <w:pPr>
        <w:pStyle w:val="BodyText"/>
        <w:rPr>
          <w:sz w:val="20"/>
          <w:szCs w:val="22"/>
        </w:rPr>
      </w:pPr>
      <w:r>
        <w:rPr>
          <w:sz w:val="20"/>
          <w:szCs w:val="22"/>
        </w:rPr>
        <w:tab/>
        <w:t xml:space="preserve">Pursuant to its pre-approval policy, the Audit Committee has pre-approved certain non-audit services, including certain tax services. All of the non-audit services rendered by </w:t>
      </w:r>
      <w:proofErr w:type="spellStart"/>
      <w:r>
        <w:rPr>
          <w:sz w:val="20"/>
          <w:szCs w:val="22"/>
        </w:rPr>
        <w:t>McGladrey</w:t>
      </w:r>
      <w:proofErr w:type="spellEnd"/>
      <w:r>
        <w:rPr>
          <w:sz w:val="20"/>
          <w:szCs w:val="22"/>
        </w:rPr>
        <w:t xml:space="preserve"> &amp; Pullen, LLP during 2011 were pre-approved in accordance with this policy.</w:t>
      </w:r>
    </w:p>
    <w:p w:rsidR="00067612" w:rsidRDefault="00067612" w:rsidP="00067612">
      <w:pPr>
        <w:pStyle w:val="BodyText"/>
        <w:rPr>
          <w:sz w:val="20"/>
          <w:szCs w:val="22"/>
        </w:rPr>
      </w:pPr>
    </w:p>
    <w:p w:rsidR="00067612" w:rsidRDefault="00067612" w:rsidP="00067612">
      <w:pPr>
        <w:pStyle w:val="BodyText"/>
      </w:pPr>
    </w:p>
    <w:p w:rsidR="004851D7" w:rsidRDefault="004851D7" w:rsidP="00D51EA1">
      <w:pPr>
        <w:pStyle w:val="Heading1"/>
      </w:pPr>
      <w:bookmarkStart w:id="39" w:name="di19301_item_13__exhibits"/>
      <w:bookmarkStart w:id="40" w:name="toc_di19301_6"/>
      <w:bookmarkEnd w:id="39"/>
      <w:bookmarkEnd w:id="40"/>
      <w:r>
        <w:br w:type="page"/>
      </w:r>
      <w:bookmarkStart w:id="41" w:name="_Toc319405356"/>
      <w:r>
        <w:lastRenderedPageBreak/>
        <w:t>PART IV</w:t>
      </w:r>
      <w:bookmarkEnd w:id="41"/>
    </w:p>
    <w:p w:rsidR="004851D7" w:rsidRDefault="004851D7">
      <w:pPr>
        <w:jc w:val="center"/>
        <w:rPr>
          <w:b/>
          <w:bCs/>
          <w:color w:val="000000"/>
          <w:sz w:val="20"/>
        </w:rPr>
      </w:pPr>
    </w:p>
    <w:p w:rsidR="004851D7" w:rsidRDefault="004851D7" w:rsidP="00D51EA1">
      <w:pPr>
        <w:pStyle w:val="Heading2"/>
      </w:pPr>
      <w:bookmarkStart w:id="42" w:name="_Toc319405357"/>
      <w:proofErr w:type="gramStart"/>
      <w:r>
        <w:t>ITEM 15.</w:t>
      </w:r>
      <w:proofErr w:type="gramEnd"/>
      <w:r>
        <w:tab/>
        <w:t>EXHIBITS AND FINANCIAL STATEMENT SCHEDULES</w:t>
      </w:r>
      <w:bookmarkEnd w:id="42"/>
    </w:p>
    <w:p w:rsidR="004851D7" w:rsidRDefault="004851D7">
      <w:pPr>
        <w:rPr>
          <w:color w:val="000000"/>
          <w:sz w:val="20"/>
        </w:rPr>
      </w:pPr>
    </w:p>
    <w:p w:rsidR="004851D7" w:rsidRDefault="004851D7">
      <w:pPr>
        <w:rPr>
          <w:sz w:val="20"/>
          <w:szCs w:val="20"/>
        </w:rPr>
      </w:pPr>
      <w:r>
        <w:rPr>
          <w:sz w:val="20"/>
          <w:szCs w:val="20"/>
        </w:rPr>
        <w:t xml:space="preserve"> (a)   Documents filed as part of this report. </w:t>
      </w:r>
    </w:p>
    <w:p w:rsidR="004851D7" w:rsidRDefault="004851D7">
      <w:pPr>
        <w:rPr>
          <w:sz w:val="20"/>
          <w:szCs w:val="20"/>
        </w:rPr>
      </w:pPr>
    </w:p>
    <w:p w:rsidR="004851D7" w:rsidRDefault="004851D7">
      <w:pPr>
        <w:ind w:left="720" w:hanging="360"/>
        <w:rPr>
          <w:sz w:val="20"/>
          <w:szCs w:val="20"/>
        </w:rPr>
      </w:pPr>
      <w:r>
        <w:rPr>
          <w:sz w:val="20"/>
          <w:szCs w:val="20"/>
        </w:rPr>
        <w:t xml:space="preserve">(1)  Financial Statements. The following financial statements are included in Part II, Item 8 of this </w:t>
      </w:r>
      <w:proofErr w:type="gramStart"/>
      <w:r>
        <w:rPr>
          <w:sz w:val="20"/>
          <w:szCs w:val="20"/>
        </w:rPr>
        <w:t>Annual  Report</w:t>
      </w:r>
      <w:proofErr w:type="gramEnd"/>
      <w:r>
        <w:rPr>
          <w:sz w:val="20"/>
          <w:szCs w:val="20"/>
        </w:rPr>
        <w:t xml:space="preserve"> on Form 10-K: </w:t>
      </w:r>
    </w:p>
    <w:p w:rsidR="004851D7" w:rsidRDefault="004851D7">
      <w:pPr>
        <w:ind w:left="540" w:hanging="180"/>
        <w:rPr>
          <w:sz w:val="20"/>
          <w:szCs w:val="20"/>
        </w:rPr>
      </w:pPr>
      <w:r>
        <w:rPr>
          <w:sz w:val="20"/>
          <w:szCs w:val="20"/>
        </w:rPr>
        <w:t xml:space="preserve">  </w:t>
      </w:r>
    </w:p>
    <w:p w:rsidR="004851D7" w:rsidRDefault="004851D7">
      <w:pPr>
        <w:ind w:left="720" w:hanging="360"/>
        <w:rPr>
          <w:sz w:val="20"/>
          <w:szCs w:val="20"/>
        </w:rPr>
      </w:pPr>
      <w:r>
        <w:rPr>
          <w:sz w:val="20"/>
          <w:szCs w:val="20"/>
        </w:rPr>
        <w:t xml:space="preserve">       Report of </w:t>
      </w:r>
      <w:proofErr w:type="spellStart"/>
      <w:r>
        <w:rPr>
          <w:sz w:val="20"/>
          <w:szCs w:val="20"/>
        </w:rPr>
        <w:t>McGladrey</w:t>
      </w:r>
      <w:proofErr w:type="spellEnd"/>
      <w:r>
        <w:rPr>
          <w:sz w:val="20"/>
          <w:szCs w:val="20"/>
        </w:rPr>
        <w:t xml:space="preserve"> &amp; Pullen LLP on Financial Statements as of and for the periods ended December 31, </w:t>
      </w:r>
      <w:r w:rsidR="00FC1982">
        <w:rPr>
          <w:sz w:val="20"/>
          <w:szCs w:val="20"/>
        </w:rPr>
        <w:t xml:space="preserve">2011 </w:t>
      </w:r>
      <w:r>
        <w:rPr>
          <w:sz w:val="20"/>
          <w:szCs w:val="20"/>
        </w:rPr>
        <w:t xml:space="preserve">and December 31, </w:t>
      </w:r>
      <w:r w:rsidR="00FC1982">
        <w:rPr>
          <w:sz w:val="20"/>
          <w:szCs w:val="20"/>
        </w:rPr>
        <w:t>2010</w:t>
      </w:r>
    </w:p>
    <w:p w:rsidR="004851D7" w:rsidRDefault="004851D7">
      <w:pPr>
        <w:ind w:left="540" w:hanging="180"/>
        <w:rPr>
          <w:sz w:val="20"/>
          <w:szCs w:val="20"/>
        </w:rPr>
      </w:pPr>
      <w:r>
        <w:rPr>
          <w:sz w:val="20"/>
          <w:szCs w:val="20"/>
        </w:rPr>
        <w:t xml:space="preserve">  </w:t>
      </w:r>
    </w:p>
    <w:p w:rsidR="004851D7" w:rsidRDefault="004851D7">
      <w:pPr>
        <w:ind w:left="540" w:hanging="180"/>
        <w:rPr>
          <w:sz w:val="20"/>
          <w:szCs w:val="20"/>
        </w:rPr>
      </w:pPr>
      <w:r>
        <w:rPr>
          <w:sz w:val="20"/>
          <w:szCs w:val="20"/>
        </w:rPr>
        <w:t xml:space="preserve">      Balance Sheets as of December 31, </w:t>
      </w:r>
      <w:r w:rsidR="00FC1982">
        <w:rPr>
          <w:sz w:val="20"/>
          <w:szCs w:val="20"/>
        </w:rPr>
        <w:t xml:space="preserve">2011 </w:t>
      </w:r>
      <w:r>
        <w:rPr>
          <w:sz w:val="20"/>
          <w:szCs w:val="20"/>
        </w:rPr>
        <w:t xml:space="preserve">and </w:t>
      </w:r>
      <w:r w:rsidR="00FC1982">
        <w:rPr>
          <w:sz w:val="20"/>
          <w:szCs w:val="20"/>
        </w:rPr>
        <w:t xml:space="preserve">2010 </w:t>
      </w:r>
    </w:p>
    <w:p w:rsidR="004851D7" w:rsidRDefault="004851D7">
      <w:pPr>
        <w:ind w:left="540" w:hanging="180"/>
        <w:rPr>
          <w:sz w:val="20"/>
          <w:szCs w:val="20"/>
        </w:rPr>
      </w:pPr>
      <w:r>
        <w:rPr>
          <w:sz w:val="20"/>
          <w:szCs w:val="20"/>
        </w:rPr>
        <w:t xml:space="preserve">  </w:t>
      </w:r>
    </w:p>
    <w:p w:rsidR="004851D7" w:rsidRDefault="004851D7">
      <w:pPr>
        <w:ind w:left="540" w:hanging="180"/>
        <w:rPr>
          <w:sz w:val="20"/>
          <w:szCs w:val="20"/>
        </w:rPr>
      </w:pPr>
      <w:r>
        <w:rPr>
          <w:sz w:val="20"/>
          <w:szCs w:val="20"/>
        </w:rPr>
        <w:t xml:space="preserve">      Statements of Income for the years ended December 31, </w:t>
      </w:r>
      <w:r w:rsidR="00FC1982">
        <w:rPr>
          <w:sz w:val="20"/>
          <w:szCs w:val="20"/>
        </w:rPr>
        <w:t xml:space="preserve">2011 </w:t>
      </w:r>
      <w:r>
        <w:rPr>
          <w:sz w:val="20"/>
          <w:szCs w:val="20"/>
        </w:rPr>
        <w:t xml:space="preserve">and </w:t>
      </w:r>
      <w:r w:rsidR="00FC1982">
        <w:rPr>
          <w:sz w:val="20"/>
          <w:szCs w:val="20"/>
        </w:rPr>
        <w:t>2010</w:t>
      </w:r>
    </w:p>
    <w:p w:rsidR="004851D7" w:rsidRDefault="004851D7">
      <w:pPr>
        <w:ind w:left="540" w:hanging="180"/>
        <w:rPr>
          <w:sz w:val="20"/>
          <w:szCs w:val="20"/>
        </w:rPr>
      </w:pPr>
      <w:r>
        <w:rPr>
          <w:sz w:val="20"/>
          <w:szCs w:val="20"/>
        </w:rPr>
        <w:t xml:space="preserve">  </w:t>
      </w:r>
    </w:p>
    <w:p w:rsidR="004851D7" w:rsidRDefault="004851D7">
      <w:pPr>
        <w:ind w:left="720" w:hanging="180"/>
        <w:rPr>
          <w:sz w:val="20"/>
          <w:szCs w:val="20"/>
        </w:rPr>
      </w:pPr>
      <w:r>
        <w:rPr>
          <w:sz w:val="20"/>
          <w:szCs w:val="20"/>
        </w:rPr>
        <w:t xml:space="preserve">   Statements of Shareholders’ Equity for the years ended December 31, </w:t>
      </w:r>
      <w:r w:rsidR="00FC1982">
        <w:rPr>
          <w:sz w:val="20"/>
          <w:szCs w:val="20"/>
        </w:rPr>
        <w:t xml:space="preserve">2011 </w:t>
      </w:r>
      <w:r>
        <w:rPr>
          <w:sz w:val="20"/>
          <w:szCs w:val="20"/>
        </w:rPr>
        <w:t xml:space="preserve">and </w:t>
      </w:r>
      <w:r w:rsidR="00FC1982">
        <w:rPr>
          <w:sz w:val="20"/>
          <w:szCs w:val="20"/>
        </w:rPr>
        <w:t>2010</w:t>
      </w:r>
    </w:p>
    <w:p w:rsidR="004851D7" w:rsidRDefault="004851D7">
      <w:pPr>
        <w:ind w:left="540" w:hanging="180"/>
        <w:rPr>
          <w:sz w:val="20"/>
          <w:szCs w:val="20"/>
        </w:rPr>
      </w:pPr>
      <w:r>
        <w:rPr>
          <w:sz w:val="20"/>
          <w:szCs w:val="20"/>
        </w:rPr>
        <w:t xml:space="preserve">  </w:t>
      </w:r>
    </w:p>
    <w:p w:rsidR="004851D7" w:rsidRDefault="004851D7">
      <w:pPr>
        <w:ind w:left="540" w:hanging="180"/>
        <w:rPr>
          <w:sz w:val="20"/>
          <w:szCs w:val="20"/>
        </w:rPr>
      </w:pPr>
      <w:r>
        <w:rPr>
          <w:sz w:val="20"/>
          <w:szCs w:val="20"/>
        </w:rPr>
        <w:t xml:space="preserve">      Statements of Cash Flows for the years ended December 31, </w:t>
      </w:r>
      <w:r w:rsidR="00FC1982">
        <w:rPr>
          <w:sz w:val="20"/>
          <w:szCs w:val="20"/>
        </w:rPr>
        <w:t xml:space="preserve">2011 </w:t>
      </w:r>
      <w:r>
        <w:rPr>
          <w:sz w:val="20"/>
          <w:szCs w:val="20"/>
        </w:rPr>
        <w:t xml:space="preserve">and </w:t>
      </w:r>
      <w:r w:rsidR="00FC1982">
        <w:rPr>
          <w:sz w:val="20"/>
          <w:szCs w:val="20"/>
        </w:rPr>
        <w:t>2010</w:t>
      </w:r>
    </w:p>
    <w:p w:rsidR="004851D7" w:rsidRDefault="004851D7">
      <w:pPr>
        <w:ind w:left="540" w:hanging="180"/>
        <w:rPr>
          <w:sz w:val="20"/>
          <w:szCs w:val="20"/>
        </w:rPr>
      </w:pPr>
      <w:r>
        <w:rPr>
          <w:sz w:val="20"/>
          <w:szCs w:val="20"/>
        </w:rPr>
        <w:t xml:space="preserve">  </w:t>
      </w:r>
    </w:p>
    <w:p w:rsidR="004851D7" w:rsidRDefault="004851D7">
      <w:pPr>
        <w:ind w:left="540" w:hanging="180"/>
        <w:rPr>
          <w:sz w:val="20"/>
          <w:szCs w:val="20"/>
        </w:rPr>
      </w:pPr>
      <w:r>
        <w:rPr>
          <w:sz w:val="20"/>
          <w:szCs w:val="20"/>
        </w:rPr>
        <w:t xml:space="preserve">      Notes to Financial Statements </w:t>
      </w:r>
    </w:p>
    <w:p w:rsidR="004851D7" w:rsidRDefault="004851D7">
      <w:pPr>
        <w:ind w:left="540" w:hanging="180"/>
        <w:rPr>
          <w:sz w:val="20"/>
          <w:szCs w:val="20"/>
        </w:rPr>
      </w:pPr>
      <w:r>
        <w:rPr>
          <w:sz w:val="20"/>
          <w:szCs w:val="20"/>
        </w:rPr>
        <w:t xml:space="preserve">  </w:t>
      </w:r>
    </w:p>
    <w:p w:rsidR="004851D7" w:rsidRDefault="004851D7">
      <w:pPr>
        <w:ind w:left="720" w:hanging="360"/>
        <w:rPr>
          <w:sz w:val="20"/>
          <w:szCs w:val="20"/>
        </w:rPr>
      </w:pPr>
      <w:r>
        <w:rPr>
          <w:sz w:val="20"/>
          <w:szCs w:val="20"/>
        </w:rPr>
        <w:t xml:space="preserve">(2) </w:t>
      </w:r>
      <w:r>
        <w:rPr>
          <w:sz w:val="20"/>
          <w:szCs w:val="20"/>
        </w:rPr>
        <w:tab/>
        <w:t>Financial Statement Schedules. The following consolidated financial statement schedules are included in Item 8: Not applicable.</w:t>
      </w:r>
    </w:p>
    <w:p w:rsidR="004851D7" w:rsidRDefault="004851D7">
      <w:pPr>
        <w:ind w:left="540" w:hanging="180"/>
        <w:rPr>
          <w:sz w:val="20"/>
          <w:szCs w:val="20"/>
        </w:rPr>
      </w:pPr>
      <w:r>
        <w:rPr>
          <w:sz w:val="20"/>
          <w:szCs w:val="20"/>
        </w:rPr>
        <w:t xml:space="preserve">  </w:t>
      </w:r>
    </w:p>
    <w:p w:rsidR="004851D7" w:rsidRDefault="004851D7">
      <w:pPr>
        <w:tabs>
          <w:tab w:val="left" w:pos="360"/>
        </w:tabs>
        <w:ind w:left="720" w:hanging="720"/>
        <w:rPr>
          <w:color w:val="000000"/>
          <w:sz w:val="20"/>
        </w:rPr>
      </w:pPr>
      <w:r>
        <w:rPr>
          <w:sz w:val="20"/>
          <w:szCs w:val="20"/>
        </w:rPr>
        <w:t xml:space="preserve">  </w:t>
      </w:r>
      <w:r>
        <w:rPr>
          <w:sz w:val="20"/>
          <w:szCs w:val="20"/>
        </w:rPr>
        <w:tab/>
        <w:t>(3)   Exhibits. See “Exhibit Index to Form 10-K” immediately following the signature page of this Form 10-K</w:t>
      </w:r>
      <w:r>
        <w:rPr>
          <w:color w:val="000000"/>
          <w:sz w:val="20"/>
        </w:rPr>
        <w:t xml:space="preserve"> for a description of the documents that are filed as Exhibits to this report or incorporated by reference herein.</w:t>
      </w:r>
    </w:p>
    <w:p w:rsidR="004851D7" w:rsidRDefault="004851D7">
      <w:pPr>
        <w:rPr>
          <w:b/>
          <w:bCs/>
          <w:color w:val="000000"/>
          <w:sz w:val="20"/>
        </w:rPr>
      </w:pPr>
      <w:r>
        <w:rPr>
          <w:color w:val="000000"/>
          <w:sz w:val="20"/>
        </w:rPr>
        <w:br w:type="page"/>
      </w:r>
      <w:r>
        <w:rPr>
          <w:b/>
          <w:bCs/>
          <w:color w:val="000000"/>
          <w:sz w:val="20"/>
        </w:rPr>
        <w:lastRenderedPageBreak/>
        <w:t>SIGNATURES</w:t>
      </w:r>
    </w:p>
    <w:p w:rsidR="004851D7" w:rsidRDefault="004851D7">
      <w:pPr>
        <w:rPr>
          <w:color w:val="000000"/>
          <w:sz w:val="20"/>
        </w:rPr>
      </w:pPr>
    </w:p>
    <w:p w:rsidR="004851D7" w:rsidRDefault="004851D7">
      <w:pPr>
        <w:rPr>
          <w:color w:val="000000"/>
          <w:sz w:val="20"/>
        </w:rPr>
      </w:pPr>
    </w:p>
    <w:p w:rsidR="004851D7" w:rsidRDefault="004851D7">
      <w:pPr>
        <w:rPr>
          <w:color w:val="000000"/>
          <w:sz w:val="20"/>
        </w:rPr>
      </w:pPr>
      <w:r>
        <w:rPr>
          <w:color w:val="000000"/>
          <w:sz w:val="20"/>
        </w:rPr>
        <w:tab/>
        <w:t>Pursuant to the requirements of Section 13 or 15(d) of the Securities Exchange Act of 1934, the registrant has duly caused this report to be signed on its behalf by the undersigned, thereunto duly authorized</w:t>
      </w:r>
    </w:p>
    <w:p w:rsidR="004851D7" w:rsidRDefault="004851D7">
      <w:pPr>
        <w:ind w:firstLine="720"/>
        <w:rPr>
          <w:color w:val="000000"/>
          <w:sz w:val="20"/>
        </w:rPr>
      </w:pPr>
    </w:p>
    <w:p w:rsidR="004851D7" w:rsidRDefault="004851D7">
      <w:pPr>
        <w:pStyle w:val="BodyTextIndent"/>
        <w:ind w:left="3600" w:firstLine="720"/>
        <w:jc w:val="both"/>
        <w:rPr>
          <w:rFonts w:ascii="Times New Roman" w:hAnsi="Times New Roman"/>
          <w:b/>
          <w:bCs/>
          <w:color w:val="000000"/>
          <w:sz w:val="20"/>
          <w:szCs w:val="20"/>
        </w:rPr>
      </w:pPr>
      <w:proofErr w:type="spellStart"/>
      <w:r>
        <w:rPr>
          <w:rFonts w:ascii="Times New Roman" w:hAnsi="Times New Roman"/>
          <w:b/>
          <w:bCs/>
          <w:color w:val="000000"/>
          <w:sz w:val="20"/>
          <w:szCs w:val="20"/>
        </w:rPr>
        <w:t>MakeMusic</w:t>
      </w:r>
      <w:proofErr w:type="spellEnd"/>
      <w:r>
        <w:rPr>
          <w:rFonts w:ascii="Times New Roman" w:hAnsi="Times New Roman"/>
          <w:b/>
          <w:bCs/>
          <w:color w:val="000000"/>
          <w:sz w:val="20"/>
          <w:szCs w:val="20"/>
        </w:rPr>
        <w:t xml:space="preserve">, Inc. </w:t>
      </w:r>
    </w:p>
    <w:p w:rsidR="004851D7" w:rsidRDefault="004851D7">
      <w:pPr>
        <w:pStyle w:val="BodyTextIndent"/>
        <w:ind w:left="3600" w:firstLine="720"/>
        <w:jc w:val="both"/>
        <w:rPr>
          <w:rFonts w:ascii="Times New Roman" w:hAnsi="Times New Roman"/>
          <w:color w:val="000000"/>
          <w:sz w:val="20"/>
          <w:szCs w:val="20"/>
        </w:rPr>
      </w:pPr>
    </w:p>
    <w:p w:rsidR="004851D7" w:rsidRDefault="004851D7">
      <w:pPr>
        <w:tabs>
          <w:tab w:val="left" w:pos="2880"/>
          <w:tab w:val="left" w:pos="3600"/>
          <w:tab w:val="left" w:pos="4320"/>
          <w:tab w:val="left" w:pos="5040"/>
          <w:tab w:val="left" w:pos="5760"/>
          <w:tab w:val="right" w:pos="9360"/>
        </w:tabs>
        <w:suppressAutoHyphens/>
        <w:jc w:val="both"/>
        <w:rPr>
          <w:color w:val="000000"/>
          <w:sz w:val="20"/>
          <w:szCs w:val="20"/>
        </w:rPr>
      </w:pPr>
      <w:bookmarkStart w:id="43" w:name="_DV_M561"/>
      <w:bookmarkEnd w:id="43"/>
      <w:r>
        <w:rPr>
          <w:color w:val="000000"/>
          <w:sz w:val="20"/>
          <w:szCs w:val="20"/>
        </w:rPr>
        <w:t xml:space="preserve">Dated:  </w:t>
      </w:r>
      <w:r w:rsidR="00976DA0">
        <w:rPr>
          <w:color w:val="000000"/>
          <w:sz w:val="20"/>
          <w:szCs w:val="20"/>
        </w:rPr>
        <w:t>March 13, 2012</w:t>
      </w:r>
      <w:r>
        <w:rPr>
          <w:color w:val="000000"/>
          <w:sz w:val="20"/>
          <w:szCs w:val="20"/>
        </w:rPr>
        <w:tab/>
      </w:r>
      <w:r>
        <w:rPr>
          <w:color w:val="000000"/>
          <w:sz w:val="20"/>
          <w:szCs w:val="20"/>
        </w:rPr>
        <w:tab/>
      </w:r>
      <w:r>
        <w:rPr>
          <w:color w:val="000000"/>
          <w:sz w:val="20"/>
          <w:szCs w:val="20"/>
        </w:rPr>
        <w:tab/>
      </w:r>
      <w:proofErr w:type="gramStart"/>
      <w:r>
        <w:rPr>
          <w:color w:val="000000"/>
          <w:sz w:val="20"/>
          <w:szCs w:val="20"/>
        </w:rPr>
        <w:t>By</w:t>
      </w:r>
      <w:proofErr w:type="gramEnd"/>
      <w:r>
        <w:rPr>
          <w:color w:val="000000"/>
          <w:sz w:val="20"/>
          <w:szCs w:val="20"/>
        </w:rPr>
        <w:t>:</w:t>
      </w:r>
      <w:r>
        <w:rPr>
          <w:color w:val="000000"/>
          <w:sz w:val="20"/>
          <w:szCs w:val="20"/>
          <w:u w:val="single"/>
        </w:rPr>
        <w:t xml:space="preserve">      /s/ </w:t>
      </w:r>
      <w:r w:rsidR="005366C7">
        <w:rPr>
          <w:color w:val="000000"/>
          <w:sz w:val="20"/>
          <w:szCs w:val="20"/>
          <w:u w:val="single"/>
        </w:rPr>
        <w:t>Karen T. van Lith</w:t>
      </w:r>
      <w:r>
        <w:rPr>
          <w:color w:val="000000"/>
          <w:sz w:val="20"/>
          <w:szCs w:val="20"/>
          <w:u w:val="single"/>
        </w:rPr>
        <w:tab/>
      </w:r>
    </w:p>
    <w:p w:rsidR="004851D7" w:rsidRDefault="004851D7">
      <w:pPr>
        <w:tabs>
          <w:tab w:val="left" w:pos="-1440"/>
          <w:tab w:val="left" w:pos="-72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320" w:hanging="4320"/>
        <w:jc w:val="both"/>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sidR="005366C7">
        <w:rPr>
          <w:color w:val="000000"/>
          <w:sz w:val="20"/>
          <w:szCs w:val="20"/>
        </w:rPr>
        <w:t>Karen T. van Lith,</w:t>
      </w:r>
      <w:r>
        <w:rPr>
          <w:color w:val="000000"/>
          <w:sz w:val="20"/>
          <w:szCs w:val="20"/>
        </w:rPr>
        <w:t xml:space="preserve"> Chief Executive Officer</w:t>
      </w:r>
    </w:p>
    <w:p w:rsidR="004851D7" w:rsidRDefault="004851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z w:val="20"/>
          <w:szCs w:val="20"/>
        </w:rPr>
      </w:pPr>
    </w:p>
    <w:p w:rsidR="004851D7" w:rsidRDefault="004851D7">
      <w:pPr>
        <w:rPr>
          <w:color w:val="000000"/>
          <w:sz w:val="6"/>
          <w:szCs w:val="16"/>
        </w:rPr>
      </w:pPr>
    </w:p>
    <w:p w:rsidR="004851D7" w:rsidRDefault="004851D7">
      <w:pPr>
        <w:ind w:firstLine="720"/>
        <w:rPr>
          <w:color w:val="000000"/>
          <w:sz w:val="16"/>
          <w:szCs w:val="16"/>
        </w:rPr>
      </w:pPr>
      <w:r>
        <w:rPr>
          <w:color w:val="000000"/>
          <w:sz w:val="20"/>
        </w:rPr>
        <w:t>In accordance with the Exchange Act, this Report has been signed by the following persons on behalf of the Registrant and in the capacities and on the dates indicated.</w:t>
      </w:r>
    </w:p>
    <w:p w:rsidR="004851D7" w:rsidRDefault="004851D7">
      <w:pPr>
        <w:rPr>
          <w:color w:val="000000"/>
          <w:sz w:val="16"/>
          <w:szCs w:val="16"/>
        </w:rPr>
      </w:pPr>
    </w:p>
    <w:p w:rsidR="004851D7" w:rsidRDefault="004851D7">
      <w:pPr>
        <w:jc w:val="center"/>
        <w:rPr>
          <w:color w:val="000000"/>
          <w:sz w:val="16"/>
          <w:szCs w:val="16"/>
        </w:rPr>
      </w:pPr>
      <w:r>
        <w:rPr>
          <w:color w:val="000000"/>
          <w:sz w:val="20"/>
        </w:rPr>
        <w:t>(Power of Attorney)</w:t>
      </w:r>
    </w:p>
    <w:p w:rsidR="004851D7" w:rsidRDefault="004851D7">
      <w:pPr>
        <w:rPr>
          <w:color w:val="000000"/>
          <w:sz w:val="6"/>
          <w:szCs w:val="16"/>
        </w:rPr>
      </w:pPr>
    </w:p>
    <w:p w:rsidR="004851D7" w:rsidRDefault="004851D7">
      <w:pPr>
        <w:tabs>
          <w:tab w:val="left" w:pos="-696"/>
          <w:tab w:val="left" w:pos="5496"/>
        </w:tabs>
        <w:suppressAutoHyphens/>
        <w:spacing w:before="90" w:after="54"/>
        <w:rPr>
          <w:b/>
          <w:bCs/>
          <w:color w:val="000000"/>
          <w:sz w:val="16"/>
          <w:szCs w:val="16"/>
          <w:u w:val="single"/>
        </w:rPr>
      </w:pPr>
      <w:r>
        <w:rPr>
          <w:color w:val="000000"/>
          <w:sz w:val="20"/>
        </w:rPr>
        <w:t xml:space="preserve">Each person whose signature appears below constitutes and appoints </w:t>
      </w:r>
      <w:r w:rsidR="005366C7">
        <w:rPr>
          <w:color w:val="000000"/>
          <w:sz w:val="20"/>
        </w:rPr>
        <w:t>Karen T. van Lith</w:t>
      </w:r>
      <w:r>
        <w:rPr>
          <w:color w:val="000000"/>
          <w:sz w:val="20"/>
        </w:rPr>
        <w:t xml:space="preserve"> and Karen L. VanDerBosch as true and lawful attorneys-in-fact and agents, each acting alone, with full power of substitution and </w:t>
      </w:r>
      <w:proofErr w:type="spellStart"/>
      <w:r>
        <w:rPr>
          <w:color w:val="000000"/>
          <w:sz w:val="20"/>
        </w:rPr>
        <w:t>resubstitution</w:t>
      </w:r>
      <w:proofErr w:type="spellEnd"/>
      <w:r>
        <w:rPr>
          <w:color w:val="000000"/>
          <w:sz w:val="20"/>
        </w:rPr>
        <w:t>, for him and in his name, place and stead, in any and all capacities, to sign any or all amendments to this Annual Report on Form 10-K and to file the same, with all exhibits thereto, and other documents in connection therewith, with the Securities and Exchange Commission, granting unto said attorneys-in-fact and agents, each acting alone, full power and authority to do and perform each and every act and thing requisite and necessary to be done in and about the premises, as fully to all intents and purposes as he might or could do in person, hereby ratifying and confirming all said attorneys-in-fact and agents, each acting alone, or his substitute or substitutes, may lawfully do or cause to be done by virtue thereof.</w:t>
      </w:r>
      <w:r>
        <w:rPr>
          <w:b/>
          <w:bCs/>
          <w:color w:val="000000"/>
          <w:sz w:val="20"/>
          <w:szCs w:val="20"/>
          <w:u w:val="single"/>
        </w:rPr>
        <w:t xml:space="preserve"> </w:t>
      </w:r>
    </w:p>
    <w:p w:rsidR="004851D7" w:rsidRDefault="004851D7">
      <w:pPr>
        <w:ind w:firstLine="720"/>
        <w:rPr>
          <w:color w:val="000000"/>
          <w:sz w:val="20"/>
        </w:rPr>
      </w:pPr>
      <w:r>
        <w:rPr>
          <w:b/>
          <w:bCs/>
          <w:color w:val="000000"/>
          <w:sz w:val="20"/>
          <w:szCs w:val="20"/>
          <w:u w:val="single"/>
        </w:rPr>
        <w:t>Signature and Title</w:t>
      </w:r>
      <w:r>
        <w:rPr>
          <w:b/>
          <w:bCs/>
          <w:color w:val="000000"/>
          <w:sz w:val="20"/>
          <w:szCs w:val="20"/>
        </w:rPr>
        <w:tab/>
      </w:r>
      <w:r>
        <w:rPr>
          <w:b/>
          <w:bCs/>
          <w:color w:val="000000"/>
          <w:sz w:val="20"/>
          <w:szCs w:val="20"/>
        </w:rPr>
        <w:tab/>
      </w:r>
      <w:r>
        <w:rPr>
          <w:b/>
          <w:bCs/>
          <w:color w:val="000000"/>
          <w:sz w:val="20"/>
          <w:szCs w:val="20"/>
        </w:rPr>
        <w:tab/>
      </w:r>
      <w:r>
        <w:rPr>
          <w:b/>
          <w:bCs/>
          <w:color w:val="000000"/>
          <w:sz w:val="20"/>
          <w:szCs w:val="20"/>
          <w:u w:val="single"/>
        </w:rPr>
        <w:t>Date</w:t>
      </w:r>
    </w:p>
    <w:tbl>
      <w:tblPr>
        <w:tblW w:w="9360" w:type="dxa"/>
        <w:tblInd w:w="120" w:type="dxa"/>
        <w:tblLayout w:type="fixed"/>
        <w:tblCellMar>
          <w:left w:w="120" w:type="dxa"/>
          <w:right w:w="120" w:type="dxa"/>
        </w:tblCellMar>
        <w:tblLook w:val="0000" w:firstRow="0" w:lastRow="0" w:firstColumn="0" w:lastColumn="0" w:noHBand="0" w:noVBand="0"/>
      </w:tblPr>
      <w:tblGrid>
        <w:gridCol w:w="6187"/>
        <w:gridCol w:w="3173"/>
      </w:tblGrid>
      <w:tr w:rsidR="004851D7">
        <w:tc>
          <w:tcPr>
            <w:tcW w:w="6187" w:type="dxa"/>
            <w:tcBorders>
              <w:top w:val="nil"/>
              <w:left w:val="nil"/>
              <w:bottom w:val="nil"/>
              <w:right w:val="nil"/>
            </w:tcBorders>
          </w:tcPr>
          <w:p w:rsidR="004851D7" w:rsidRDefault="004851D7">
            <w:pPr>
              <w:pStyle w:val="Document1"/>
              <w:keepNext w:val="0"/>
              <w:keepLines w:val="0"/>
              <w:widowControl/>
              <w:tabs>
                <w:tab w:val="left" w:pos="5496"/>
              </w:tabs>
              <w:spacing w:after="54"/>
              <w:jc w:val="both"/>
              <w:rPr>
                <w:rFonts w:ascii="Times New Roman" w:hAnsi="Times New Roman" w:cs="Times New Roman"/>
                <w:color w:val="000000"/>
                <w:sz w:val="20"/>
                <w:szCs w:val="20"/>
              </w:rPr>
            </w:pPr>
          </w:p>
        </w:tc>
        <w:tc>
          <w:tcPr>
            <w:tcW w:w="3173" w:type="dxa"/>
            <w:tcBorders>
              <w:top w:val="nil"/>
              <w:left w:val="nil"/>
              <w:bottom w:val="nil"/>
              <w:right w:val="nil"/>
            </w:tcBorders>
          </w:tcPr>
          <w:p w:rsidR="004851D7" w:rsidRDefault="004851D7">
            <w:pPr>
              <w:tabs>
                <w:tab w:val="left" w:pos="-696"/>
                <w:tab w:val="left" w:pos="5496"/>
              </w:tabs>
              <w:suppressAutoHyphens/>
              <w:spacing w:before="90" w:after="54"/>
              <w:jc w:val="both"/>
              <w:rPr>
                <w:color w:val="000000"/>
                <w:sz w:val="20"/>
                <w:szCs w:val="20"/>
              </w:rPr>
            </w:pPr>
          </w:p>
        </w:tc>
      </w:tr>
      <w:tr w:rsidR="004851D7">
        <w:tc>
          <w:tcPr>
            <w:tcW w:w="6187" w:type="dxa"/>
            <w:tcBorders>
              <w:top w:val="nil"/>
              <w:left w:val="nil"/>
              <w:bottom w:val="nil"/>
              <w:right w:val="nil"/>
            </w:tcBorders>
          </w:tcPr>
          <w:p w:rsidR="004851D7" w:rsidRDefault="004851D7">
            <w:pPr>
              <w:tabs>
                <w:tab w:val="right" w:pos="5947"/>
              </w:tabs>
              <w:suppressAutoHyphens/>
              <w:jc w:val="both"/>
              <w:rPr>
                <w:color w:val="000000"/>
                <w:sz w:val="20"/>
                <w:szCs w:val="20"/>
              </w:rPr>
            </w:pPr>
            <w:r>
              <w:rPr>
                <w:color w:val="000000"/>
                <w:sz w:val="20"/>
                <w:szCs w:val="20"/>
                <w:u w:val="single"/>
              </w:rPr>
              <w:t xml:space="preserve">/s/ </w:t>
            </w:r>
            <w:r w:rsidR="00976DA0">
              <w:rPr>
                <w:color w:val="000000"/>
                <w:sz w:val="20"/>
                <w:szCs w:val="20"/>
                <w:u w:val="single"/>
              </w:rPr>
              <w:t>Karen T. van Lith</w:t>
            </w:r>
            <w:r>
              <w:rPr>
                <w:color w:val="000000"/>
                <w:sz w:val="20"/>
                <w:szCs w:val="20"/>
                <w:u w:val="single"/>
              </w:rPr>
              <w:tab/>
            </w:r>
          </w:p>
          <w:p w:rsidR="004851D7" w:rsidRDefault="00976DA0" w:rsidP="00223B45">
            <w:pPr>
              <w:tabs>
                <w:tab w:val="left" w:pos="-696"/>
                <w:tab w:val="left" w:pos="5496"/>
              </w:tabs>
              <w:suppressAutoHyphens/>
              <w:spacing w:after="54"/>
              <w:jc w:val="both"/>
              <w:rPr>
                <w:color w:val="000000"/>
                <w:sz w:val="20"/>
              </w:rPr>
            </w:pPr>
            <w:r>
              <w:rPr>
                <w:color w:val="000000"/>
                <w:sz w:val="20"/>
                <w:szCs w:val="20"/>
              </w:rPr>
              <w:t>Karen T. van Lith,</w:t>
            </w:r>
            <w:r w:rsidR="004851D7">
              <w:rPr>
                <w:color w:val="000000"/>
                <w:sz w:val="20"/>
                <w:szCs w:val="20"/>
              </w:rPr>
              <w:t xml:space="preserve"> </w:t>
            </w:r>
            <w:r w:rsidR="004851D7">
              <w:rPr>
                <w:color w:val="000000"/>
                <w:sz w:val="20"/>
              </w:rPr>
              <w:t>Chief Executive Officer and Director</w:t>
            </w:r>
          </w:p>
          <w:p w:rsidR="00A96D99" w:rsidRDefault="00A96D99" w:rsidP="00223B45">
            <w:pPr>
              <w:tabs>
                <w:tab w:val="left" w:pos="-696"/>
                <w:tab w:val="left" w:pos="5496"/>
              </w:tabs>
              <w:suppressAutoHyphens/>
              <w:spacing w:after="54"/>
              <w:jc w:val="both"/>
              <w:rPr>
                <w:color w:val="000000"/>
                <w:sz w:val="20"/>
                <w:szCs w:val="20"/>
              </w:rPr>
            </w:pPr>
            <w:r>
              <w:rPr>
                <w:color w:val="000000"/>
                <w:sz w:val="20"/>
              </w:rPr>
              <w:t>(principal executive officer)</w:t>
            </w:r>
          </w:p>
        </w:tc>
        <w:tc>
          <w:tcPr>
            <w:tcW w:w="3173" w:type="dxa"/>
            <w:tcBorders>
              <w:top w:val="nil"/>
              <w:left w:val="nil"/>
              <w:bottom w:val="nil"/>
              <w:right w:val="nil"/>
            </w:tcBorders>
          </w:tcPr>
          <w:p w:rsidR="004851D7" w:rsidRDefault="004851D7">
            <w:pPr>
              <w:tabs>
                <w:tab w:val="left" w:pos="-696"/>
                <w:tab w:val="left" w:pos="5496"/>
              </w:tabs>
              <w:suppressAutoHyphens/>
              <w:spacing w:before="90" w:after="54"/>
              <w:jc w:val="both"/>
              <w:rPr>
                <w:color w:val="000000"/>
                <w:sz w:val="20"/>
                <w:szCs w:val="20"/>
              </w:rPr>
            </w:pPr>
            <w:r>
              <w:rPr>
                <w:color w:val="000000"/>
                <w:sz w:val="20"/>
                <w:szCs w:val="20"/>
              </w:rPr>
              <w:t xml:space="preserve">    </w:t>
            </w:r>
            <w:r w:rsidR="00976DA0">
              <w:rPr>
                <w:color w:val="000000"/>
                <w:sz w:val="20"/>
                <w:szCs w:val="20"/>
              </w:rPr>
              <w:t>March 13, 2012</w:t>
            </w:r>
            <w:r>
              <w:rPr>
                <w:color w:val="000000"/>
                <w:sz w:val="20"/>
                <w:szCs w:val="20"/>
              </w:rPr>
              <w:t xml:space="preserve"> </w:t>
            </w:r>
          </w:p>
          <w:p w:rsidR="004851D7" w:rsidRDefault="004851D7">
            <w:pPr>
              <w:tabs>
                <w:tab w:val="left" w:pos="-696"/>
                <w:tab w:val="left" w:pos="5496"/>
              </w:tabs>
              <w:suppressAutoHyphens/>
              <w:spacing w:before="90" w:after="54"/>
              <w:jc w:val="both"/>
              <w:rPr>
                <w:color w:val="000000"/>
                <w:sz w:val="20"/>
                <w:szCs w:val="20"/>
              </w:rPr>
            </w:pPr>
            <w:r>
              <w:rPr>
                <w:color w:val="000000"/>
                <w:sz w:val="20"/>
                <w:szCs w:val="20"/>
              </w:rPr>
              <w:t xml:space="preserve">   </w:t>
            </w:r>
          </w:p>
        </w:tc>
      </w:tr>
      <w:tr w:rsidR="004851D7">
        <w:tc>
          <w:tcPr>
            <w:tcW w:w="6187" w:type="dxa"/>
            <w:tcBorders>
              <w:top w:val="nil"/>
              <w:left w:val="nil"/>
              <w:bottom w:val="nil"/>
              <w:right w:val="nil"/>
            </w:tcBorders>
          </w:tcPr>
          <w:p w:rsidR="004851D7" w:rsidRDefault="004851D7">
            <w:pPr>
              <w:tabs>
                <w:tab w:val="right" w:pos="5947"/>
              </w:tabs>
              <w:suppressAutoHyphens/>
              <w:jc w:val="both"/>
              <w:rPr>
                <w:color w:val="000000"/>
                <w:sz w:val="20"/>
                <w:szCs w:val="20"/>
              </w:rPr>
            </w:pPr>
            <w:r>
              <w:rPr>
                <w:color w:val="000000"/>
                <w:sz w:val="20"/>
                <w:szCs w:val="20"/>
                <w:u w:val="single"/>
              </w:rPr>
              <w:t>/s/ Karen L. VanDerBosch</w:t>
            </w:r>
            <w:r>
              <w:rPr>
                <w:color w:val="000000"/>
                <w:sz w:val="20"/>
                <w:szCs w:val="20"/>
                <w:u w:val="single"/>
              </w:rPr>
              <w:tab/>
            </w:r>
          </w:p>
          <w:p w:rsidR="004851D7" w:rsidRDefault="004851D7">
            <w:pPr>
              <w:pStyle w:val="Document1"/>
              <w:keepNext w:val="0"/>
              <w:keepLines w:val="0"/>
              <w:widowControl/>
              <w:tabs>
                <w:tab w:val="left" w:pos="5496"/>
              </w:tabs>
              <w:spacing w:after="54"/>
              <w:rPr>
                <w:rFonts w:ascii="Times New Roman" w:hAnsi="Times New Roman" w:cs="Times New Roman"/>
                <w:color w:val="000000"/>
                <w:sz w:val="20"/>
                <w:szCs w:val="20"/>
              </w:rPr>
            </w:pPr>
            <w:r>
              <w:rPr>
                <w:rFonts w:ascii="Times New Roman" w:hAnsi="Times New Roman" w:cs="Times New Roman"/>
                <w:color w:val="000000"/>
                <w:sz w:val="20"/>
                <w:szCs w:val="20"/>
              </w:rPr>
              <w:t xml:space="preserve">Karen L. VanDerBosch, Chief Operating Officer and Chief Financial Officer </w:t>
            </w:r>
            <w:r w:rsidR="00A96D99">
              <w:rPr>
                <w:rFonts w:ascii="Times New Roman" w:hAnsi="Times New Roman" w:cs="Times New Roman"/>
                <w:color w:val="000000"/>
                <w:sz w:val="20"/>
                <w:szCs w:val="20"/>
              </w:rPr>
              <w:t>(principal financial and accounting officer)</w:t>
            </w:r>
          </w:p>
        </w:tc>
        <w:tc>
          <w:tcPr>
            <w:tcW w:w="3173" w:type="dxa"/>
            <w:tcBorders>
              <w:top w:val="nil"/>
              <w:left w:val="nil"/>
              <w:bottom w:val="nil"/>
              <w:right w:val="nil"/>
            </w:tcBorders>
          </w:tcPr>
          <w:p w:rsidR="004851D7" w:rsidRDefault="004851D7">
            <w:pPr>
              <w:tabs>
                <w:tab w:val="left" w:pos="-696"/>
                <w:tab w:val="left" w:pos="5496"/>
              </w:tabs>
              <w:suppressAutoHyphens/>
              <w:spacing w:before="90" w:after="54"/>
              <w:jc w:val="both"/>
              <w:rPr>
                <w:color w:val="000000"/>
                <w:sz w:val="20"/>
                <w:szCs w:val="20"/>
              </w:rPr>
            </w:pPr>
            <w:r>
              <w:rPr>
                <w:color w:val="000000"/>
                <w:sz w:val="20"/>
                <w:szCs w:val="20"/>
              </w:rPr>
              <w:t xml:space="preserve">    </w:t>
            </w:r>
            <w:r w:rsidR="00976DA0">
              <w:rPr>
                <w:color w:val="000000"/>
                <w:sz w:val="20"/>
                <w:szCs w:val="20"/>
              </w:rPr>
              <w:t>March 13, 2012</w:t>
            </w:r>
            <w:r>
              <w:rPr>
                <w:color w:val="000000"/>
                <w:sz w:val="20"/>
                <w:szCs w:val="20"/>
              </w:rPr>
              <w:t xml:space="preserve">  </w:t>
            </w:r>
          </w:p>
          <w:p w:rsidR="004851D7" w:rsidRDefault="004851D7">
            <w:pPr>
              <w:tabs>
                <w:tab w:val="left" w:pos="-696"/>
                <w:tab w:val="left" w:pos="5496"/>
              </w:tabs>
              <w:suppressAutoHyphens/>
              <w:spacing w:before="90" w:after="54"/>
              <w:jc w:val="both"/>
              <w:rPr>
                <w:color w:val="000000"/>
                <w:sz w:val="20"/>
                <w:szCs w:val="20"/>
              </w:rPr>
            </w:pPr>
            <w:r>
              <w:rPr>
                <w:color w:val="000000"/>
                <w:sz w:val="20"/>
                <w:szCs w:val="20"/>
              </w:rPr>
              <w:t xml:space="preserve">   </w:t>
            </w:r>
          </w:p>
        </w:tc>
      </w:tr>
      <w:tr w:rsidR="004851D7">
        <w:tc>
          <w:tcPr>
            <w:tcW w:w="6187" w:type="dxa"/>
            <w:tcBorders>
              <w:top w:val="nil"/>
              <w:left w:val="nil"/>
              <w:bottom w:val="nil"/>
              <w:right w:val="nil"/>
            </w:tcBorders>
          </w:tcPr>
          <w:p w:rsidR="004851D7" w:rsidRDefault="004851D7">
            <w:pPr>
              <w:tabs>
                <w:tab w:val="right" w:pos="5947"/>
              </w:tabs>
              <w:suppressAutoHyphens/>
              <w:jc w:val="both"/>
              <w:rPr>
                <w:color w:val="000000"/>
                <w:sz w:val="20"/>
                <w:szCs w:val="20"/>
              </w:rPr>
            </w:pPr>
            <w:r>
              <w:rPr>
                <w:color w:val="000000"/>
                <w:sz w:val="20"/>
                <w:szCs w:val="20"/>
                <w:u w:val="single"/>
              </w:rPr>
              <w:t>/s/ Robert Morrison</w:t>
            </w:r>
            <w:r>
              <w:rPr>
                <w:color w:val="000000"/>
                <w:sz w:val="20"/>
                <w:szCs w:val="20"/>
                <w:u w:val="single"/>
              </w:rPr>
              <w:tab/>
            </w:r>
          </w:p>
          <w:p w:rsidR="004851D7" w:rsidRDefault="004851D7">
            <w:pPr>
              <w:tabs>
                <w:tab w:val="left" w:pos="-696"/>
                <w:tab w:val="left" w:pos="5496"/>
              </w:tabs>
              <w:suppressAutoHyphens/>
              <w:spacing w:after="54"/>
              <w:jc w:val="both"/>
              <w:rPr>
                <w:color w:val="000000"/>
                <w:sz w:val="20"/>
                <w:szCs w:val="20"/>
              </w:rPr>
            </w:pPr>
            <w:r>
              <w:rPr>
                <w:color w:val="000000"/>
                <w:sz w:val="20"/>
                <w:szCs w:val="20"/>
              </w:rPr>
              <w:t>Robert Morrison, Chairman of the Board, Director</w:t>
            </w:r>
          </w:p>
        </w:tc>
        <w:tc>
          <w:tcPr>
            <w:tcW w:w="3173" w:type="dxa"/>
            <w:tcBorders>
              <w:top w:val="nil"/>
              <w:left w:val="nil"/>
              <w:bottom w:val="nil"/>
              <w:right w:val="nil"/>
            </w:tcBorders>
          </w:tcPr>
          <w:p w:rsidR="004851D7" w:rsidRDefault="004851D7">
            <w:pPr>
              <w:tabs>
                <w:tab w:val="left" w:pos="-696"/>
                <w:tab w:val="left" w:pos="5496"/>
              </w:tabs>
              <w:suppressAutoHyphens/>
              <w:spacing w:before="90" w:after="54"/>
              <w:jc w:val="both"/>
              <w:rPr>
                <w:color w:val="000000"/>
                <w:sz w:val="20"/>
                <w:szCs w:val="20"/>
              </w:rPr>
            </w:pPr>
            <w:r>
              <w:rPr>
                <w:color w:val="000000"/>
                <w:sz w:val="20"/>
                <w:szCs w:val="20"/>
              </w:rPr>
              <w:t xml:space="preserve">    </w:t>
            </w:r>
            <w:r w:rsidR="00976DA0">
              <w:rPr>
                <w:color w:val="000000"/>
                <w:sz w:val="20"/>
                <w:szCs w:val="20"/>
              </w:rPr>
              <w:t>March 13, 2012</w:t>
            </w:r>
          </w:p>
          <w:p w:rsidR="004851D7" w:rsidRDefault="004851D7">
            <w:pPr>
              <w:tabs>
                <w:tab w:val="left" w:pos="-696"/>
                <w:tab w:val="left" w:pos="5496"/>
              </w:tabs>
              <w:suppressAutoHyphens/>
              <w:spacing w:before="90" w:after="54"/>
              <w:jc w:val="both"/>
              <w:rPr>
                <w:color w:val="000000"/>
                <w:sz w:val="20"/>
                <w:szCs w:val="20"/>
              </w:rPr>
            </w:pPr>
            <w:r>
              <w:rPr>
                <w:color w:val="000000"/>
                <w:sz w:val="20"/>
                <w:szCs w:val="20"/>
              </w:rPr>
              <w:t xml:space="preserve">    </w:t>
            </w:r>
          </w:p>
        </w:tc>
      </w:tr>
      <w:tr w:rsidR="004851D7">
        <w:tc>
          <w:tcPr>
            <w:tcW w:w="6187" w:type="dxa"/>
            <w:tcBorders>
              <w:top w:val="nil"/>
              <w:left w:val="nil"/>
              <w:bottom w:val="nil"/>
              <w:right w:val="nil"/>
            </w:tcBorders>
          </w:tcPr>
          <w:p w:rsidR="004851D7" w:rsidRDefault="004851D7">
            <w:pPr>
              <w:tabs>
                <w:tab w:val="right" w:pos="5947"/>
              </w:tabs>
              <w:suppressAutoHyphens/>
              <w:jc w:val="both"/>
              <w:rPr>
                <w:color w:val="000000"/>
                <w:sz w:val="20"/>
                <w:szCs w:val="20"/>
              </w:rPr>
            </w:pPr>
            <w:r>
              <w:rPr>
                <w:color w:val="000000"/>
                <w:sz w:val="20"/>
                <w:szCs w:val="20"/>
                <w:u w:val="single"/>
              </w:rPr>
              <w:t>/s/ Trevor A. D’Souza</w:t>
            </w:r>
            <w:r>
              <w:rPr>
                <w:color w:val="000000"/>
                <w:sz w:val="20"/>
                <w:szCs w:val="20"/>
                <w:u w:val="single"/>
              </w:rPr>
              <w:tab/>
            </w:r>
          </w:p>
          <w:p w:rsidR="004851D7" w:rsidRDefault="004851D7">
            <w:pPr>
              <w:tabs>
                <w:tab w:val="left" w:pos="-696"/>
                <w:tab w:val="left" w:pos="5496"/>
              </w:tabs>
              <w:suppressAutoHyphens/>
              <w:jc w:val="both"/>
              <w:rPr>
                <w:color w:val="000000"/>
                <w:sz w:val="16"/>
                <w:szCs w:val="16"/>
                <w:u w:val="single"/>
              </w:rPr>
            </w:pPr>
            <w:r>
              <w:rPr>
                <w:color w:val="000000"/>
                <w:sz w:val="20"/>
                <w:szCs w:val="20"/>
              </w:rPr>
              <w:t>Trevor A. D’Souza, Director</w:t>
            </w:r>
          </w:p>
        </w:tc>
        <w:tc>
          <w:tcPr>
            <w:tcW w:w="3173" w:type="dxa"/>
            <w:tcBorders>
              <w:top w:val="nil"/>
              <w:left w:val="nil"/>
              <w:bottom w:val="nil"/>
              <w:right w:val="nil"/>
            </w:tcBorders>
          </w:tcPr>
          <w:p w:rsidR="004851D7" w:rsidRDefault="004851D7">
            <w:pPr>
              <w:tabs>
                <w:tab w:val="left" w:pos="-696"/>
                <w:tab w:val="left" w:pos="5496"/>
              </w:tabs>
              <w:suppressAutoHyphens/>
              <w:spacing w:before="90" w:after="54"/>
              <w:jc w:val="both"/>
              <w:rPr>
                <w:color w:val="000000"/>
                <w:sz w:val="20"/>
                <w:szCs w:val="20"/>
              </w:rPr>
            </w:pPr>
            <w:r>
              <w:rPr>
                <w:color w:val="000000"/>
                <w:sz w:val="20"/>
                <w:szCs w:val="20"/>
              </w:rPr>
              <w:t xml:space="preserve">     </w:t>
            </w:r>
            <w:r w:rsidR="00976DA0">
              <w:rPr>
                <w:color w:val="000000"/>
                <w:sz w:val="20"/>
                <w:szCs w:val="20"/>
              </w:rPr>
              <w:t>March 13, 2012</w:t>
            </w:r>
          </w:p>
          <w:p w:rsidR="004851D7" w:rsidRDefault="004851D7">
            <w:pPr>
              <w:tabs>
                <w:tab w:val="left" w:pos="-696"/>
                <w:tab w:val="left" w:pos="5496"/>
              </w:tabs>
              <w:suppressAutoHyphens/>
              <w:spacing w:before="90" w:after="54"/>
              <w:jc w:val="both"/>
              <w:rPr>
                <w:color w:val="000000"/>
                <w:sz w:val="20"/>
                <w:szCs w:val="20"/>
              </w:rPr>
            </w:pPr>
            <w:r>
              <w:rPr>
                <w:color w:val="000000"/>
                <w:sz w:val="20"/>
                <w:szCs w:val="20"/>
              </w:rPr>
              <w:t xml:space="preserve">   </w:t>
            </w:r>
          </w:p>
        </w:tc>
      </w:tr>
      <w:tr w:rsidR="004851D7">
        <w:tc>
          <w:tcPr>
            <w:tcW w:w="6187" w:type="dxa"/>
            <w:tcBorders>
              <w:top w:val="nil"/>
              <w:left w:val="nil"/>
              <w:bottom w:val="nil"/>
              <w:right w:val="nil"/>
            </w:tcBorders>
          </w:tcPr>
          <w:p w:rsidR="004851D7" w:rsidRDefault="004851D7">
            <w:pPr>
              <w:tabs>
                <w:tab w:val="right" w:pos="5947"/>
              </w:tabs>
              <w:suppressAutoHyphens/>
              <w:jc w:val="both"/>
              <w:rPr>
                <w:color w:val="000000"/>
                <w:sz w:val="20"/>
                <w:szCs w:val="20"/>
              </w:rPr>
            </w:pPr>
            <w:r>
              <w:rPr>
                <w:color w:val="000000"/>
                <w:sz w:val="20"/>
                <w:szCs w:val="20"/>
                <w:u w:val="single"/>
              </w:rPr>
              <w:t xml:space="preserve">/s/ Keith A. </w:t>
            </w:r>
            <w:proofErr w:type="spellStart"/>
            <w:r>
              <w:rPr>
                <w:color w:val="000000"/>
                <w:sz w:val="20"/>
                <w:szCs w:val="20"/>
                <w:u w:val="single"/>
              </w:rPr>
              <w:t>Fenhaus</w:t>
            </w:r>
            <w:proofErr w:type="spellEnd"/>
            <w:r>
              <w:rPr>
                <w:color w:val="000000"/>
                <w:sz w:val="20"/>
                <w:szCs w:val="20"/>
                <w:u w:val="single"/>
              </w:rPr>
              <w:tab/>
            </w:r>
          </w:p>
          <w:p w:rsidR="004851D7" w:rsidRDefault="004851D7">
            <w:pPr>
              <w:tabs>
                <w:tab w:val="left" w:pos="-696"/>
                <w:tab w:val="left" w:pos="5496"/>
              </w:tabs>
              <w:suppressAutoHyphens/>
              <w:spacing w:after="54"/>
              <w:jc w:val="both"/>
              <w:rPr>
                <w:color w:val="000000"/>
                <w:sz w:val="20"/>
                <w:szCs w:val="20"/>
              </w:rPr>
            </w:pPr>
            <w:r>
              <w:rPr>
                <w:color w:val="000000"/>
                <w:sz w:val="20"/>
                <w:szCs w:val="20"/>
              </w:rPr>
              <w:t xml:space="preserve">Keith A. </w:t>
            </w:r>
            <w:proofErr w:type="spellStart"/>
            <w:r>
              <w:rPr>
                <w:color w:val="000000"/>
                <w:sz w:val="20"/>
                <w:szCs w:val="20"/>
              </w:rPr>
              <w:t>Fenhaus</w:t>
            </w:r>
            <w:proofErr w:type="spellEnd"/>
            <w:r>
              <w:rPr>
                <w:color w:val="000000"/>
                <w:sz w:val="20"/>
                <w:szCs w:val="20"/>
              </w:rPr>
              <w:t>, Director</w:t>
            </w:r>
          </w:p>
        </w:tc>
        <w:tc>
          <w:tcPr>
            <w:tcW w:w="3173" w:type="dxa"/>
            <w:tcBorders>
              <w:top w:val="nil"/>
              <w:left w:val="nil"/>
              <w:bottom w:val="nil"/>
              <w:right w:val="nil"/>
            </w:tcBorders>
          </w:tcPr>
          <w:p w:rsidR="004851D7" w:rsidRDefault="004851D7">
            <w:pPr>
              <w:tabs>
                <w:tab w:val="left" w:pos="-696"/>
                <w:tab w:val="left" w:pos="5496"/>
              </w:tabs>
              <w:suppressAutoHyphens/>
              <w:spacing w:before="90" w:after="54"/>
              <w:jc w:val="both"/>
              <w:rPr>
                <w:color w:val="000000"/>
                <w:sz w:val="20"/>
                <w:szCs w:val="20"/>
              </w:rPr>
            </w:pPr>
            <w:r>
              <w:rPr>
                <w:color w:val="000000"/>
                <w:sz w:val="20"/>
                <w:szCs w:val="20"/>
              </w:rPr>
              <w:t xml:space="preserve">     </w:t>
            </w:r>
            <w:r w:rsidR="00976DA0">
              <w:rPr>
                <w:color w:val="000000"/>
                <w:sz w:val="20"/>
                <w:szCs w:val="20"/>
              </w:rPr>
              <w:t>March 13, 2012</w:t>
            </w:r>
          </w:p>
          <w:p w:rsidR="004851D7" w:rsidRDefault="004851D7">
            <w:pPr>
              <w:tabs>
                <w:tab w:val="left" w:pos="-696"/>
                <w:tab w:val="left" w:pos="5496"/>
              </w:tabs>
              <w:suppressAutoHyphens/>
              <w:spacing w:before="90" w:after="54"/>
              <w:jc w:val="both"/>
              <w:rPr>
                <w:color w:val="000000"/>
                <w:sz w:val="20"/>
                <w:szCs w:val="20"/>
              </w:rPr>
            </w:pPr>
            <w:r>
              <w:rPr>
                <w:color w:val="000000"/>
                <w:sz w:val="20"/>
                <w:szCs w:val="20"/>
              </w:rPr>
              <w:t xml:space="preserve">   </w:t>
            </w:r>
          </w:p>
        </w:tc>
      </w:tr>
      <w:tr w:rsidR="004851D7">
        <w:tc>
          <w:tcPr>
            <w:tcW w:w="6187" w:type="dxa"/>
            <w:tcBorders>
              <w:top w:val="nil"/>
              <w:left w:val="nil"/>
              <w:bottom w:val="nil"/>
              <w:right w:val="nil"/>
            </w:tcBorders>
          </w:tcPr>
          <w:p w:rsidR="004851D7" w:rsidRDefault="004851D7">
            <w:pPr>
              <w:tabs>
                <w:tab w:val="right" w:pos="5947"/>
              </w:tabs>
              <w:suppressAutoHyphens/>
              <w:jc w:val="both"/>
              <w:rPr>
                <w:color w:val="000000"/>
                <w:sz w:val="20"/>
                <w:szCs w:val="20"/>
              </w:rPr>
            </w:pPr>
            <w:r>
              <w:rPr>
                <w:color w:val="000000"/>
                <w:sz w:val="20"/>
                <w:szCs w:val="20"/>
                <w:u w:val="single"/>
              </w:rPr>
              <w:t>/s/ Graham Richmond</w:t>
            </w:r>
            <w:r>
              <w:rPr>
                <w:color w:val="000000"/>
                <w:sz w:val="20"/>
                <w:szCs w:val="20"/>
                <w:u w:val="single"/>
              </w:rPr>
              <w:tab/>
            </w:r>
          </w:p>
          <w:p w:rsidR="004851D7" w:rsidRDefault="004851D7">
            <w:pPr>
              <w:tabs>
                <w:tab w:val="left" w:pos="-696"/>
                <w:tab w:val="left" w:pos="5496"/>
              </w:tabs>
              <w:suppressAutoHyphens/>
              <w:spacing w:after="54"/>
              <w:jc w:val="both"/>
              <w:rPr>
                <w:color w:val="000000"/>
                <w:sz w:val="20"/>
                <w:szCs w:val="20"/>
              </w:rPr>
            </w:pPr>
            <w:r>
              <w:rPr>
                <w:color w:val="000000"/>
                <w:sz w:val="20"/>
                <w:szCs w:val="20"/>
              </w:rPr>
              <w:t>Graham Richmond, Director</w:t>
            </w:r>
          </w:p>
        </w:tc>
        <w:tc>
          <w:tcPr>
            <w:tcW w:w="3173" w:type="dxa"/>
            <w:tcBorders>
              <w:top w:val="nil"/>
              <w:left w:val="nil"/>
              <w:bottom w:val="nil"/>
              <w:right w:val="nil"/>
            </w:tcBorders>
          </w:tcPr>
          <w:p w:rsidR="004851D7" w:rsidRDefault="004851D7">
            <w:pPr>
              <w:tabs>
                <w:tab w:val="left" w:pos="-696"/>
                <w:tab w:val="left" w:pos="5496"/>
              </w:tabs>
              <w:suppressAutoHyphens/>
              <w:spacing w:before="90" w:after="54"/>
              <w:jc w:val="both"/>
              <w:rPr>
                <w:color w:val="000000"/>
                <w:sz w:val="20"/>
                <w:szCs w:val="20"/>
              </w:rPr>
            </w:pPr>
            <w:r>
              <w:rPr>
                <w:color w:val="000000"/>
                <w:sz w:val="20"/>
                <w:szCs w:val="20"/>
              </w:rPr>
              <w:t xml:space="preserve">     </w:t>
            </w:r>
            <w:r w:rsidR="00976DA0">
              <w:rPr>
                <w:color w:val="000000"/>
                <w:sz w:val="20"/>
                <w:szCs w:val="20"/>
              </w:rPr>
              <w:t>March 13, 2012</w:t>
            </w:r>
          </w:p>
          <w:p w:rsidR="004851D7" w:rsidRDefault="004851D7">
            <w:pPr>
              <w:tabs>
                <w:tab w:val="left" w:pos="-696"/>
                <w:tab w:val="left" w:pos="5496"/>
              </w:tabs>
              <w:suppressAutoHyphens/>
              <w:spacing w:before="90" w:after="54"/>
              <w:jc w:val="both"/>
              <w:rPr>
                <w:color w:val="000000"/>
                <w:sz w:val="20"/>
                <w:szCs w:val="20"/>
              </w:rPr>
            </w:pPr>
            <w:r>
              <w:rPr>
                <w:color w:val="000000"/>
                <w:sz w:val="20"/>
                <w:szCs w:val="20"/>
              </w:rPr>
              <w:t xml:space="preserve">     </w:t>
            </w:r>
          </w:p>
        </w:tc>
      </w:tr>
      <w:tr w:rsidR="004851D7">
        <w:tc>
          <w:tcPr>
            <w:tcW w:w="6187" w:type="dxa"/>
            <w:tcBorders>
              <w:top w:val="nil"/>
              <w:left w:val="nil"/>
              <w:bottom w:val="nil"/>
              <w:right w:val="nil"/>
            </w:tcBorders>
          </w:tcPr>
          <w:p w:rsidR="004851D7" w:rsidRDefault="004851D7">
            <w:pPr>
              <w:tabs>
                <w:tab w:val="right" w:pos="5947"/>
              </w:tabs>
              <w:suppressAutoHyphens/>
              <w:jc w:val="both"/>
              <w:rPr>
                <w:color w:val="000000"/>
                <w:sz w:val="20"/>
                <w:szCs w:val="20"/>
              </w:rPr>
            </w:pPr>
            <w:r>
              <w:rPr>
                <w:color w:val="000000"/>
                <w:sz w:val="20"/>
                <w:szCs w:val="20"/>
                <w:u w:val="single"/>
              </w:rPr>
              <w:t>/s/ Michael R. Skinner</w:t>
            </w:r>
            <w:r>
              <w:rPr>
                <w:color w:val="000000"/>
                <w:sz w:val="20"/>
                <w:szCs w:val="20"/>
                <w:u w:val="single"/>
              </w:rPr>
              <w:tab/>
            </w:r>
          </w:p>
          <w:p w:rsidR="004851D7" w:rsidRDefault="004851D7">
            <w:pPr>
              <w:tabs>
                <w:tab w:val="left" w:pos="-696"/>
                <w:tab w:val="left" w:pos="5496"/>
              </w:tabs>
              <w:suppressAutoHyphens/>
              <w:spacing w:after="54"/>
              <w:jc w:val="both"/>
              <w:rPr>
                <w:color w:val="000000"/>
                <w:sz w:val="20"/>
                <w:szCs w:val="20"/>
              </w:rPr>
            </w:pPr>
            <w:r>
              <w:rPr>
                <w:color w:val="000000"/>
                <w:sz w:val="20"/>
                <w:szCs w:val="20"/>
              </w:rPr>
              <w:t>Michael R. Skinner, Director</w:t>
            </w:r>
          </w:p>
        </w:tc>
        <w:tc>
          <w:tcPr>
            <w:tcW w:w="3173" w:type="dxa"/>
            <w:tcBorders>
              <w:top w:val="nil"/>
              <w:left w:val="nil"/>
              <w:bottom w:val="nil"/>
              <w:right w:val="nil"/>
            </w:tcBorders>
          </w:tcPr>
          <w:p w:rsidR="004851D7" w:rsidRDefault="004851D7">
            <w:pPr>
              <w:tabs>
                <w:tab w:val="left" w:pos="-696"/>
                <w:tab w:val="left" w:pos="5496"/>
              </w:tabs>
              <w:suppressAutoHyphens/>
              <w:spacing w:before="90" w:after="54"/>
              <w:jc w:val="both"/>
              <w:rPr>
                <w:color w:val="000000"/>
                <w:sz w:val="20"/>
                <w:szCs w:val="20"/>
              </w:rPr>
            </w:pPr>
            <w:r>
              <w:rPr>
                <w:color w:val="000000"/>
                <w:sz w:val="20"/>
                <w:szCs w:val="20"/>
              </w:rPr>
              <w:t xml:space="preserve">     </w:t>
            </w:r>
            <w:r w:rsidR="00976DA0">
              <w:rPr>
                <w:color w:val="000000"/>
                <w:sz w:val="20"/>
                <w:szCs w:val="20"/>
              </w:rPr>
              <w:t>March 13, 2012</w:t>
            </w:r>
          </w:p>
          <w:p w:rsidR="004851D7" w:rsidRDefault="004851D7">
            <w:pPr>
              <w:tabs>
                <w:tab w:val="left" w:pos="-696"/>
                <w:tab w:val="left" w:pos="5496"/>
              </w:tabs>
              <w:suppressAutoHyphens/>
              <w:spacing w:before="90" w:after="54"/>
              <w:jc w:val="both"/>
              <w:rPr>
                <w:color w:val="000000"/>
                <w:sz w:val="20"/>
                <w:szCs w:val="20"/>
              </w:rPr>
            </w:pPr>
            <w:r>
              <w:rPr>
                <w:color w:val="000000"/>
                <w:sz w:val="20"/>
                <w:szCs w:val="20"/>
              </w:rPr>
              <w:t xml:space="preserve">     </w:t>
            </w:r>
          </w:p>
        </w:tc>
      </w:tr>
    </w:tbl>
    <w:p w:rsidR="004851D7" w:rsidRDefault="004851D7">
      <w:pPr>
        <w:rPr>
          <w:b/>
          <w:bCs/>
          <w:color w:val="000000"/>
          <w:sz w:val="20"/>
        </w:rPr>
      </w:pPr>
    </w:p>
    <w:p w:rsidR="004851D7" w:rsidRDefault="004851D7">
      <w:pPr>
        <w:rPr>
          <w:b/>
          <w:bCs/>
          <w:color w:val="000000"/>
          <w:sz w:val="20"/>
        </w:rPr>
      </w:pPr>
    </w:p>
    <w:p w:rsidR="004851D7" w:rsidRDefault="004851D7">
      <w:pPr>
        <w:rPr>
          <w:b/>
          <w:bCs/>
          <w:color w:val="000000"/>
          <w:sz w:val="20"/>
        </w:rPr>
      </w:pPr>
    </w:p>
    <w:p w:rsidR="004851D7" w:rsidRDefault="004851D7">
      <w:pPr>
        <w:rPr>
          <w:b/>
          <w:bCs/>
          <w:color w:val="000000"/>
          <w:sz w:val="20"/>
        </w:rPr>
      </w:pPr>
    </w:p>
    <w:p w:rsidR="004851D7" w:rsidRDefault="004851D7">
      <w:pPr>
        <w:rPr>
          <w:b/>
          <w:bCs/>
          <w:color w:val="000000"/>
          <w:sz w:val="20"/>
        </w:rPr>
      </w:pPr>
    </w:p>
    <w:p w:rsidR="004851D7" w:rsidRDefault="004851D7">
      <w:pPr>
        <w:rPr>
          <w:b/>
          <w:bCs/>
          <w:color w:val="000000"/>
          <w:sz w:val="20"/>
        </w:rPr>
      </w:pPr>
    </w:p>
    <w:p w:rsidR="004851D7" w:rsidRDefault="004851D7">
      <w:pPr>
        <w:rPr>
          <w:b/>
          <w:bCs/>
          <w:color w:val="000000"/>
          <w:sz w:val="20"/>
        </w:rPr>
      </w:pPr>
    </w:p>
    <w:p w:rsidR="004851D7" w:rsidRDefault="004851D7">
      <w:pPr>
        <w:rPr>
          <w:b/>
          <w:bCs/>
          <w:color w:val="000000"/>
          <w:sz w:val="20"/>
        </w:rPr>
      </w:pPr>
    </w:p>
    <w:p w:rsidR="00FC1982" w:rsidRDefault="00FC1982" w:rsidP="00FC1982">
      <w:pPr>
        <w:jc w:val="center"/>
        <w:rPr>
          <w:b/>
          <w:bCs/>
          <w:color w:val="000000"/>
          <w:sz w:val="20"/>
        </w:rPr>
      </w:pPr>
      <w:r>
        <w:rPr>
          <w:b/>
          <w:bCs/>
          <w:color w:val="000000"/>
          <w:sz w:val="20"/>
        </w:rPr>
        <w:t>MAKEMUSIC, INC.</w:t>
      </w:r>
    </w:p>
    <w:p w:rsidR="00FC1982" w:rsidRDefault="00FC1982" w:rsidP="00FC1982">
      <w:pPr>
        <w:jc w:val="center"/>
        <w:rPr>
          <w:b/>
          <w:bCs/>
          <w:color w:val="000000"/>
          <w:sz w:val="20"/>
        </w:rPr>
      </w:pPr>
      <w:r>
        <w:rPr>
          <w:b/>
          <w:bCs/>
          <w:color w:val="000000"/>
          <w:sz w:val="20"/>
        </w:rPr>
        <w:t>EXHIBIT INDEX FOR</w:t>
      </w:r>
    </w:p>
    <w:p w:rsidR="00FC1982" w:rsidRDefault="00FC1982" w:rsidP="00FC1982">
      <w:pPr>
        <w:jc w:val="center"/>
        <w:rPr>
          <w:b/>
          <w:bCs/>
          <w:color w:val="000000"/>
          <w:sz w:val="20"/>
        </w:rPr>
      </w:pPr>
      <w:r>
        <w:rPr>
          <w:b/>
          <w:bCs/>
          <w:color w:val="000000"/>
          <w:sz w:val="20"/>
        </w:rPr>
        <w:t>FORM 10-K FOR 2011 FISCAL YEAR</w:t>
      </w:r>
    </w:p>
    <w:p w:rsidR="00FC1982" w:rsidRDefault="00FC1982" w:rsidP="00FC1982">
      <w:pPr>
        <w:jc w:val="center"/>
        <w:rPr>
          <w:b/>
          <w:bCs/>
          <w:color w:val="000000"/>
          <w:sz w:val="8"/>
        </w:rPr>
      </w:pPr>
    </w:p>
    <w:tbl>
      <w:tblPr>
        <w:tblW w:w="9720" w:type="dxa"/>
        <w:tblInd w:w="-162" w:type="dxa"/>
        <w:tblLook w:val="0000" w:firstRow="0" w:lastRow="0" w:firstColumn="0" w:lastColumn="0" w:noHBand="0" w:noVBand="0"/>
      </w:tblPr>
      <w:tblGrid>
        <w:gridCol w:w="1190"/>
        <w:gridCol w:w="8530"/>
      </w:tblGrid>
      <w:tr w:rsidR="00FC1982" w:rsidTr="00067CD8">
        <w:trPr>
          <w:tblHeader/>
        </w:trPr>
        <w:tc>
          <w:tcPr>
            <w:tcW w:w="1190" w:type="dxa"/>
          </w:tcPr>
          <w:p w:rsidR="00FC1982" w:rsidRDefault="00FC1982" w:rsidP="00067CD8">
            <w:pPr>
              <w:tabs>
                <w:tab w:val="left" w:pos="-696"/>
              </w:tabs>
              <w:suppressAutoHyphens/>
              <w:spacing w:before="90" w:after="54"/>
              <w:jc w:val="both"/>
              <w:rPr>
                <w:b/>
                <w:bCs/>
                <w:color w:val="000000"/>
                <w:sz w:val="20"/>
                <w:szCs w:val="20"/>
                <w:u w:val="single"/>
              </w:rPr>
            </w:pPr>
            <w:r>
              <w:rPr>
                <w:b/>
                <w:bCs/>
                <w:color w:val="000000"/>
                <w:sz w:val="20"/>
                <w:szCs w:val="20"/>
              </w:rPr>
              <w:t>Exhibit</w:t>
            </w:r>
            <w:r>
              <w:rPr>
                <w:b/>
                <w:bCs/>
                <w:color w:val="000000"/>
                <w:sz w:val="20"/>
                <w:szCs w:val="20"/>
              </w:rPr>
              <w:br/>
            </w:r>
            <w:r>
              <w:rPr>
                <w:b/>
                <w:bCs/>
                <w:color w:val="000000"/>
                <w:sz w:val="20"/>
                <w:szCs w:val="20"/>
                <w:u w:val="single"/>
              </w:rPr>
              <w:t xml:space="preserve">Number </w:t>
            </w:r>
          </w:p>
        </w:tc>
        <w:tc>
          <w:tcPr>
            <w:tcW w:w="8530" w:type="dxa"/>
          </w:tcPr>
          <w:p w:rsidR="00FC1982" w:rsidRDefault="00FC1982" w:rsidP="00067CD8">
            <w:pPr>
              <w:tabs>
                <w:tab w:val="left" w:pos="-1904"/>
                <w:tab w:val="left" w:pos="4288"/>
              </w:tabs>
              <w:suppressAutoHyphens/>
              <w:spacing w:before="90" w:after="54"/>
              <w:jc w:val="center"/>
              <w:rPr>
                <w:b/>
                <w:bCs/>
                <w:color w:val="000000"/>
                <w:sz w:val="20"/>
                <w:szCs w:val="20"/>
                <w:u w:val="single"/>
              </w:rPr>
            </w:pPr>
            <w:r>
              <w:rPr>
                <w:b/>
                <w:bCs/>
                <w:color w:val="000000"/>
                <w:sz w:val="20"/>
                <w:szCs w:val="20"/>
                <w:u w:val="single"/>
              </w:rPr>
              <w:t>Description</w:t>
            </w:r>
          </w:p>
        </w:tc>
      </w:tr>
      <w:tr w:rsidR="00FC1982" w:rsidTr="00067CD8">
        <w:tc>
          <w:tcPr>
            <w:tcW w:w="1190" w:type="dxa"/>
          </w:tcPr>
          <w:p w:rsidR="00FC1982" w:rsidRDefault="00FC1982" w:rsidP="00067CD8">
            <w:pPr>
              <w:spacing w:before="90" w:after="54"/>
              <w:rPr>
                <w:sz w:val="20"/>
              </w:rPr>
            </w:pPr>
            <w:r>
              <w:rPr>
                <w:sz w:val="20"/>
              </w:rPr>
              <w:t>2.1</w:t>
            </w:r>
          </w:p>
        </w:tc>
        <w:tc>
          <w:tcPr>
            <w:tcW w:w="8530" w:type="dxa"/>
          </w:tcPr>
          <w:p w:rsidR="00FC1982" w:rsidRDefault="00FC1982" w:rsidP="00067CD8">
            <w:pPr>
              <w:spacing w:before="90" w:after="54"/>
              <w:rPr>
                <w:sz w:val="20"/>
              </w:rPr>
            </w:pPr>
            <w:r>
              <w:rPr>
                <w:sz w:val="20"/>
              </w:rPr>
              <w:t xml:space="preserve">Stock Purchase Agreement, dated as of December 19, 2011, by and among the Registrant, Garritan Corporation, and the shareholders of Garritan Corporation – incorporated by reference to Exhibit 2.1 to the Registrant’s Form 8-K dated December 19, 2011. </w:t>
            </w:r>
          </w:p>
        </w:tc>
      </w:tr>
      <w:tr w:rsidR="00FC1982" w:rsidTr="00067CD8">
        <w:tc>
          <w:tcPr>
            <w:tcW w:w="1190" w:type="dxa"/>
          </w:tcPr>
          <w:p w:rsidR="00FC1982" w:rsidRDefault="00FC1982" w:rsidP="00067CD8">
            <w:pPr>
              <w:spacing w:before="90" w:after="54"/>
              <w:rPr>
                <w:sz w:val="20"/>
              </w:rPr>
            </w:pPr>
            <w:r>
              <w:rPr>
                <w:sz w:val="20"/>
              </w:rPr>
              <w:t>3.1</w:t>
            </w:r>
          </w:p>
        </w:tc>
        <w:tc>
          <w:tcPr>
            <w:tcW w:w="8530" w:type="dxa"/>
          </w:tcPr>
          <w:p w:rsidR="00FC1982" w:rsidRDefault="00FC1982" w:rsidP="00067CD8">
            <w:pPr>
              <w:spacing w:before="90" w:after="54"/>
              <w:rPr>
                <w:sz w:val="20"/>
              </w:rPr>
            </w:pPr>
            <w:r>
              <w:rPr>
                <w:sz w:val="20"/>
              </w:rPr>
              <w:t>Restated Articles of Incorporation as amended – incorporated by reference to Exhibit 3.1 to the Registrant’s Form 10-QSB for the quarter ended June 30, 2006.</w:t>
            </w:r>
          </w:p>
        </w:tc>
      </w:tr>
      <w:tr w:rsidR="00FC1982" w:rsidTr="00067CD8">
        <w:tc>
          <w:tcPr>
            <w:tcW w:w="1190" w:type="dxa"/>
          </w:tcPr>
          <w:p w:rsidR="00FC1982" w:rsidRDefault="00FC1982" w:rsidP="00067CD8">
            <w:pPr>
              <w:spacing w:before="90" w:after="54"/>
              <w:rPr>
                <w:sz w:val="20"/>
              </w:rPr>
            </w:pPr>
            <w:r>
              <w:rPr>
                <w:sz w:val="20"/>
              </w:rPr>
              <w:t>3.2</w:t>
            </w:r>
          </w:p>
        </w:tc>
        <w:tc>
          <w:tcPr>
            <w:tcW w:w="8530" w:type="dxa"/>
          </w:tcPr>
          <w:p w:rsidR="00FC1982" w:rsidRDefault="00FC1982" w:rsidP="00067CD8">
            <w:pPr>
              <w:spacing w:before="90" w:after="54"/>
              <w:rPr>
                <w:sz w:val="20"/>
              </w:rPr>
            </w:pPr>
            <w:r>
              <w:rPr>
                <w:sz w:val="20"/>
              </w:rPr>
              <w:t>Bylaws as amended - incorporated by reference to Exhibit 3.1 to the Registrant’s Form 8-K dated July 28, 2011.</w:t>
            </w:r>
          </w:p>
        </w:tc>
      </w:tr>
      <w:tr w:rsidR="00FC1982" w:rsidTr="00067CD8">
        <w:tc>
          <w:tcPr>
            <w:tcW w:w="1190" w:type="dxa"/>
          </w:tcPr>
          <w:p w:rsidR="00FC1982" w:rsidRDefault="00FC1982" w:rsidP="00067CD8">
            <w:pPr>
              <w:spacing w:before="90" w:after="54"/>
              <w:rPr>
                <w:sz w:val="20"/>
              </w:rPr>
            </w:pPr>
            <w:r>
              <w:rPr>
                <w:sz w:val="20"/>
              </w:rPr>
              <w:t>3.3</w:t>
            </w:r>
          </w:p>
        </w:tc>
        <w:tc>
          <w:tcPr>
            <w:tcW w:w="8530" w:type="dxa"/>
          </w:tcPr>
          <w:p w:rsidR="00FC1982" w:rsidRDefault="00FC1982" w:rsidP="00067CD8">
            <w:pPr>
              <w:spacing w:before="90" w:after="54"/>
              <w:rPr>
                <w:sz w:val="20"/>
              </w:rPr>
            </w:pPr>
            <w:r>
              <w:rPr>
                <w:sz w:val="20"/>
              </w:rPr>
              <w:t>Certificate of Designation for Series A Junior Participating Preferred Stock, as filed with the Secretary of State of Minnesota on February 21, 2012 – incorporated by reference to Exhibit 3.1 to the Registrant’s Form 8-K dated February 21, 2012.</w:t>
            </w:r>
          </w:p>
        </w:tc>
      </w:tr>
      <w:tr w:rsidR="00FC1982" w:rsidTr="00067CD8">
        <w:tc>
          <w:tcPr>
            <w:tcW w:w="1190" w:type="dxa"/>
          </w:tcPr>
          <w:p w:rsidR="00FC1982" w:rsidRDefault="00FC1982" w:rsidP="00067CD8">
            <w:pPr>
              <w:spacing w:before="90" w:after="54"/>
              <w:rPr>
                <w:sz w:val="20"/>
              </w:rPr>
            </w:pPr>
            <w:r>
              <w:rPr>
                <w:sz w:val="20"/>
              </w:rPr>
              <w:t>4.1</w:t>
            </w:r>
          </w:p>
        </w:tc>
        <w:tc>
          <w:tcPr>
            <w:tcW w:w="8530" w:type="dxa"/>
          </w:tcPr>
          <w:p w:rsidR="00FC1982" w:rsidRDefault="00FC1982" w:rsidP="00067CD8">
            <w:pPr>
              <w:spacing w:before="90" w:after="54"/>
              <w:rPr>
                <w:sz w:val="20"/>
              </w:rPr>
            </w:pPr>
            <w:r>
              <w:rPr>
                <w:sz w:val="20"/>
              </w:rPr>
              <w:t xml:space="preserve">Form of specimen certificate representing common stock of </w:t>
            </w:r>
            <w:proofErr w:type="spellStart"/>
            <w:r>
              <w:rPr>
                <w:sz w:val="20"/>
              </w:rPr>
              <w:t>MakeMusic</w:t>
            </w:r>
            <w:proofErr w:type="spellEnd"/>
            <w:r>
              <w:rPr>
                <w:sz w:val="20"/>
              </w:rPr>
              <w:t>, Inc. – incorporated by reference to Exhibit 4.1 to the Registrant’s Form 10-KSB for the year ended December 31, 2007.</w:t>
            </w:r>
          </w:p>
        </w:tc>
      </w:tr>
      <w:tr w:rsidR="00FC1982" w:rsidTr="00067CD8">
        <w:tc>
          <w:tcPr>
            <w:tcW w:w="1190" w:type="dxa"/>
          </w:tcPr>
          <w:p w:rsidR="00FC1982" w:rsidRDefault="00FC1982" w:rsidP="00067CD8">
            <w:pPr>
              <w:spacing w:before="90" w:after="54"/>
              <w:rPr>
                <w:sz w:val="20"/>
              </w:rPr>
            </w:pPr>
            <w:r>
              <w:rPr>
                <w:sz w:val="20"/>
              </w:rPr>
              <w:t>4.2</w:t>
            </w:r>
          </w:p>
        </w:tc>
        <w:tc>
          <w:tcPr>
            <w:tcW w:w="8530" w:type="dxa"/>
          </w:tcPr>
          <w:p w:rsidR="00FC1982" w:rsidRDefault="00FC1982" w:rsidP="00067CD8">
            <w:pPr>
              <w:spacing w:before="90" w:after="54"/>
              <w:rPr>
                <w:sz w:val="20"/>
              </w:rPr>
            </w:pPr>
            <w:r>
              <w:rPr>
                <w:sz w:val="20"/>
              </w:rPr>
              <w:t>Tax Asset Protection Plan dated February 21, 2012 (the “Plan”), by and between the Registrant and Wells Fargo Bank, N.A. – incorporated by reference to Exhibit 4.1 to the Registrant’s Form 8-K dated February 21, 2012.</w:t>
            </w:r>
          </w:p>
        </w:tc>
      </w:tr>
      <w:tr w:rsidR="00FC1982" w:rsidTr="00067CD8">
        <w:tc>
          <w:tcPr>
            <w:tcW w:w="1190" w:type="dxa"/>
          </w:tcPr>
          <w:p w:rsidR="00FC1982" w:rsidRDefault="00FC1982" w:rsidP="00067CD8">
            <w:pPr>
              <w:spacing w:before="90" w:after="54"/>
              <w:rPr>
                <w:sz w:val="20"/>
              </w:rPr>
            </w:pPr>
            <w:r>
              <w:rPr>
                <w:sz w:val="20"/>
              </w:rPr>
              <w:t>4.3</w:t>
            </w:r>
          </w:p>
        </w:tc>
        <w:tc>
          <w:tcPr>
            <w:tcW w:w="8530" w:type="dxa"/>
          </w:tcPr>
          <w:p w:rsidR="00FC1982" w:rsidRDefault="00FC1982" w:rsidP="00067CD8">
            <w:pPr>
              <w:spacing w:before="90" w:after="54"/>
              <w:rPr>
                <w:sz w:val="20"/>
              </w:rPr>
            </w:pPr>
            <w:r>
              <w:rPr>
                <w:sz w:val="20"/>
              </w:rPr>
              <w:t>Form of Rights Certificate (incorporated by reference to Exhibit B to the Plan).</w:t>
            </w:r>
          </w:p>
        </w:tc>
      </w:tr>
      <w:tr w:rsidR="00FC1982" w:rsidTr="00067CD8">
        <w:tc>
          <w:tcPr>
            <w:tcW w:w="1190" w:type="dxa"/>
          </w:tcPr>
          <w:p w:rsidR="00FC1982" w:rsidRDefault="00FC1982" w:rsidP="00067CD8">
            <w:pPr>
              <w:spacing w:before="90" w:after="54"/>
              <w:rPr>
                <w:sz w:val="20"/>
              </w:rPr>
            </w:pPr>
            <w:r>
              <w:rPr>
                <w:sz w:val="20"/>
              </w:rPr>
              <w:t>10.1*</w:t>
            </w:r>
          </w:p>
        </w:tc>
        <w:tc>
          <w:tcPr>
            <w:tcW w:w="8530" w:type="dxa"/>
          </w:tcPr>
          <w:p w:rsidR="00FC1982" w:rsidRDefault="00FC1982" w:rsidP="00067CD8">
            <w:pPr>
              <w:spacing w:before="90" w:after="54"/>
              <w:rPr>
                <w:sz w:val="20"/>
              </w:rPr>
            </w:pPr>
            <w:proofErr w:type="spellStart"/>
            <w:r>
              <w:rPr>
                <w:sz w:val="20"/>
              </w:rPr>
              <w:t>MakeMusic</w:t>
            </w:r>
            <w:proofErr w:type="spellEnd"/>
            <w:r>
              <w:rPr>
                <w:sz w:val="20"/>
              </w:rPr>
              <w:t xml:space="preserve"> 2003 Equity Incentive Plan, as amended through November 24, 2008 – incorporated by reference to Exhibit 10.1 to the Registrant’s Form 10-K for the year ended December 31, 2008.</w:t>
            </w:r>
          </w:p>
        </w:tc>
      </w:tr>
      <w:tr w:rsidR="00FC1982" w:rsidTr="00067CD8">
        <w:tc>
          <w:tcPr>
            <w:tcW w:w="1190" w:type="dxa"/>
          </w:tcPr>
          <w:p w:rsidR="00FC1982" w:rsidRDefault="00FC1982" w:rsidP="00067CD8">
            <w:pPr>
              <w:spacing w:before="90" w:after="54"/>
              <w:rPr>
                <w:sz w:val="20"/>
              </w:rPr>
            </w:pPr>
            <w:r>
              <w:rPr>
                <w:sz w:val="20"/>
              </w:rPr>
              <w:t>10.2*</w:t>
            </w:r>
          </w:p>
        </w:tc>
        <w:tc>
          <w:tcPr>
            <w:tcW w:w="8530" w:type="dxa"/>
          </w:tcPr>
          <w:p w:rsidR="00FC1982" w:rsidRDefault="00FC1982" w:rsidP="00067CD8">
            <w:pPr>
              <w:spacing w:before="90" w:after="54"/>
              <w:rPr>
                <w:sz w:val="20"/>
              </w:rPr>
            </w:pPr>
            <w:r>
              <w:rPr>
                <w:sz w:val="20"/>
              </w:rPr>
              <w:t xml:space="preserve">Form of Incentive Stock Option Agreement under the </w:t>
            </w:r>
            <w:proofErr w:type="spellStart"/>
            <w:r>
              <w:rPr>
                <w:sz w:val="20"/>
              </w:rPr>
              <w:t>MakeMusic</w:t>
            </w:r>
            <w:proofErr w:type="spellEnd"/>
            <w:r>
              <w:rPr>
                <w:sz w:val="20"/>
              </w:rPr>
              <w:t xml:space="preserve"> 2003 Equity Incentive Plan – incorporated by reference to Exhibit 10.21 to the Registrant’s Form 10-KSB for the year ended December 31, 2004.</w:t>
            </w:r>
          </w:p>
        </w:tc>
      </w:tr>
      <w:tr w:rsidR="00FC1982" w:rsidTr="00067CD8">
        <w:tc>
          <w:tcPr>
            <w:tcW w:w="1190" w:type="dxa"/>
          </w:tcPr>
          <w:p w:rsidR="00FC1982" w:rsidRDefault="00FC1982" w:rsidP="00067CD8">
            <w:pPr>
              <w:spacing w:before="90" w:after="54"/>
              <w:rPr>
                <w:sz w:val="20"/>
              </w:rPr>
            </w:pPr>
            <w:r>
              <w:rPr>
                <w:sz w:val="20"/>
              </w:rPr>
              <w:t>10.3*</w:t>
            </w:r>
          </w:p>
        </w:tc>
        <w:tc>
          <w:tcPr>
            <w:tcW w:w="8530" w:type="dxa"/>
          </w:tcPr>
          <w:p w:rsidR="00FC1982" w:rsidRDefault="00FC1982" w:rsidP="00067CD8">
            <w:pPr>
              <w:spacing w:before="90" w:after="54"/>
              <w:rPr>
                <w:sz w:val="20"/>
              </w:rPr>
            </w:pPr>
            <w:r>
              <w:rPr>
                <w:sz w:val="20"/>
              </w:rPr>
              <w:t xml:space="preserve">Form of Incentive Stock Option Agreement under the </w:t>
            </w:r>
            <w:proofErr w:type="spellStart"/>
            <w:r>
              <w:rPr>
                <w:sz w:val="20"/>
              </w:rPr>
              <w:t>MakeMusic</w:t>
            </w:r>
            <w:proofErr w:type="spellEnd"/>
            <w:r>
              <w:rPr>
                <w:sz w:val="20"/>
              </w:rPr>
              <w:t xml:space="preserve"> 2003 Equity Incentive Plan as amended March 15, 2007 – incorporated by reference to Exhibit 10.3 to the Registrant’s Form 10-QSB for the quarter ended March 31, 2007.</w:t>
            </w:r>
          </w:p>
        </w:tc>
      </w:tr>
      <w:tr w:rsidR="00FC1982" w:rsidTr="00067CD8">
        <w:tc>
          <w:tcPr>
            <w:tcW w:w="1190" w:type="dxa"/>
          </w:tcPr>
          <w:p w:rsidR="00FC1982" w:rsidRDefault="00FC1982" w:rsidP="00067CD8">
            <w:pPr>
              <w:spacing w:before="90" w:after="54"/>
              <w:rPr>
                <w:sz w:val="20"/>
              </w:rPr>
            </w:pPr>
            <w:r>
              <w:rPr>
                <w:sz w:val="20"/>
              </w:rPr>
              <w:t>10.4*</w:t>
            </w:r>
          </w:p>
        </w:tc>
        <w:tc>
          <w:tcPr>
            <w:tcW w:w="8530" w:type="dxa"/>
          </w:tcPr>
          <w:p w:rsidR="00FC1982" w:rsidRDefault="00FC1982" w:rsidP="00067CD8">
            <w:pPr>
              <w:spacing w:before="90" w:after="54"/>
              <w:rPr>
                <w:sz w:val="20"/>
              </w:rPr>
            </w:pPr>
            <w:r>
              <w:rPr>
                <w:sz w:val="20"/>
              </w:rPr>
              <w:t xml:space="preserve">Form of Nonqualified Stock Option Agreement under the </w:t>
            </w:r>
            <w:proofErr w:type="spellStart"/>
            <w:r>
              <w:rPr>
                <w:sz w:val="20"/>
              </w:rPr>
              <w:t>MakeMusic</w:t>
            </w:r>
            <w:proofErr w:type="spellEnd"/>
            <w:r>
              <w:rPr>
                <w:sz w:val="20"/>
              </w:rPr>
              <w:t xml:space="preserve"> 2003 Equity Incentive Plan as amended March 15, 2007 – incorporated by reference to Exhibit 10.4 to the Registrant’s Form 10-QSB for the quarter ended March 31, 2007.</w:t>
            </w:r>
          </w:p>
        </w:tc>
      </w:tr>
      <w:tr w:rsidR="00FC1982" w:rsidTr="00067CD8">
        <w:tc>
          <w:tcPr>
            <w:tcW w:w="1190" w:type="dxa"/>
          </w:tcPr>
          <w:p w:rsidR="00FC1982" w:rsidRDefault="00FC1982" w:rsidP="00067CD8">
            <w:pPr>
              <w:spacing w:before="90" w:after="54"/>
              <w:rPr>
                <w:sz w:val="20"/>
              </w:rPr>
            </w:pPr>
            <w:r>
              <w:rPr>
                <w:sz w:val="20"/>
              </w:rPr>
              <w:t>10.5*</w:t>
            </w:r>
          </w:p>
        </w:tc>
        <w:tc>
          <w:tcPr>
            <w:tcW w:w="8530" w:type="dxa"/>
          </w:tcPr>
          <w:p w:rsidR="00FC1982" w:rsidRDefault="00FC1982" w:rsidP="00067CD8">
            <w:pPr>
              <w:spacing w:before="90" w:after="54"/>
              <w:rPr>
                <w:sz w:val="20"/>
              </w:rPr>
            </w:pPr>
            <w:r>
              <w:rPr>
                <w:sz w:val="20"/>
              </w:rPr>
              <w:t xml:space="preserve">Form of Nonqualified Stock Option Agreement under the </w:t>
            </w:r>
            <w:proofErr w:type="spellStart"/>
            <w:r>
              <w:rPr>
                <w:sz w:val="20"/>
              </w:rPr>
              <w:t>MakeMusic</w:t>
            </w:r>
            <w:proofErr w:type="spellEnd"/>
            <w:r>
              <w:rPr>
                <w:sz w:val="20"/>
              </w:rPr>
              <w:t xml:space="preserve"> 2003 Equity Incentive Plan as amended March 15, 2007 – incorporated by reference to Exhibit 10.4 to the Registrant’s Form 10-K for the year ended December 31, 2010.</w:t>
            </w:r>
          </w:p>
        </w:tc>
      </w:tr>
      <w:tr w:rsidR="00FC1982" w:rsidTr="00067CD8">
        <w:tc>
          <w:tcPr>
            <w:tcW w:w="1190" w:type="dxa"/>
          </w:tcPr>
          <w:p w:rsidR="00FC1982" w:rsidRDefault="00FC1982" w:rsidP="00067CD8">
            <w:pPr>
              <w:spacing w:before="90" w:after="54"/>
              <w:rPr>
                <w:sz w:val="20"/>
              </w:rPr>
            </w:pPr>
            <w:r>
              <w:rPr>
                <w:sz w:val="20"/>
              </w:rPr>
              <w:t>10.6*</w:t>
            </w:r>
          </w:p>
        </w:tc>
        <w:tc>
          <w:tcPr>
            <w:tcW w:w="8530" w:type="dxa"/>
          </w:tcPr>
          <w:p w:rsidR="00FC1982" w:rsidRDefault="00FC1982" w:rsidP="00067CD8">
            <w:pPr>
              <w:spacing w:before="90" w:after="54"/>
              <w:rPr>
                <w:sz w:val="20"/>
              </w:rPr>
            </w:pPr>
            <w:r>
              <w:rPr>
                <w:sz w:val="20"/>
              </w:rPr>
              <w:t xml:space="preserve">Form of Restricted Stock Agreement under the </w:t>
            </w:r>
            <w:proofErr w:type="spellStart"/>
            <w:r>
              <w:rPr>
                <w:sz w:val="20"/>
              </w:rPr>
              <w:t>MakeMusic</w:t>
            </w:r>
            <w:proofErr w:type="spellEnd"/>
            <w:r>
              <w:rPr>
                <w:sz w:val="20"/>
              </w:rPr>
              <w:t xml:space="preserve"> 2003 Equity Incentive Plan, as amended March 15, 2010 – incorporated by reference to Exhibit 10.1 to the Registrant’s Form 10-Q for the quarter ended March 31, 2010.</w:t>
            </w:r>
          </w:p>
        </w:tc>
      </w:tr>
      <w:tr w:rsidR="00FC1982" w:rsidTr="00067CD8">
        <w:tc>
          <w:tcPr>
            <w:tcW w:w="1190" w:type="dxa"/>
          </w:tcPr>
          <w:p w:rsidR="00FC1982" w:rsidRDefault="00FC1982" w:rsidP="00067CD8">
            <w:pPr>
              <w:spacing w:before="90" w:after="54"/>
              <w:rPr>
                <w:sz w:val="20"/>
              </w:rPr>
            </w:pPr>
            <w:r>
              <w:rPr>
                <w:sz w:val="20"/>
              </w:rPr>
              <w:t>10.7*</w:t>
            </w:r>
          </w:p>
        </w:tc>
        <w:tc>
          <w:tcPr>
            <w:tcW w:w="8530" w:type="dxa"/>
          </w:tcPr>
          <w:p w:rsidR="00FC1982" w:rsidRDefault="00FC1982" w:rsidP="00067CD8">
            <w:pPr>
              <w:spacing w:before="90" w:after="54"/>
              <w:rPr>
                <w:sz w:val="20"/>
              </w:rPr>
            </w:pPr>
            <w:r>
              <w:rPr>
                <w:sz w:val="20"/>
              </w:rPr>
              <w:t xml:space="preserve">Form of Restricted Stock Unit Agreement under the </w:t>
            </w:r>
            <w:proofErr w:type="spellStart"/>
            <w:r>
              <w:rPr>
                <w:sz w:val="20"/>
              </w:rPr>
              <w:t>MakeMusic</w:t>
            </w:r>
            <w:proofErr w:type="spellEnd"/>
            <w:r>
              <w:rPr>
                <w:sz w:val="20"/>
              </w:rPr>
              <w:t xml:space="preserve"> 2003 Equity Incentive Plan – incorporated by reference to Exhibit 10.5 to the Registrant’s Form 10-K for the year ended December 31, 2008.</w:t>
            </w:r>
          </w:p>
        </w:tc>
      </w:tr>
      <w:tr w:rsidR="00FC1982" w:rsidTr="00067CD8">
        <w:tc>
          <w:tcPr>
            <w:tcW w:w="1190" w:type="dxa"/>
          </w:tcPr>
          <w:p w:rsidR="00FC1982" w:rsidRDefault="00FC1982" w:rsidP="00067CD8">
            <w:pPr>
              <w:spacing w:before="90" w:after="54"/>
              <w:rPr>
                <w:sz w:val="20"/>
              </w:rPr>
            </w:pPr>
            <w:r>
              <w:rPr>
                <w:sz w:val="20"/>
              </w:rPr>
              <w:t>10.8*</w:t>
            </w:r>
          </w:p>
        </w:tc>
        <w:tc>
          <w:tcPr>
            <w:tcW w:w="8530" w:type="dxa"/>
          </w:tcPr>
          <w:p w:rsidR="00FC1982" w:rsidRDefault="00FC1982" w:rsidP="00067CD8">
            <w:pPr>
              <w:spacing w:before="90" w:after="54"/>
              <w:rPr>
                <w:sz w:val="20"/>
              </w:rPr>
            </w:pPr>
            <w:r>
              <w:rPr>
                <w:sz w:val="20"/>
              </w:rPr>
              <w:t xml:space="preserve">Board Compensation Plan effective February 15, 2007, as amended January 31, 2008, January 28, 2009, and January 1, 2011 - incorporated by reference to Exhibit 10.8 to the Registrant’s Form 10-K </w:t>
            </w:r>
            <w:r>
              <w:rPr>
                <w:sz w:val="20"/>
              </w:rPr>
              <w:lastRenderedPageBreak/>
              <w:t>for the year ended December 31, 2010.</w:t>
            </w:r>
          </w:p>
        </w:tc>
      </w:tr>
      <w:tr w:rsidR="00FC1982" w:rsidTr="00067CD8">
        <w:tc>
          <w:tcPr>
            <w:tcW w:w="1190" w:type="dxa"/>
          </w:tcPr>
          <w:p w:rsidR="00FC1982" w:rsidRDefault="00FC1982" w:rsidP="00067CD8">
            <w:pPr>
              <w:spacing w:before="90" w:after="54"/>
              <w:rPr>
                <w:sz w:val="20"/>
              </w:rPr>
            </w:pPr>
            <w:r>
              <w:rPr>
                <w:sz w:val="20"/>
              </w:rPr>
              <w:lastRenderedPageBreak/>
              <w:t>10.9*</w:t>
            </w:r>
          </w:p>
        </w:tc>
        <w:tc>
          <w:tcPr>
            <w:tcW w:w="8530" w:type="dxa"/>
          </w:tcPr>
          <w:p w:rsidR="00FC1982" w:rsidRDefault="00FC1982" w:rsidP="00067CD8">
            <w:pPr>
              <w:spacing w:before="90" w:after="54"/>
              <w:rPr>
                <w:sz w:val="20"/>
              </w:rPr>
            </w:pPr>
            <w:r>
              <w:rPr>
                <w:sz w:val="20"/>
              </w:rPr>
              <w:t>Employment Agreement dated May 8, 2009 between the Registrant and Karen L. VanDerBosch – incorporated by reference to Exhibit 10.4 to the Registrant’s Form 10-Q for the quarter ended March 31, 2009.</w:t>
            </w:r>
          </w:p>
        </w:tc>
      </w:tr>
      <w:tr w:rsidR="00FC1982" w:rsidTr="00067CD8">
        <w:tc>
          <w:tcPr>
            <w:tcW w:w="1190" w:type="dxa"/>
          </w:tcPr>
          <w:p w:rsidR="00FC1982" w:rsidRDefault="00FC1982" w:rsidP="00067CD8">
            <w:pPr>
              <w:spacing w:before="100" w:beforeAutospacing="1" w:after="54"/>
              <w:rPr>
                <w:sz w:val="20"/>
              </w:rPr>
            </w:pPr>
            <w:r>
              <w:rPr>
                <w:sz w:val="20"/>
              </w:rPr>
              <w:t>10.10*</w:t>
            </w:r>
          </w:p>
        </w:tc>
        <w:tc>
          <w:tcPr>
            <w:tcW w:w="8530" w:type="dxa"/>
          </w:tcPr>
          <w:p w:rsidR="00FC1982" w:rsidRDefault="00FC1982" w:rsidP="00067CD8">
            <w:pPr>
              <w:spacing w:after="54"/>
              <w:rPr>
                <w:sz w:val="20"/>
              </w:rPr>
            </w:pPr>
            <w:r>
              <w:rPr>
                <w:sz w:val="20"/>
              </w:rPr>
              <w:t>Executive Incentive Compensation Plan – incorporated by reference to Exhibit 10.2 to the Registrant’s Form 10-Q for the quarter ended March 31, 2009.</w:t>
            </w:r>
          </w:p>
        </w:tc>
      </w:tr>
      <w:tr w:rsidR="00FC1982" w:rsidTr="00067CD8">
        <w:tc>
          <w:tcPr>
            <w:tcW w:w="1190" w:type="dxa"/>
          </w:tcPr>
          <w:p w:rsidR="00FC1982" w:rsidRDefault="00FC1982" w:rsidP="00067CD8">
            <w:pPr>
              <w:spacing w:before="90" w:after="54"/>
              <w:rPr>
                <w:sz w:val="20"/>
              </w:rPr>
            </w:pPr>
            <w:r>
              <w:rPr>
                <w:sz w:val="20"/>
              </w:rPr>
              <w:t>10.11</w:t>
            </w:r>
          </w:p>
        </w:tc>
        <w:tc>
          <w:tcPr>
            <w:tcW w:w="8530" w:type="dxa"/>
          </w:tcPr>
          <w:p w:rsidR="00FC1982" w:rsidRDefault="00FC1982" w:rsidP="00067CD8">
            <w:pPr>
              <w:spacing w:before="90" w:after="54"/>
              <w:rPr>
                <w:sz w:val="20"/>
              </w:rPr>
            </w:pPr>
            <w:r>
              <w:rPr>
                <w:sz w:val="20"/>
              </w:rPr>
              <w:t xml:space="preserve">Agreement dated March 2, 2010 among the Registrant, </w:t>
            </w:r>
            <w:proofErr w:type="spellStart"/>
            <w:r>
              <w:rPr>
                <w:sz w:val="20"/>
              </w:rPr>
              <w:t>LaunchEquity</w:t>
            </w:r>
            <w:proofErr w:type="spellEnd"/>
            <w:r>
              <w:rPr>
                <w:sz w:val="20"/>
              </w:rPr>
              <w:t xml:space="preserve"> Partners, LLC and </w:t>
            </w:r>
            <w:proofErr w:type="spellStart"/>
            <w:r>
              <w:rPr>
                <w:sz w:val="20"/>
              </w:rPr>
              <w:t>LaunchEquity</w:t>
            </w:r>
            <w:proofErr w:type="spellEnd"/>
            <w:r>
              <w:rPr>
                <w:sz w:val="20"/>
              </w:rPr>
              <w:t xml:space="preserve"> Acquisition Partners, LLC – Designated Series Education Partners – incorporated by reference to Exhibit 10.1 to the Registrant’s 8-K filed March 3, 2010.</w:t>
            </w:r>
          </w:p>
        </w:tc>
      </w:tr>
      <w:tr w:rsidR="00FC1982" w:rsidTr="00067CD8">
        <w:tc>
          <w:tcPr>
            <w:tcW w:w="1190" w:type="dxa"/>
          </w:tcPr>
          <w:p w:rsidR="00FC1982" w:rsidRDefault="00FC1982" w:rsidP="00067CD8">
            <w:pPr>
              <w:spacing w:before="90" w:after="54"/>
              <w:rPr>
                <w:sz w:val="20"/>
              </w:rPr>
            </w:pPr>
            <w:r>
              <w:rPr>
                <w:sz w:val="20"/>
              </w:rPr>
              <w:t>10.12*</w:t>
            </w:r>
          </w:p>
        </w:tc>
        <w:tc>
          <w:tcPr>
            <w:tcW w:w="8530" w:type="dxa"/>
          </w:tcPr>
          <w:p w:rsidR="00FC1982" w:rsidRDefault="00FC1982" w:rsidP="00067CD8">
            <w:pPr>
              <w:spacing w:before="90" w:after="54"/>
              <w:rPr>
                <w:sz w:val="20"/>
              </w:rPr>
            </w:pPr>
            <w:r>
              <w:rPr>
                <w:sz w:val="20"/>
              </w:rPr>
              <w:t>Employment Agreement between the Registrant and Jeffrey Koch dated November 10, 2010 – incorporated by reference to Exhibit 10.17 to the Registrant’s Form 10-K for the year ended December 31, 2010.</w:t>
            </w:r>
          </w:p>
        </w:tc>
      </w:tr>
      <w:tr w:rsidR="00FC1982" w:rsidTr="00067CD8">
        <w:tc>
          <w:tcPr>
            <w:tcW w:w="1190" w:type="dxa"/>
          </w:tcPr>
          <w:p w:rsidR="00FC1982" w:rsidRDefault="00FC1982" w:rsidP="00067CD8">
            <w:pPr>
              <w:spacing w:before="90" w:after="54"/>
              <w:rPr>
                <w:sz w:val="20"/>
              </w:rPr>
            </w:pPr>
            <w:r>
              <w:rPr>
                <w:sz w:val="20"/>
              </w:rPr>
              <w:t>10.13*</w:t>
            </w:r>
          </w:p>
        </w:tc>
        <w:tc>
          <w:tcPr>
            <w:tcW w:w="8530" w:type="dxa"/>
          </w:tcPr>
          <w:p w:rsidR="00FC1982" w:rsidRDefault="00FC1982" w:rsidP="00067CD8">
            <w:pPr>
              <w:spacing w:before="90" w:after="54"/>
              <w:rPr>
                <w:sz w:val="20"/>
              </w:rPr>
            </w:pPr>
            <w:r>
              <w:rPr>
                <w:sz w:val="20"/>
              </w:rPr>
              <w:t xml:space="preserve">Separation Agreement and Release between the Registrant and Ron </w:t>
            </w:r>
            <w:proofErr w:type="spellStart"/>
            <w:r>
              <w:rPr>
                <w:sz w:val="20"/>
              </w:rPr>
              <w:t>Raup</w:t>
            </w:r>
            <w:proofErr w:type="spellEnd"/>
            <w:r>
              <w:rPr>
                <w:sz w:val="20"/>
              </w:rPr>
              <w:t xml:space="preserve"> dated November 15, 2010 – incorporated by reference to Exhibit 10.18 to the Registrant’s Form 10-K for the year ended December 31, 2010.</w:t>
            </w:r>
          </w:p>
        </w:tc>
      </w:tr>
      <w:tr w:rsidR="00FC1982" w:rsidTr="00067CD8">
        <w:tc>
          <w:tcPr>
            <w:tcW w:w="1190" w:type="dxa"/>
          </w:tcPr>
          <w:p w:rsidR="00FC1982" w:rsidRDefault="00FC1982" w:rsidP="00067CD8">
            <w:pPr>
              <w:spacing w:before="90" w:after="54"/>
              <w:rPr>
                <w:sz w:val="20"/>
              </w:rPr>
            </w:pPr>
            <w:r>
              <w:rPr>
                <w:sz w:val="20"/>
              </w:rPr>
              <w:t>10.14*</w:t>
            </w:r>
          </w:p>
        </w:tc>
        <w:tc>
          <w:tcPr>
            <w:tcW w:w="8530" w:type="dxa"/>
          </w:tcPr>
          <w:p w:rsidR="00FC1982" w:rsidRDefault="00FC1982" w:rsidP="00067CD8">
            <w:pPr>
              <w:spacing w:before="90" w:after="54"/>
              <w:rPr>
                <w:sz w:val="20"/>
              </w:rPr>
            </w:pPr>
            <w:r>
              <w:rPr>
                <w:sz w:val="20"/>
              </w:rPr>
              <w:t>Amendment No. 1 to Executive Incentive Compensation Plan – filed herewith.</w:t>
            </w:r>
          </w:p>
        </w:tc>
      </w:tr>
      <w:tr w:rsidR="00FC1982" w:rsidTr="00067CD8">
        <w:tc>
          <w:tcPr>
            <w:tcW w:w="1190" w:type="dxa"/>
          </w:tcPr>
          <w:p w:rsidR="00FC1982" w:rsidRDefault="00FC1982" w:rsidP="00067CD8">
            <w:pPr>
              <w:spacing w:before="90" w:after="54"/>
              <w:rPr>
                <w:sz w:val="20"/>
              </w:rPr>
            </w:pPr>
            <w:r>
              <w:rPr>
                <w:sz w:val="20"/>
              </w:rPr>
              <w:t>10.15*</w:t>
            </w:r>
          </w:p>
        </w:tc>
        <w:tc>
          <w:tcPr>
            <w:tcW w:w="8530" w:type="dxa"/>
          </w:tcPr>
          <w:p w:rsidR="00FC1982" w:rsidRDefault="00FC1982" w:rsidP="00067CD8">
            <w:pPr>
              <w:spacing w:before="90" w:after="54"/>
              <w:rPr>
                <w:sz w:val="20"/>
              </w:rPr>
            </w:pPr>
            <w:r>
              <w:rPr>
                <w:sz w:val="20"/>
              </w:rPr>
              <w:t xml:space="preserve">Form of Restricted Stock Agreement under the </w:t>
            </w:r>
            <w:proofErr w:type="spellStart"/>
            <w:r>
              <w:rPr>
                <w:sz w:val="20"/>
              </w:rPr>
              <w:t>MakeMusic</w:t>
            </w:r>
            <w:proofErr w:type="spellEnd"/>
            <w:r>
              <w:rPr>
                <w:sz w:val="20"/>
              </w:rPr>
              <w:t>, Inc. 2003 Equity Incentive Plan – incorporated by reference to Exhibit 10.1 to the Registrant’s Form 10-Q for the quarter ended June 30, 2011.</w:t>
            </w:r>
          </w:p>
        </w:tc>
      </w:tr>
      <w:tr w:rsidR="00FC1982" w:rsidTr="00067CD8">
        <w:tc>
          <w:tcPr>
            <w:tcW w:w="1190" w:type="dxa"/>
          </w:tcPr>
          <w:p w:rsidR="00FC1982" w:rsidRDefault="00FC1982" w:rsidP="00067CD8">
            <w:pPr>
              <w:spacing w:before="90" w:after="54"/>
              <w:rPr>
                <w:sz w:val="20"/>
              </w:rPr>
            </w:pPr>
            <w:r>
              <w:rPr>
                <w:sz w:val="20"/>
              </w:rPr>
              <w:t>10.16*</w:t>
            </w:r>
          </w:p>
        </w:tc>
        <w:tc>
          <w:tcPr>
            <w:tcW w:w="8530" w:type="dxa"/>
          </w:tcPr>
          <w:p w:rsidR="00FC1982" w:rsidRDefault="00FC1982" w:rsidP="00067CD8">
            <w:pPr>
              <w:spacing w:before="90" w:after="54"/>
              <w:rPr>
                <w:sz w:val="20"/>
              </w:rPr>
            </w:pPr>
            <w:r>
              <w:rPr>
                <w:sz w:val="20"/>
              </w:rPr>
              <w:t>Employment Agreement by and between the Registrant and Karen T. van Lith dated June 13, 2011 — incorporated by reference to Exhibit 10.1 to the Registrant’s Form 8-K dated June 13, 2011.</w:t>
            </w:r>
          </w:p>
        </w:tc>
      </w:tr>
      <w:tr w:rsidR="00FC1982" w:rsidTr="00067CD8">
        <w:tc>
          <w:tcPr>
            <w:tcW w:w="1190" w:type="dxa"/>
          </w:tcPr>
          <w:p w:rsidR="00FC1982" w:rsidRDefault="00FC1982" w:rsidP="00067CD8">
            <w:pPr>
              <w:spacing w:before="90" w:after="54"/>
              <w:rPr>
                <w:sz w:val="20"/>
              </w:rPr>
            </w:pPr>
            <w:r>
              <w:rPr>
                <w:sz w:val="20"/>
              </w:rPr>
              <w:t>10.17*</w:t>
            </w:r>
          </w:p>
        </w:tc>
        <w:tc>
          <w:tcPr>
            <w:tcW w:w="8530" w:type="dxa"/>
          </w:tcPr>
          <w:p w:rsidR="00FC1982" w:rsidRDefault="00FC1982" w:rsidP="00067CD8">
            <w:pPr>
              <w:spacing w:before="90" w:after="54"/>
              <w:rPr>
                <w:sz w:val="20"/>
              </w:rPr>
            </w:pPr>
            <w:r>
              <w:rPr>
                <w:sz w:val="20"/>
              </w:rPr>
              <w:t>Separation Agreement between the Registrant and Jeffrey Koch dated July 8, 2011 – incorporated by reference to Exhibit 10.1 to the Registrant’s Form 10-Q for the quarter ended September 30, 2011.</w:t>
            </w:r>
          </w:p>
        </w:tc>
      </w:tr>
      <w:tr w:rsidR="00FC1982" w:rsidTr="00067CD8">
        <w:tc>
          <w:tcPr>
            <w:tcW w:w="1190" w:type="dxa"/>
          </w:tcPr>
          <w:p w:rsidR="00FC1982" w:rsidRDefault="00FC1982" w:rsidP="00067CD8">
            <w:pPr>
              <w:spacing w:before="90" w:after="54"/>
              <w:rPr>
                <w:sz w:val="20"/>
              </w:rPr>
            </w:pPr>
            <w:r>
              <w:rPr>
                <w:sz w:val="20"/>
              </w:rPr>
              <w:t>10.18</w:t>
            </w:r>
          </w:p>
        </w:tc>
        <w:tc>
          <w:tcPr>
            <w:tcW w:w="8530" w:type="dxa"/>
          </w:tcPr>
          <w:p w:rsidR="00FC1982" w:rsidRDefault="00FC1982" w:rsidP="00067CD8">
            <w:pPr>
              <w:spacing w:before="90" w:after="54"/>
              <w:rPr>
                <w:sz w:val="20"/>
              </w:rPr>
            </w:pPr>
            <w:r>
              <w:rPr>
                <w:sz w:val="20"/>
              </w:rPr>
              <w:t xml:space="preserve">Amended and Restated Agreement dated August 23, 2011 among the Registrant, </w:t>
            </w:r>
            <w:proofErr w:type="spellStart"/>
            <w:r>
              <w:rPr>
                <w:sz w:val="20"/>
              </w:rPr>
              <w:t>LaunchEquity</w:t>
            </w:r>
            <w:proofErr w:type="spellEnd"/>
            <w:r>
              <w:rPr>
                <w:sz w:val="20"/>
              </w:rPr>
              <w:t xml:space="preserve"> Partners, LLC and </w:t>
            </w:r>
            <w:proofErr w:type="spellStart"/>
            <w:r>
              <w:rPr>
                <w:sz w:val="20"/>
              </w:rPr>
              <w:t>LaunchEquity</w:t>
            </w:r>
            <w:proofErr w:type="spellEnd"/>
            <w:r>
              <w:rPr>
                <w:sz w:val="20"/>
              </w:rPr>
              <w:t xml:space="preserve"> Acquisition Partners, LLC Designated Series Education Partners – incorporated by reference to Exhibit 10.1 to the Registrant’s Form 8-K dated August 23, 2011.</w:t>
            </w:r>
          </w:p>
        </w:tc>
      </w:tr>
      <w:tr w:rsidR="00FC1982" w:rsidTr="00067CD8">
        <w:tc>
          <w:tcPr>
            <w:tcW w:w="1190" w:type="dxa"/>
          </w:tcPr>
          <w:p w:rsidR="00FC1982" w:rsidRDefault="00FC1982" w:rsidP="00067CD8">
            <w:pPr>
              <w:spacing w:before="90" w:after="54"/>
              <w:rPr>
                <w:sz w:val="20"/>
              </w:rPr>
            </w:pPr>
            <w:r>
              <w:rPr>
                <w:sz w:val="20"/>
              </w:rPr>
              <w:t>10.19</w:t>
            </w:r>
          </w:p>
        </w:tc>
        <w:tc>
          <w:tcPr>
            <w:tcW w:w="8530" w:type="dxa"/>
          </w:tcPr>
          <w:p w:rsidR="00FC1982" w:rsidRDefault="00FC1982" w:rsidP="00067CD8">
            <w:pPr>
              <w:spacing w:before="90" w:after="54"/>
              <w:rPr>
                <w:sz w:val="20"/>
              </w:rPr>
            </w:pPr>
            <w:r>
              <w:rPr>
                <w:sz w:val="20"/>
              </w:rPr>
              <w:t>Lease Agreement dated March 1, 2005 by and between the Registrant and First Industrial, L.P. — incorporated by reference to Exhibit 10.1 to the Registrant’s Form 10-QSB for the quarter ended March 31, 2005.</w:t>
            </w:r>
          </w:p>
        </w:tc>
      </w:tr>
      <w:tr w:rsidR="00FC1982" w:rsidTr="00067CD8">
        <w:tc>
          <w:tcPr>
            <w:tcW w:w="1190" w:type="dxa"/>
          </w:tcPr>
          <w:p w:rsidR="00FC1982" w:rsidRDefault="00FC1982" w:rsidP="00067CD8">
            <w:pPr>
              <w:spacing w:before="90" w:after="54"/>
              <w:rPr>
                <w:sz w:val="20"/>
              </w:rPr>
            </w:pPr>
            <w:r>
              <w:rPr>
                <w:sz w:val="20"/>
              </w:rPr>
              <w:t>10.20</w:t>
            </w:r>
          </w:p>
        </w:tc>
        <w:tc>
          <w:tcPr>
            <w:tcW w:w="8530" w:type="dxa"/>
          </w:tcPr>
          <w:p w:rsidR="00FC1982" w:rsidRDefault="00FC1982" w:rsidP="00067CD8">
            <w:pPr>
              <w:spacing w:before="90" w:after="54"/>
              <w:rPr>
                <w:sz w:val="20"/>
              </w:rPr>
            </w:pPr>
            <w:r>
              <w:rPr>
                <w:sz w:val="20"/>
              </w:rPr>
              <w:t>First Amendment to Lease Agreement dated March 7, 2011 by and between the Registrant and Eden Prairie Associates LLC – incorporated by reference to Exhibit 10.2 to the Registrant’s Form 8-K dated March 7, 2011.</w:t>
            </w:r>
          </w:p>
        </w:tc>
      </w:tr>
      <w:tr w:rsidR="00FC1982" w:rsidTr="00067CD8">
        <w:tc>
          <w:tcPr>
            <w:tcW w:w="1190" w:type="dxa"/>
          </w:tcPr>
          <w:p w:rsidR="00FC1982" w:rsidRDefault="00FC1982" w:rsidP="00067CD8">
            <w:pPr>
              <w:spacing w:before="90" w:after="54"/>
              <w:rPr>
                <w:sz w:val="20"/>
              </w:rPr>
            </w:pPr>
            <w:r>
              <w:rPr>
                <w:sz w:val="20"/>
              </w:rPr>
              <w:t>23.1</w:t>
            </w:r>
          </w:p>
        </w:tc>
        <w:tc>
          <w:tcPr>
            <w:tcW w:w="8530" w:type="dxa"/>
          </w:tcPr>
          <w:p w:rsidR="00FC1982" w:rsidRDefault="00FC1982" w:rsidP="00067CD8">
            <w:pPr>
              <w:spacing w:before="90" w:after="54"/>
              <w:rPr>
                <w:sz w:val="20"/>
              </w:rPr>
            </w:pPr>
            <w:r>
              <w:rPr>
                <w:sz w:val="20"/>
              </w:rPr>
              <w:t xml:space="preserve">Consent of </w:t>
            </w:r>
            <w:proofErr w:type="spellStart"/>
            <w:r>
              <w:rPr>
                <w:sz w:val="20"/>
              </w:rPr>
              <w:t>McGladrey</w:t>
            </w:r>
            <w:proofErr w:type="spellEnd"/>
            <w:r>
              <w:rPr>
                <w:sz w:val="20"/>
              </w:rPr>
              <w:t xml:space="preserve"> &amp; Pullen LLP, independent registered public accounting firm</w:t>
            </w:r>
            <w:r w:rsidR="00A96D99">
              <w:rPr>
                <w:sz w:val="20"/>
              </w:rPr>
              <w:t xml:space="preserve"> – filed herewith</w:t>
            </w:r>
            <w:r>
              <w:rPr>
                <w:sz w:val="20"/>
              </w:rPr>
              <w:t>.</w:t>
            </w:r>
          </w:p>
        </w:tc>
      </w:tr>
      <w:tr w:rsidR="00FC1982" w:rsidTr="00067CD8">
        <w:tc>
          <w:tcPr>
            <w:tcW w:w="1190" w:type="dxa"/>
          </w:tcPr>
          <w:p w:rsidR="00FC1982" w:rsidRDefault="00FC1982" w:rsidP="00067CD8">
            <w:pPr>
              <w:spacing w:before="90" w:after="54"/>
              <w:rPr>
                <w:sz w:val="20"/>
              </w:rPr>
            </w:pPr>
            <w:r>
              <w:rPr>
                <w:sz w:val="20"/>
              </w:rPr>
              <w:t>24.1</w:t>
            </w:r>
          </w:p>
        </w:tc>
        <w:tc>
          <w:tcPr>
            <w:tcW w:w="8530" w:type="dxa"/>
          </w:tcPr>
          <w:p w:rsidR="00FC1982" w:rsidRDefault="00FC1982" w:rsidP="00067CD8">
            <w:pPr>
              <w:spacing w:before="90" w:after="54"/>
              <w:rPr>
                <w:sz w:val="20"/>
              </w:rPr>
            </w:pPr>
            <w:r>
              <w:rPr>
                <w:sz w:val="20"/>
              </w:rPr>
              <w:t>Power of Attorney (included on the “Signatures” page of this Form 10-K).</w:t>
            </w:r>
          </w:p>
        </w:tc>
      </w:tr>
      <w:tr w:rsidR="00FC1982" w:rsidTr="00067CD8">
        <w:tc>
          <w:tcPr>
            <w:tcW w:w="1190" w:type="dxa"/>
          </w:tcPr>
          <w:p w:rsidR="00FC1982" w:rsidRDefault="00FC1982" w:rsidP="00067CD8">
            <w:pPr>
              <w:spacing w:before="90" w:after="54"/>
              <w:rPr>
                <w:sz w:val="20"/>
              </w:rPr>
            </w:pPr>
            <w:r>
              <w:rPr>
                <w:sz w:val="20"/>
              </w:rPr>
              <w:t>31.1</w:t>
            </w:r>
          </w:p>
        </w:tc>
        <w:tc>
          <w:tcPr>
            <w:tcW w:w="8530" w:type="dxa"/>
          </w:tcPr>
          <w:p w:rsidR="00FC1982" w:rsidRDefault="00FC1982" w:rsidP="00067CD8">
            <w:pPr>
              <w:spacing w:before="90" w:after="54"/>
              <w:rPr>
                <w:sz w:val="20"/>
              </w:rPr>
            </w:pPr>
            <w:r>
              <w:rPr>
                <w:sz w:val="20"/>
              </w:rPr>
              <w:t>Certification by Chief Executive Officer Pursuant to Section 302 of the Sarbanes-Oxley Act of 2002</w:t>
            </w:r>
            <w:r w:rsidR="00A96D99">
              <w:rPr>
                <w:sz w:val="20"/>
              </w:rPr>
              <w:t xml:space="preserve"> – filed herewith</w:t>
            </w:r>
            <w:r>
              <w:rPr>
                <w:sz w:val="20"/>
              </w:rPr>
              <w:t>.</w:t>
            </w:r>
          </w:p>
        </w:tc>
      </w:tr>
      <w:tr w:rsidR="00FC1982" w:rsidTr="00067CD8">
        <w:tc>
          <w:tcPr>
            <w:tcW w:w="1190" w:type="dxa"/>
          </w:tcPr>
          <w:p w:rsidR="00FC1982" w:rsidRDefault="00FC1982" w:rsidP="00067CD8">
            <w:pPr>
              <w:spacing w:before="90" w:after="54"/>
              <w:rPr>
                <w:sz w:val="20"/>
              </w:rPr>
            </w:pPr>
            <w:r>
              <w:rPr>
                <w:sz w:val="20"/>
              </w:rPr>
              <w:t>31.2</w:t>
            </w:r>
          </w:p>
        </w:tc>
        <w:tc>
          <w:tcPr>
            <w:tcW w:w="8530" w:type="dxa"/>
          </w:tcPr>
          <w:p w:rsidR="00FC1982" w:rsidRDefault="00FC1982" w:rsidP="00067CD8">
            <w:pPr>
              <w:spacing w:before="90" w:after="54"/>
              <w:rPr>
                <w:sz w:val="20"/>
              </w:rPr>
            </w:pPr>
            <w:r>
              <w:rPr>
                <w:sz w:val="20"/>
              </w:rPr>
              <w:t>Certification by Chief Financial Officer Pursuant to Section 302 of the Sarbanes-Oxley Act of 2002</w:t>
            </w:r>
            <w:r w:rsidR="00A96D99">
              <w:rPr>
                <w:sz w:val="20"/>
              </w:rPr>
              <w:t xml:space="preserve"> – filed herewith</w:t>
            </w:r>
            <w:r>
              <w:rPr>
                <w:sz w:val="20"/>
              </w:rPr>
              <w:t>.</w:t>
            </w:r>
          </w:p>
        </w:tc>
      </w:tr>
      <w:tr w:rsidR="00FC1982" w:rsidTr="00067CD8">
        <w:tc>
          <w:tcPr>
            <w:tcW w:w="1190" w:type="dxa"/>
          </w:tcPr>
          <w:p w:rsidR="00FC1982" w:rsidRDefault="00FC1982" w:rsidP="00067CD8">
            <w:pPr>
              <w:spacing w:before="90" w:after="54"/>
              <w:rPr>
                <w:sz w:val="20"/>
              </w:rPr>
            </w:pPr>
            <w:r>
              <w:rPr>
                <w:sz w:val="20"/>
              </w:rPr>
              <w:t>32.1</w:t>
            </w:r>
          </w:p>
        </w:tc>
        <w:tc>
          <w:tcPr>
            <w:tcW w:w="8530" w:type="dxa"/>
          </w:tcPr>
          <w:p w:rsidR="00FC1982" w:rsidRDefault="00FC1982" w:rsidP="00067CD8">
            <w:pPr>
              <w:spacing w:before="90" w:after="54"/>
              <w:rPr>
                <w:sz w:val="20"/>
              </w:rPr>
            </w:pPr>
            <w:r>
              <w:rPr>
                <w:sz w:val="20"/>
              </w:rPr>
              <w:t>Certification by Chief Executive Officer Pursuant to Section 906 of the Sarbanes-Oxley Act of 2002</w:t>
            </w:r>
            <w:r w:rsidR="00A96D99">
              <w:rPr>
                <w:sz w:val="20"/>
              </w:rPr>
              <w:t xml:space="preserve"> – filed herewith</w:t>
            </w:r>
            <w:r>
              <w:rPr>
                <w:sz w:val="20"/>
              </w:rPr>
              <w:t>.</w:t>
            </w:r>
          </w:p>
        </w:tc>
      </w:tr>
      <w:tr w:rsidR="00FC1982" w:rsidTr="00067CD8">
        <w:tc>
          <w:tcPr>
            <w:tcW w:w="1190" w:type="dxa"/>
          </w:tcPr>
          <w:p w:rsidR="00FC1982" w:rsidRDefault="00FC1982" w:rsidP="00067CD8">
            <w:pPr>
              <w:spacing w:before="90" w:after="54"/>
              <w:rPr>
                <w:sz w:val="20"/>
              </w:rPr>
            </w:pPr>
            <w:r>
              <w:rPr>
                <w:sz w:val="20"/>
              </w:rPr>
              <w:t>32.2</w:t>
            </w:r>
          </w:p>
        </w:tc>
        <w:tc>
          <w:tcPr>
            <w:tcW w:w="8530" w:type="dxa"/>
          </w:tcPr>
          <w:p w:rsidR="00FC1982" w:rsidRDefault="00FC1982" w:rsidP="00067CD8">
            <w:pPr>
              <w:spacing w:before="90" w:after="54"/>
              <w:rPr>
                <w:sz w:val="20"/>
              </w:rPr>
            </w:pPr>
            <w:r>
              <w:rPr>
                <w:sz w:val="20"/>
              </w:rPr>
              <w:t>Certification by Chief Financial Officer Pursuant to Section 906 of the Sarbanes-Oxley Act of 2002</w:t>
            </w:r>
            <w:r w:rsidR="00A96D99">
              <w:rPr>
                <w:sz w:val="20"/>
              </w:rPr>
              <w:t xml:space="preserve"> – filed herewith</w:t>
            </w:r>
            <w:r>
              <w:rPr>
                <w:sz w:val="20"/>
              </w:rPr>
              <w:t>.</w:t>
            </w:r>
          </w:p>
        </w:tc>
      </w:tr>
      <w:tr w:rsidR="00FC1982" w:rsidTr="00067CD8">
        <w:tc>
          <w:tcPr>
            <w:tcW w:w="1190" w:type="dxa"/>
          </w:tcPr>
          <w:p w:rsidR="00FC1982" w:rsidRDefault="00FC1982" w:rsidP="00067CD8">
            <w:pPr>
              <w:spacing w:before="90" w:after="54"/>
              <w:rPr>
                <w:sz w:val="20"/>
              </w:rPr>
            </w:pPr>
            <w:r>
              <w:rPr>
                <w:sz w:val="20"/>
              </w:rPr>
              <w:lastRenderedPageBreak/>
              <w:t>101**</w:t>
            </w:r>
          </w:p>
        </w:tc>
        <w:tc>
          <w:tcPr>
            <w:tcW w:w="8530" w:type="dxa"/>
          </w:tcPr>
          <w:p w:rsidR="00FC1982" w:rsidRDefault="00FC1982" w:rsidP="00067CD8">
            <w:pPr>
              <w:spacing w:before="90" w:after="54"/>
              <w:rPr>
                <w:sz w:val="20"/>
              </w:rPr>
            </w:pPr>
            <w:r>
              <w:rPr>
                <w:sz w:val="20"/>
              </w:rPr>
              <w:t>The following materials from this report, formatted in XBRL (Extensible Business Reporting Language), are filed herewith: (</w:t>
            </w:r>
            <w:proofErr w:type="spellStart"/>
            <w:r>
              <w:rPr>
                <w:sz w:val="20"/>
              </w:rPr>
              <w:t>i</w:t>
            </w:r>
            <w:proofErr w:type="spellEnd"/>
            <w:r>
              <w:rPr>
                <w:sz w:val="20"/>
              </w:rPr>
              <w:t>) balance sheets, (ii) statements of income, (iii) statements of shareholders’ equity, (iv) statements of cash flows, and (iv) the notes to the condensed financial statements.</w:t>
            </w:r>
          </w:p>
        </w:tc>
      </w:tr>
    </w:tbl>
    <w:p w:rsidR="00FC1982" w:rsidRDefault="00FC1982" w:rsidP="00FC1982">
      <w:pPr>
        <w:rPr>
          <w:sz w:val="20"/>
        </w:rPr>
      </w:pPr>
      <w:r>
        <w:rPr>
          <w:sz w:val="20"/>
        </w:rPr>
        <w:t>________________</w:t>
      </w:r>
    </w:p>
    <w:p w:rsidR="00FC1982" w:rsidRDefault="00FC1982" w:rsidP="00FC1982">
      <w:pPr>
        <w:jc w:val="center"/>
        <w:rPr>
          <w:b/>
          <w:bCs/>
          <w:color w:val="000000"/>
          <w:sz w:val="4"/>
        </w:rPr>
      </w:pPr>
    </w:p>
    <w:p w:rsidR="00FC1982" w:rsidRDefault="00FC1982" w:rsidP="00FC1982">
      <w:pPr>
        <w:rPr>
          <w:sz w:val="20"/>
          <w:highlight w:val="yellow"/>
        </w:rPr>
      </w:pPr>
    </w:p>
    <w:p w:rsidR="00FC1982" w:rsidRDefault="00FC1982" w:rsidP="00FC1982">
      <w:pPr>
        <w:rPr>
          <w:sz w:val="20"/>
        </w:rPr>
      </w:pPr>
      <w:r>
        <w:rPr>
          <w:sz w:val="20"/>
        </w:rPr>
        <w:t>*Indicates a management contract or compensatory plan or arrangement required to be filed as an exhibit to this Form 10-K.</w:t>
      </w:r>
    </w:p>
    <w:p w:rsidR="00FC1982" w:rsidRDefault="00FC1982" w:rsidP="00FC1982">
      <w:pPr>
        <w:rPr>
          <w:sz w:val="20"/>
        </w:rPr>
      </w:pPr>
      <w:r>
        <w:rPr>
          <w:sz w:val="20"/>
        </w:rPr>
        <w:t xml:space="preserve">** Pursuant to Rule 406T of Regulation S-T, the XBRL related information in Exhibit 101 to this Annual Report on Form 10-K shall not be deemed to be “filed” for purposes of Section 18 of the Exchange Act, or otherwise subject to the liability of that section, and shall not be deemed part of a registration statement, prospectus or other document filed under the Securities Act or the Exchange Act, except as shall be expressly set forth by specific reference in such filings. </w:t>
      </w:r>
    </w:p>
    <w:p w:rsidR="00A96D99" w:rsidRDefault="00A96D99">
      <w:pPr>
        <w:jc w:val="right"/>
        <w:rPr>
          <w:sz w:val="20"/>
        </w:rPr>
      </w:pPr>
    </w:p>
    <w:p w:rsidR="00A96D99" w:rsidRDefault="00A96D99">
      <w:pPr>
        <w:jc w:val="right"/>
        <w:rPr>
          <w:sz w:val="20"/>
        </w:rPr>
      </w:pPr>
    </w:p>
    <w:p w:rsidR="00A96D99" w:rsidRDefault="00A96D99">
      <w:pPr>
        <w:jc w:val="right"/>
        <w:rPr>
          <w:sz w:val="20"/>
        </w:rPr>
      </w:pPr>
    </w:p>
    <w:p w:rsidR="00A96D99" w:rsidRDefault="00A96D99">
      <w:pPr>
        <w:jc w:val="right"/>
        <w:rPr>
          <w:sz w:val="20"/>
        </w:rPr>
      </w:pPr>
    </w:p>
    <w:p w:rsidR="00A96D99" w:rsidRDefault="00A96D99">
      <w:pPr>
        <w:jc w:val="right"/>
        <w:rPr>
          <w:sz w:val="20"/>
        </w:rPr>
      </w:pPr>
    </w:p>
    <w:p w:rsidR="00A96D99" w:rsidRDefault="00A96D99">
      <w:pPr>
        <w:jc w:val="right"/>
        <w:rPr>
          <w:sz w:val="20"/>
        </w:rPr>
      </w:pPr>
    </w:p>
    <w:p w:rsidR="00A96D99" w:rsidRDefault="00A96D99">
      <w:pPr>
        <w:jc w:val="right"/>
        <w:rPr>
          <w:sz w:val="20"/>
        </w:rPr>
      </w:pPr>
    </w:p>
    <w:p w:rsidR="00A96D99" w:rsidRDefault="00A96D99">
      <w:pPr>
        <w:jc w:val="right"/>
        <w:rPr>
          <w:sz w:val="20"/>
        </w:rPr>
      </w:pPr>
    </w:p>
    <w:p w:rsidR="00A96D99" w:rsidRDefault="00A96D99">
      <w:pPr>
        <w:jc w:val="right"/>
        <w:rPr>
          <w:sz w:val="20"/>
        </w:rPr>
      </w:pPr>
    </w:p>
    <w:p w:rsidR="00A96D99" w:rsidRDefault="00A96D99">
      <w:pPr>
        <w:jc w:val="right"/>
        <w:rPr>
          <w:sz w:val="20"/>
        </w:rPr>
      </w:pPr>
    </w:p>
    <w:p w:rsidR="00A96D99" w:rsidRDefault="00A96D99">
      <w:pPr>
        <w:jc w:val="right"/>
        <w:rPr>
          <w:sz w:val="20"/>
        </w:rPr>
      </w:pPr>
    </w:p>
    <w:p w:rsidR="00A96D99" w:rsidRDefault="00A96D99">
      <w:pPr>
        <w:jc w:val="right"/>
        <w:rPr>
          <w:sz w:val="20"/>
        </w:rPr>
      </w:pPr>
    </w:p>
    <w:p w:rsidR="00A96D99" w:rsidRDefault="00A96D99">
      <w:pPr>
        <w:jc w:val="right"/>
        <w:rPr>
          <w:sz w:val="20"/>
        </w:rPr>
      </w:pPr>
    </w:p>
    <w:p w:rsidR="00A96D99" w:rsidRDefault="00A96D99">
      <w:pPr>
        <w:jc w:val="right"/>
        <w:rPr>
          <w:sz w:val="20"/>
        </w:rPr>
      </w:pPr>
    </w:p>
    <w:p w:rsidR="00A96D99" w:rsidRDefault="00A96D99">
      <w:pPr>
        <w:jc w:val="right"/>
        <w:rPr>
          <w:sz w:val="20"/>
        </w:rPr>
      </w:pPr>
    </w:p>
    <w:p w:rsidR="00A96D99" w:rsidRDefault="00A96D99">
      <w:pPr>
        <w:jc w:val="right"/>
        <w:rPr>
          <w:sz w:val="20"/>
        </w:rPr>
      </w:pPr>
    </w:p>
    <w:p w:rsidR="00A96D99" w:rsidRDefault="00A96D99">
      <w:pPr>
        <w:jc w:val="right"/>
        <w:rPr>
          <w:sz w:val="20"/>
        </w:rPr>
      </w:pPr>
    </w:p>
    <w:p w:rsidR="00A96D99" w:rsidRDefault="00A96D99">
      <w:pPr>
        <w:jc w:val="right"/>
        <w:rPr>
          <w:sz w:val="20"/>
        </w:rPr>
      </w:pPr>
    </w:p>
    <w:p w:rsidR="00A96D99" w:rsidRDefault="00A96D99">
      <w:pPr>
        <w:jc w:val="right"/>
        <w:rPr>
          <w:sz w:val="20"/>
        </w:rPr>
      </w:pPr>
    </w:p>
    <w:p w:rsidR="00A96D99" w:rsidRDefault="00A96D99">
      <w:pPr>
        <w:jc w:val="right"/>
        <w:rPr>
          <w:sz w:val="20"/>
        </w:rPr>
      </w:pPr>
    </w:p>
    <w:p w:rsidR="00A96D99" w:rsidRDefault="00A96D99">
      <w:pPr>
        <w:jc w:val="right"/>
        <w:rPr>
          <w:sz w:val="20"/>
        </w:rPr>
      </w:pPr>
    </w:p>
    <w:p w:rsidR="00A96D99" w:rsidRDefault="00A96D99">
      <w:pPr>
        <w:jc w:val="right"/>
        <w:rPr>
          <w:sz w:val="20"/>
        </w:rPr>
      </w:pPr>
    </w:p>
    <w:p w:rsidR="00A96D99" w:rsidRDefault="00A96D99">
      <w:pPr>
        <w:jc w:val="right"/>
        <w:rPr>
          <w:sz w:val="20"/>
        </w:rPr>
      </w:pPr>
    </w:p>
    <w:p w:rsidR="00A96D99" w:rsidRDefault="00A96D99">
      <w:pPr>
        <w:jc w:val="right"/>
        <w:rPr>
          <w:sz w:val="20"/>
        </w:rPr>
      </w:pPr>
    </w:p>
    <w:p w:rsidR="00A96D99" w:rsidRDefault="00A96D99">
      <w:pPr>
        <w:jc w:val="right"/>
        <w:rPr>
          <w:sz w:val="20"/>
        </w:rPr>
      </w:pPr>
    </w:p>
    <w:p w:rsidR="00A96D99" w:rsidRDefault="00A96D99">
      <w:pPr>
        <w:jc w:val="right"/>
        <w:rPr>
          <w:sz w:val="20"/>
        </w:rPr>
      </w:pPr>
    </w:p>
    <w:p w:rsidR="00A96D99" w:rsidRDefault="00A96D99">
      <w:pPr>
        <w:jc w:val="right"/>
        <w:rPr>
          <w:sz w:val="20"/>
        </w:rPr>
      </w:pPr>
    </w:p>
    <w:p w:rsidR="00A96D99" w:rsidRDefault="00A96D99">
      <w:pPr>
        <w:jc w:val="right"/>
        <w:rPr>
          <w:sz w:val="20"/>
        </w:rPr>
      </w:pPr>
    </w:p>
    <w:p w:rsidR="00A96D99" w:rsidRDefault="00A96D99">
      <w:pPr>
        <w:jc w:val="right"/>
        <w:rPr>
          <w:sz w:val="20"/>
        </w:rPr>
      </w:pPr>
    </w:p>
    <w:p w:rsidR="00A96D99" w:rsidRDefault="00A96D99">
      <w:pPr>
        <w:jc w:val="right"/>
        <w:rPr>
          <w:sz w:val="20"/>
        </w:rPr>
      </w:pPr>
    </w:p>
    <w:p w:rsidR="00A96D99" w:rsidRDefault="00A96D99">
      <w:pPr>
        <w:jc w:val="right"/>
        <w:rPr>
          <w:sz w:val="20"/>
        </w:rPr>
      </w:pPr>
    </w:p>
    <w:p w:rsidR="00A96D99" w:rsidRDefault="00A96D99">
      <w:pPr>
        <w:jc w:val="right"/>
        <w:rPr>
          <w:sz w:val="20"/>
        </w:rPr>
      </w:pPr>
    </w:p>
    <w:p w:rsidR="00A96D99" w:rsidRDefault="00A96D99">
      <w:pPr>
        <w:jc w:val="right"/>
        <w:rPr>
          <w:sz w:val="20"/>
        </w:rPr>
      </w:pPr>
    </w:p>
    <w:p w:rsidR="00A96D99" w:rsidRDefault="00A96D99">
      <w:pPr>
        <w:jc w:val="right"/>
        <w:rPr>
          <w:sz w:val="20"/>
        </w:rPr>
      </w:pPr>
    </w:p>
    <w:p w:rsidR="00A96D99" w:rsidRDefault="00A96D99">
      <w:pPr>
        <w:jc w:val="right"/>
        <w:rPr>
          <w:sz w:val="20"/>
        </w:rPr>
      </w:pPr>
    </w:p>
    <w:p w:rsidR="00A96D99" w:rsidRDefault="00A96D99">
      <w:pPr>
        <w:jc w:val="right"/>
        <w:rPr>
          <w:sz w:val="20"/>
        </w:rPr>
      </w:pPr>
    </w:p>
    <w:p w:rsidR="00A96D99" w:rsidRDefault="00A96D99">
      <w:pPr>
        <w:jc w:val="right"/>
        <w:rPr>
          <w:sz w:val="20"/>
        </w:rPr>
      </w:pPr>
    </w:p>
    <w:p w:rsidR="00A96D99" w:rsidRDefault="00A96D99">
      <w:pPr>
        <w:jc w:val="right"/>
        <w:rPr>
          <w:sz w:val="20"/>
        </w:rPr>
      </w:pPr>
    </w:p>
    <w:p w:rsidR="00A96D99" w:rsidRDefault="00A96D99">
      <w:pPr>
        <w:jc w:val="right"/>
        <w:rPr>
          <w:sz w:val="20"/>
        </w:rPr>
      </w:pPr>
    </w:p>
    <w:p w:rsidR="00572D23" w:rsidRDefault="00572D23" w:rsidP="00572D23">
      <w:pPr>
        <w:jc w:val="right"/>
        <w:rPr>
          <w:sz w:val="20"/>
          <w:szCs w:val="20"/>
        </w:rPr>
      </w:pPr>
      <w:r>
        <w:rPr>
          <w:b/>
          <w:bCs/>
          <w:sz w:val="20"/>
          <w:szCs w:val="20"/>
        </w:rPr>
        <w:lastRenderedPageBreak/>
        <w:t>EXHIBIT 10.14</w:t>
      </w:r>
      <w:r>
        <w:rPr>
          <w:sz w:val="20"/>
          <w:szCs w:val="20"/>
        </w:rPr>
        <w:t xml:space="preserve"> </w:t>
      </w:r>
    </w:p>
    <w:p w:rsidR="00572D23" w:rsidRDefault="00572D23" w:rsidP="00572D23">
      <w:pPr>
        <w:jc w:val="right"/>
        <w:rPr>
          <w:b/>
          <w:sz w:val="22"/>
          <w:szCs w:val="22"/>
        </w:rPr>
      </w:pPr>
    </w:p>
    <w:p w:rsidR="00572D23" w:rsidRDefault="00572D23" w:rsidP="00572D23">
      <w:pPr>
        <w:jc w:val="center"/>
        <w:rPr>
          <w:b/>
          <w:sz w:val="22"/>
          <w:szCs w:val="22"/>
        </w:rPr>
      </w:pPr>
    </w:p>
    <w:p w:rsidR="00572D23" w:rsidRDefault="00572D23" w:rsidP="00572D23">
      <w:pPr>
        <w:jc w:val="center"/>
        <w:rPr>
          <w:b/>
          <w:sz w:val="22"/>
          <w:szCs w:val="22"/>
        </w:rPr>
      </w:pPr>
      <w:r>
        <w:rPr>
          <w:b/>
          <w:sz w:val="22"/>
          <w:szCs w:val="22"/>
        </w:rPr>
        <w:t xml:space="preserve">Amendment No. 1 </w:t>
      </w:r>
    </w:p>
    <w:p w:rsidR="00572D23" w:rsidRDefault="00572D23" w:rsidP="00572D23">
      <w:pPr>
        <w:jc w:val="center"/>
        <w:rPr>
          <w:b/>
          <w:sz w:val="22"/>
          <w:szCs w:val="22"/>
        </w:rPr>
      </w:pPr>
      <w:proofErr w:type="gramStart"/>
      <w:r>
        <w:rPr>
          <w:b/>
          <w:sz w:val="22"/>
          <w:szCs w:val="22"/>
        </w:rPr>
        <w:t>to</w:t>
      </w:r>
      <w:proofErr w:type="gramEnd"/>
    </w:p>
    <w:p w:rsidR="00572D23" w:rsidRDefault="00572D23" w:rsidP="00572D23">
      <w:pPr>
        <w:jc w:val="center"/>
        <w:rPr>
          <w:b/>
          <w:sz w:val="22"/>
          <w:szCs w:val="22"/>
        </w:rPr>
      </w:pPr>
      <w:proofErr w:type="spellStart"/>
      <w:r>
        <w:rPr>
          <w:b/>
          <w:sz w:val="22"/>
          <w:szCs w:val="22"/>
        </w:rPr>
        <w:t>MakeMusic</w:t>
      </w:r>
      <w:proofErr w:type="spellEnd"/>
      <w:r>
        <w:rPr>
          <w:b/>
          <w:sz w:val="22"/>
          <w:szCs w:val="22"/>
        </w:rPr>
        <w:t>, Inc.</w:t>
      </w:r>
    </w:p>
    <w:p w:rsidR="00572D23" w:rsidRDefault="00572D23" w:rsidP="00572D23">
      <w:pPr>
        <w:jc w:val="center"/>
        <w:rPr>
          <w:b/>
          <w:sz w:val="22"/>
          <w:szCs w:val="22"/>
        </w:rPr>
      </w:pPr>
      <w:r>
        <w:rPr>
          <w:b/>
          <w:sz w:val="22"/>
          <w:szCs w:val="22"/>
        </w:rPr>
        <w:t xml:space="preserve">Executive Incentive Compensation Plan </w:t>
      </w:r>
    </w:p>
    <w:p w:rsidR="00572D23" w:rsidRDefault="00572D23" w:rsidP="00572D23">
      <w:pPr>
        <w:jc w:val="center"/>
        <w:rPr>
          <w:b/>
          <w:sz w:val="22"/>
          <w:szCs w:val="22"/>
        </w:rPr>
      </w:pPr>
    </w:p>
    <w:p w:rsidR="00572D23" w:rsidRDefault="00572D23" w:rsidP="00572D23">
      <w:pPr>
        <w:jc w:val="both"/>
        <w:rPr>
          <w:sz w:val="22"/>
          <w:szCs w:val="22"/>
        </w:rPr>
      </w:pPr>
      <w:r>
        <w:rPr>
          <w:sz w:val="22"/>
          <w:szCs w:val="22"/>
        </w:rPr>
        <w:tab/>
        <w:t xml:space="preserve">Effective June 13, 2011, the </w:t>
      </w:r>
      <w:proofErr w:type="spellStart"/>
      <w:r>
        <w:rPr>
          <w:sz w:val="22"/>
          <w:szCs w:val="22"/>
        </w:rPr>
        <w:t>MakeMusic</w:t>
      </w:r>
      <w:proofErr w:type="spellEnd"/>
      <w:r>
        <w:rPr>
          <w:sz w:val="22"/>
          <w:szCs w:val="22"/>
        </w:rPr>
        <w:t>, Inc. Executive Incentive Compensation Plan, adopted May 5, 2009 (the “Plan”) is amended as follows:</w:t>
      </w:r>
    </w:p>
    <w:p w:rsidR="00572D23" w:rsidRDefault="00572D23" w:rsidP="00572D23">
      <w:pPr>
        <w:jc w:val="both"/>
        <w:rPr>
          <w:sz w:val="22"/>
          <w:szCs w:val="22"/>
        </w:rPr>
      </w:pPr>
    </w:p>
    <w:p w:rsidR="00572D23" w:rsidRDefault="00572D23" w:rsidP="00572D23">
      <w:pPr>
        <w:jc w:val="both"/>
        <w:rPr>
          <w:sz w:val="22"/>
          <w:szCs w:val="22"/>
        </w:rPr>
      </w:pPr>
      <w:r>
        <w:rPr>
          <w:sz w:val="22"/>
          <w:szCs w:val="22"/>
        </w:rPr>
        <w:tab/>
        <w:t xml:space="preserve">The last sentence of Section 4.2.2(b) of the Plan is amended and restated to read as follows: </w:t>
      </w:r>
    </w:p>
    <w:p w:rsidR="00572D23" w:rsidRDefault="00572D23" w:rsidP="00572D23">
      <w:pPr>
        <w:jc w:val="both"/>
        <w:rPr>
          <w:sz w:val="22"/>
          <w:szCs w:val="22"/>
        </w:rPr>
      </w:pPr>
    </w:p>
    <w:p w:rsidR="00572D23" w:rsidRDefault="00572D23" w:rsidP="00572D23">
      <w:pPr>
        <w:jc w:val="both"/>
        <w:rPr>
          <w:sz w:val="22"/>
          <w:szCs w:val="22"/>
        </w:rPr>
      </w:pPr>
      <w:r>
        <w:rPr>
          <w:sz w:val="22"/>
          <w:szCs w:val="22"/>
        </w:rPr>
        <w:t>If the Participant terminates employment with the Company prior to the last day of the fiscal year due to death or “Disability” (as defined below), or if the Participant’s employment has been terminated by the Company prior to the last day of the fiscal year without “Cause” (as defined below), the Participant shall be entitled to a prorated annual incentive compensation, based on the number of days in the fiscal year that the Participant was employed, or such other amount as the Committee determines in its discretion.</w:t>
      </w:r>
    </w:p>
    <w:p w:rsidR="00572D23" w:rsidRDefault="00572D23" w:rsidP="00572D23">
      <w:pPr>
        <w:jc w:val="both"/>
        <w:rPr>
          <w:sz w:val="22"/>
          <w:szCs w:val="22"/>
        </w:rPr>
      </w:pPr>
    </w:p>
    <w:p w:rsidR="00572D23" w:rsidRDefault="00572D23" w:rsidP="00572D23">
      <w:pPr>
        <w:jc w:val="both"/>
        <w:rPr>
          <w:sz w:val="22"/>
          <w:szCs w:val="22"/>
        </w:rPr>
      </w:pPr>
      <w:r>
        <w:rPr>
          <w:sz w:val="22"/>
          <w:szCs w:val="22"/>
        </w:rPr>
        <w:tab/>
        <w:t xml:space="preserve">Section 4.4.3 is amended and restated to read as follows: </w:t>
      </w:r>
    </w:p>
    <w:p w:rsidR="00572D23" w:rsidRDefault="00572D23" w:rsidP="00572D23">
      <w:pPr>
        <w:jc w:val="both"/>
        <w:rPr>
          <w:b/>
          <w:sz w:val="22"/>
          <w:szCs w:val="22"/>
        </w:rPr>
      </w:pPr>
    </w:p>
    <w:p w:rsidR="00572D23" w:rsidRDefault="00572D23" w:rsidP="00572D23">
      <w:pPr>
        <w:tabs>
          <w:tab w:val="left" w:pos="9360"/>
        </w:tabs>
        <w:jc w:val="both"/>
        <w:rPr>
          <w:sz w:val="22"/>
          <w:szCs w:val="22"/>
        </w:rPr>
      </w:pPr>
      <w:r>
        <w:rPr>
          <w:sz w:val="22"/>
          <w:szCs w:val="22"/>
        </w:rPr>
        <w:t xml:space="preserve">4.4.3 </w:t>
      </w:r>
      <w:r>
        <w:rPr>
          <w:b/>
          <w:bCs/>
          <w:sz w:val="22"/>
          <w:szCs w:val="22"/>
          <w:u w:val="single"/>
        </w:rPr>
        <w:t>Risks of Forfeiture</w:t>
      </w:r>
      <w:r>
        <w:rPr>
          <w:b/>
          <w:bCs/>
          <w:sz w:val="22"/>
          <w:szCs w:val="22"/>
        </w:rPr>
        <w:t xml:space="preserve">. </w:t>
      </w:r>
      <w:r>
        <w:rPr>
          <w:sz w:val="22"/>
          <w:szCs w:val="22"/>
        </w:rPr>
        <w:t>Except as otherwise determined in the Committee’s discretion, each Participant’s Earned Restricted Stock Award shall be subject to forfeiture if such Participant’s employment with the Company is terminated for any reason, whether by the Company or Participant. The risks of forfeiture as to twenty-five percent (25%) of each Participant’s Earned Restricted Stock Award shall immediately lapse on the date of the award. The risks of forfeiture as to the remaining seventy-five percent (75%) shall lapse in twenty-five percent (25%) increments on the next three anniversary dates of the award, provided that the Participant is then an employee of the Company.</w:t>
      </w:r>
    </w:p>
    <w:p w:rsidR="00572D23" w:rsidRDefault="00572D23" w:rsidP="00572D23">
      <w:pPr>
        <w:tabs>
          <w:tab w:val="left" w:pos="8640"/>
        </w:tabs>
        <w:ind w:left="720" w:right="720"/>
        <w:jc w:val="both"/>
        <w:rPr>
          <w:sz w:val="22"/>
          <w:szCs w:val="22"/>
        </w:rPr>
      </w:pPr>
    </w:p>
    <w:p w:rsidR="00572D23" w:rsidRDefault="00572D23" w:rsidP="00572D23">
      <w:pPr>
        <w:tabs>
          <w:tab w:val="left" w:pos="720"/>
        </w:tabs>
        <w:jc w:val="both"/>
        <w:rPr>
          <w:sz w:val="22"/>
          <w:szCs w:val="22"/>
        </w:rPr>
      </w:pPr>
      <w:r>
        <w:rPr>
          <w:sz w:val="22"/>
          <w:szCs w:val="22"/>
        </w:rPr>
        <w:tab/>
        <w:t xml:space="preserve">This Amendment applies to all incentive compensation payable under the Plan that has not yet been earned pursuant to the terms thereof. </w:t>
      </w:r>
    </w:p>
    <w:p w:rsidR="00572D23" w:rsidRDefault="00572D23" w:rsidP="00572D23">
      <w:pPr>
        <w:tabs>
          <w:tab w:val="left" w:pos="9360"/>
        </w:tabs>
        <w:jc w:val="both"/>
        <w:rPr>
          <w:sz w:val="22"/>
          <w:szCs w:val="22"/>
        </w:rPr>
      </w:pPr>
    </w:p>
    <w:p w:rsidR="00A96D99" w:rsidRDefault="00A96D99">
      <w:pPr>
        <w:jc w:val="right"/>
        <w:rPr>
          <w:sz w:val="20"/>
        </w:rPr>
      </w:pPr>
    </w:p>
    <w:p w:rsidR="004851D7" w:rsidRDefault="00FC1982">
      <w:pPr>
        <w:jc w:val="right"/>
        <w:rPr>
          <w:sz w:val="20"/>
          <w:szCs w:val="20"/>
        </w:rPr>
      </w:pPr>
      <w:r>
        <w:rPr>
          <w:sz w:val="20"/>
        </w:rPr>
        <w:br w:type="page"/>
      </w:r>
      <w:r w:rsidR="004851D7">
        <w:rPr>
          <w:b/>
          <w:bCs/>
          <w:sz w:val="20"/>
          <w:szCs w:val="20"/>
        </w:rPr>
        <w:lastRenderedPageBreak/>
        <w:t>EXHIBIT 23.1</w:t>
      </w:r>
      <w:r w:rsidR="004851D7">
        <w:rPr>
          <w:sz w:val="20"/>
          <w:szCs w:val="20"/>
        </w:rPr>
        <w:t xml:space="preserve"> </w:t>
      </w:r>
    </w:p>
    <w:p w:rsidR="004851D7" w:rsidRDefault="004851D7">
      <w:pPr>
        <w:jc w:val="right"/>
        <w:rPr>
          <w:sz w:val="20"/>
          <w:szCs w:val="20"/>
        </w:rPr>
      </w:pPr>
    </w:p>
    <w:p w:rsidR="004851D7" w:rsidRDefault="004851D7">
      <w:pPr>
        <w:jc w:val="center"/>
        <w:rPr>
          <w:sz w:val="20"/>
          <w:szCs w:val="20"/>
        </w:rPr>
      </w:pPr>
      <w:r>
        <w:rPr>
          <w:sz w:val="20"/>
          <w:szCs w:val="20"/>
        </w:rPr>
        <w:t xml:space="preserve">CONSENT OF INDEPENDENT REGISTERED PUBLIC ACCOUNTING FIRM </w:t>
      </w:r>
    </w:p>
    <w:p w:rsidR="004851D7" w:rsidRDefault="004851D7">
      <w:pPr>
        <w:jc w:val="center"/>
        <w:rPr>
          <w:sz w:val="20"/>
          <w:szCs w:val="20"/>
        </w:rPr>
      </w:pPr>
    </w:p>
    <w:p w:rsidR="004851D7" w:rsidRDefault="004851D7">
      <w:pPr>
        <w:rPr>
          <w:sz w:val="20"/>
          <w:szCs w:val="20"/>
        </w:rPr>
      </w:pPr>
      <w:r>
        <w:rPr>
          <w:sz w:val="20"/>
          <w:szCs w:val="20"/>
        </w:rPr>
        <w:t xml:space="preserve">     We consent to incorporation by reference in the Registration Statements (Form S-3 Nos. 333-110307 and 333-141566) and Registration Statements (Form S-8 Nos. 333-151603, 333-134901, 333-110308, and 333-51884) of our report dated </w:t>
      </w:r>
      <w:r w:rsidR="00976DA0">
        <w:rPr>
          <w:sz w:val="20"/>
          <w:szCs w:val="20"/>
        </w:rPr>
        <w:t>March 13, 2012</w:t>
      </w:r>
      <w:r>
        <w:rPr>
          <w:sz w:val="20"/>
          <w:szCs w:val="20"/>
        </w:rPr>
        <w:t xml:space="preserve"> with respect to the financial statements of MakeMusic Inc. included in the Annual Report (Form 10-K) for the year ended December 31, </w:t>
      </w:r>
      <w:r w:rsidR="00593220">
        <w:rPr>
          <w:sz w:val="20"/>
          <w:szCs w:val="20"/>
        </w:rPr>
        <w:t>2011</w:t>
      </w:r>
      <w:r>
        <w:rPr>
          <w:sz w:val="20"/>
          <w:szCs w:val="20"/>
        </w:rPr>
        <w:t xml:space="preserve">. </w:t>
      </w:r>
    </w:p>
    <w:p w:rsidR="004851D7" w:rsidRDefault="004851D7">
      <w:pPr>
        <w:rPr>
          <w:sz w:val="20"/>
          <w:szCs w:val="20"/>
        </w:rPr>
      </w:pPr>
    </w:p>
    <w:p w:rsidR="004851D7" w:rsidRDefault="004851D7">
      <w:pPr>
        <w:rPr>
          <w:sz w:val="20"/>
          <w:szCs w:val="20"/>
        </w:rPr>
      </w:pPr>
      <w:r>
        <w:rPr>
          <w:sz w:val="20"/>
          <w:szCs w:val="20"/>
        </w:rPr>
        <w:t xml:space="preserve">/s/ McGladrey &amp; Pullen, LLP </w:t>
      </w:r>
    </w:p>
    <w:p w:rsidR="004851D7" w:rsidRDefault="004851D7">
      <w:pPr>
        <w:rPr>
          <w:sz w:val="20"/>
          <w:szCs w:val="20"/>
        </w:rPr>
      </w:pPr>
      <w:r>
        <w:rPr>
          <w:sz w:val="20"/>
          <w:szCs w:val="20"/>
        </w:rPr>
        <w:t>Minneapolis, Minnesota</w:t>
      </w:r>
      <w:r>
        <w:rPr>
          <w:sz w:val="20"/>
          <w:szCs w:val="20"/>
        </w:rPr>
        <w:br/>
      </w:r>
      <w:r w:rsidR="00976DA0">
        <w:rPr>
          <w:sz w:val="20"/>
          <w:szCs w:val="20"/>
        </w:rPr>
        <w:t>March 13, 2012</w:t>
      </w:r>
      <w:r>
        <w:rPr>
          <w:sz w:val="20"/>
          <w:szCs w:val="20"/>
        </w:rPr>
        <w:t xml:space="preserve"> </w:t>
      </w:r>
    </w:p>
    <w:p w:rsidR="004851D7" w:rsidRDefault="004851D7">
      <w:pPr>
        <w:pStyle w:val="NormalWeb"/>
        <w:jc w:val="center"/>
        <w:rPr>
          <w:sz w:val="20"/>
          <w:szCs w:val="20"/>
        </w:rPr>
      </w:pPr>
      <w:r>
        <w:rPr>
          <w:sz w:val="20"/>
          <w:szCs w:val="20"/>
        </w:rPr>
        <w:t xml:space="preserve">  </w:t>
      </w:r>
    </w:p>
    <w:p w:rsidR="004851D7" w:rsidRDefault="004851D7">
      <w:pPr>
        <w:rPr>
          <w:color w:val="000000"/>
          <w:sz w:val="18"/>
        </w:rPr>
        <w:sectPr w:rsidR="004851D7" w:rsidSect="00557197">
          <w:pgSz w:w="12240" w:h="15840" w:code="1"/>
          <w:pgMar w:top="1440" w:right="1526" w:bottom="1440" w:left="1296" w:header="720" w:footer="720" w:gutter="0"/>
          <w:cols w:space="720"/>
          <w:docGrid w:linePitch="360"/>
        </w:sectPr>
      </w:pPr>
    </w:p>
    <w:p w:rsidR="004851D7" w:rsidRDefault="004851D7">
      <w:pPr>
        <w:jc w:val="right"/>
        <w:rPr>
          <w:sz w:val="20"/>
          <w:szCs w:val="20"/>
        </w:rPr>
      </w:pPr>
      <w:r>
        <w:rPr>
          <w:b/>
          <w:bCs/>
          <w:sz w:val="20"/>
          <w:szCs w:val="20"/>
        </w:rPr>
        <w:lastRenderedPageBreak/>
        <w:t>EXHIBIT 31.1</w:t>
      </w:r>
      <w:r>
        <w:rPr>
          <w:sz w:val="20"/>
          <w:szCs w:val="20"/>
        </w:rPr>
        <w:t xml:space="preserve"> </w:t>
      </w:r>
    </w:p>
    <w:p w:rsidR="004851D7" w:rsidRDefault="004851D7">
      <w:pPr>
        <w:jc w:val="right"/>
        <w:rPr>
          <w:sz w:val="20"/>
          <w:szCs w:val="20"/>
        </w:rPr>
      </w:pPr>
    </w:p>
    <w:p w:rsidR="004851D7" w:rsidRDefault="004851D7">
      <w:pPr>
        <w:jc w:val="center"/>
        <w:rPr>
          <w:sz w:val="20"/>
          <w:szCs w:val="20"/>
        </w:rPr>
      </w:pPr>
      <w:r>
        <w:rPr>
          <w:b/>
          <w:bCs/>
          <w:sz w:val="20"/>
          <w:szCs w:val="20"/>
        </w:rPr>
        <w:t>Certification Pursuant to Section 302 of the Sarbanes-Oxley Act of 2002</w:t>
      </w:r>
      <w:r>
        <w:rPr>
          <w:sz w:val="20"/>
          <w:szCs w:val="20"/>
        </w:rPr>
        <w:t xml:space="preserve"> </w:t>
      </w:r>
    </w:p>
    <w:p w:rsidR="004851D7" w:rsidRDefault="004851D7">
      <w:pPr>
        <w:jc w:val="center"/>
        <w:rPr>
          <w:sz w:val="20"/>
          <w:szCs w:val="20"/>
        </w:rPr>
      </w:pPr>
    </w:p>
    <w:p w:rsidR="004851D7" w:rsidRDefault="004851D7">
      <w:pPr>
        <w:rPr>
          <w:sz w:val="20"/>
          <w:szCs w:val="20"/>
        </w:rPr>
      </w:pPr>
      <w:r>
        <w:rPr>
          <w:sz w:val="20"/>
          <w:szCs w:val="20"/>
        </w:rPr>
        <w:t xml:space="preserve">     I, </w:t>
      </w:r>
      <w:r w:rsidR="00593220">
        <w:rPr>
          <w:sz w:val="20"/>
          <w:szCs w:val="20"/>
        </w:rPr>
        <w:t>Karen T. van Lith</w:t>
      </w:r>
      <w:r>
        <w:rPr>
          <w:sz w:val="20"/>
          <w:szCs w:val="20"/>
        </w:rPr>
        <w:t xml:space="preserve">, certify that: </w:t>
      </w:r>
    </w:p>
    <w:p w:rsidR="004851D7" w:rsidRDefault="004851D7">
      <w:pPr>
        <w:rPr>
          <w:sz w:val="20"/>
          <w:szCs w:val="20"/>
        </w:rPr>
      </w:pPr>
    </w:p>
    <w:p w:rsidR="004851D7" w:rsidRDefault="004851D7">
      <w:pPr>
        <w:spacing w:before="120" w:after="120"/>
        <w:rPr>
          <w:sz w:val="20"/>
          <w:szCs w:val="20"/>
        </w:rPr>
      </w:pPr>
      <w:r>
        <w:rPr>
          <w:sz w:val="20"/>
          <w:szCs w:val="20"/>
        </w:rPr>
        <w:t xml:space="preserve">     1. I have reviewed this Form 10-K of MakeMusic, Inc.; </w:t>
      </w:r>
    </w:p>
    <w:p w:rsidR="004851D7" w:rsidRDefault="004851D7">
      <w:pPr>
        <w:spacing w:before="120" w:after="120"/>
        <w:rPr>
          <w:sz w:val="20"/>
          <w:szCs w:val="20"/>
        </w:rPr>
      </w:pPr>
      <w:r>
        <w:rPr>
          <w:sz w:val="20"/>
          <w:szCs w:val="20"/>
        </w:rPr>
        <w:t xml:space="preserve">     2. 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 </w:t>
      </w:r>
    </w:p>
    <w:p w:rsidR="004851D7" w:rsidRDefault="004851D7">
      <w:pPr>
        <w:spacing w:before="120" w:after="120"/>
        <w:rPr>
          <w:sz w:val="20"/>
          <w:szCs w:val="20"/>
        </w:rPr>
      </w:pPr>
      <w:r>
        <w:rPr>
          <w:sz w:val="20"/>
          <w:szCs w:val="20"/>
        </w:rPr>
        <w:t>     3. Based on my knowledge, the financial statements, and other financial information included in the this report, fairly present in all material respects the financial condition, results of operation</w:t>
      </w:r>
      <w:r w:rsidR="00FC1982">
        <w:rPr>
          <w:sz w:val="20"/>
          <w:szCs w:val="20"/>
        </w:rPr>
        <w:t>s</w:t>
      </w:r>
      <w:r>
        <w:rPr>
          <w:sz w:val="20"/>
          <w:szCs w:val="20"/>
        </w:rPr>
        <w:t xml:space="preserve">, and cash flows of the registrant as of, and for, the periods presented in this report; </w:t>
      </w:r>
    </w:p>
    <w:p w:rsidR="004851D7" w:rsidRDefault="004851D7">
      <w:pPr>
        <w:spacing w:before="120" w:after="120"/>
        <w:rPr>
          <w:sz w:val="20"/>
          <w:szCs w:val="20"/>
        </w:rPr>
      </w:pPr>
      <w:r>
        <w:rPr>
          <w:sz w:val="20"/>
          <w:szCs w:val="20"/>
        </w:rPr>
        <w:t xml:space="preserve">     4. The registrant’s other certifying officer and I are responsible for establishing and maintaining disclosure controls and procedures (as defined in Exchange Act Rules 13a-15(e) and 15d-15(e)) </w:t>
      </w:r>
      <w:r>
        <w:rPr>
          <w:color w:val="000000"/>
          <w:sz w:val="20"/>
          <w:szCs w:val="20"/>
        </w:rPr>
        <w:t>and internal control over financial reporting (as defined in Exchange Act Rules 13a-15(f) and 15d-15(f))</w:t>
      </w:r>
      <w:r>
        <w:rPr>
          <w:sz w:val="20"/>
          <w:szCs w:val="20"/>
        </w:rPr>
        <w:t xml:space="preserve"> for the registrant and have: </w:t>
      </w:r>
    </w:p>
    <w:p w:rsidR="004851D7" w:rsidRDefault="004851D7">
      <w:pPr>
        <w:spacing w:before="120" w:after="120"/>
        <w:rPr>
          <w:sz w:val="20"/>
          <w:szCs w:val="20"/>
        </w:rPr>
      </w:pPr>
      <w:r>
        <w:rPr>
          <w:sz w:val="20"/>
          <w:szCs w:val="20"/>
        </w:rPr>
        <w:t>     a) Designed such disclosure controls and procedures, or caused such disclosure controls and procedures to be designed under our supervision, to ensure that material information relating to the registrant, including its consolidated subsidiaries</w:t>
      </w:r>
      <w:r w:rsidR="00FC1982">
        <w:rPr>
          <w:sz w:val="20"/>
          <w:szCs w:val="20"/>
        </w:rPr>
        <w:t>,</w:t>
      </w:r>
      <w:r>
        <w:rPr>
          <w:sz w:val="20"/>
          <w:szCs w:val="20"/>
        </w:rPr>
        <w:t xml:space="preserve"> is made known to us by others within those entities, particularly during the period in which this report is being prepared; </w:t>
      </w:r>
    </w:p>
    <w:p w:rsidR="004851D7" w:rsidRDefault="004851D7">
      <w:pPr>
        <w:spacing w:before="120" w:after="120"/>
        <w:rPr>
          <w:sz w:val="20"/>
          <w:szCs w:val="20"/>
        </w:rPr>
      </w:pPr>
      <w:r>
        <w:rPr>
          <w:sz w:val="20"/>
          <w:szCs w:val="20"/>
        </w:rPr>
        <w:t>     b) 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p w:rsidR="004851D7" w:rsidRDefault="004851D7">
      <w:pPr>
        <w:spacing w:before="120" w:after="120"/>
        <w:rPr>
          <w:sz w:val="20"/>
          <w:szCs w:val="20"/>
        </w:rPr>
      </w:pPr>
      <w:r>
        <w:rPr>
          <w:sz w:val="20"/>
          <w:szCs w:val="20"/>
        </w:rPr>
        <w:t xml:space="preserve">    c) Evaluated the effectiveness of the registrant’s disclosure controls and procedures and presented in this report our conclusions about the effectiveness of the disclosure controls and procedures, as of the end of the period covered by this report based on such evaluation; and </w:t>
      </w:r>
    </w:p>
    <w:p w:rsidR="004851D7" w:rsidRDefault="004851D7">
      <w:pPr>
        <w:spacing w:before="120" w:after="120"/>
        <w:rPr>
          <w:sz w:val="20"/>
          <w:szCs w:val="20"/>
        </w:rPr>
      </w:pPr>
      <w:r>
        <w:rPr>
          <w:sz w:val="20"/>
          <w:szCs w:val="20"/>
        </w:rPr>
        <w:t xml:space="preserve">    d) 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 </w:t>
      </w:r>
    </w:p>
    <w:p w:rsidR="004851D7" w:rsidRDefault="004851D7">
      <w:pPr>
        <w:spacing w:before="120" w:after="120"/>
        <w:rPr>
          <w:sz w:val="20"/>
          <w:szCs w:val="20"/>
        </w:rPr>
      </w:pPr>
      <w:r>
        <w:rPr>
          <w:sz w:val="20"/>
          <w:szCs w:val="20"/>
        </w:rPr>
        <w:t xml:space="preserve">     5. The registrant’s other certifying officer and I have disclosed, based on our most recent evaluation of internal control over financial reporting, to the registrant’s auditors and the audit committee of registrant’s Board of Directors (or persons performing the equivalent functions): </w:t>
      </w:r>
    </w:p>
    <w:p w:rsidR="004851D7" w:rsidRDefault="004851D7">
      <w:pPr>
        <w:spacing w:before="120" w:after="120"/>
        <w:rPr>
          <w:sz w:val="20"/>
          <w:szCs w:val="20"/>
        </w:rPr>
      </w:pPr>
      <w:r>
        <w:rPr>
          <w:sz w:val="20"/>
          <w:szCs w:val="20"/>
        </w:rPr>
        <w:t xml:space="preserve">     a) All significant deficiencies and material weaknesses in the design or operation of internal control over financial reporting which are reasonably likely to adversely affect the registrant’s ability to record, process, summarize, and report financial information; and </w:t>
      </w:r>
    </w:p>
    <w:p w:rsidR="004851D7" w:rsidRDefault="004851D7">
      <w:pPr>
        <w:spacing w:before="120" w:after="120"/>
        <w:rPr>
          <w:sz w:val="20"/>
          <w:szCs w:val="20"/>
        </w:rPr>
      </w:pPr>
      <w:r>
        <w:rPr>
          <w:sz w:val="20"/>
          <w:szCs w:val="20"/>
        </w:rPr>
        <w:t xml:space="preserve">     b) Any fraud, whether or not material, that involves management or other employees who have a significant role in the registrant’s internal control over financial reporting. </w:t>
      </w:r>
    </w:p>
    <w:p w:rsidR="004851D7" w:rsidRDefault="004851D7">
      <w:pPr>
        <w:spacing w:before="120" w:after="120"/>
        <w:rPr>
          <w:sz w:val="20"/>
          <w:szCs w:val="20"/>
        </w:rPr>
      </w:pPr>
    </w:p>
    <w:tbl>
      <w:tblPr>
        <w:tblW w:w="5000" w:type="pct"/>
        <w:jc w:val="center"/>
        <w:tblCellSpacing w:w="0" w:type="dxa"/>
        <w:tblCellMar>
          <w:left w:w="0" w:type="dxa"/>
          <w:right w:w="0" w:type="dxa"/>
        </w:tblCellMar>
        <w:tblLook w:val="0000" w:firstRow="0" w:lastRow="0" w:firstColumn="0" w:lastColumn="0" w:noHBand="0" w:noVBand="0"/>
      </w:tblPr>
      <w:tblGrid>
        <w:gridCol w:w="4118"/>
        <w:gridCol w:w="144"/>
        <w:gridCol w:w="289"/>
        <w:gridCol w:w="144"/>
        <w:gridCol w:w="3945"/>
      </w:tblGrid>
      <w:tr w:rsidR="004851D7">
        <w:trPr>
          <w:tblCellSpacing w:w="0" w:type="dxa"/>
          <w:jc w:val="center"/>
        </w:trPr>
        <w:tc>
          <w:tcPr>
            <w:tcW w:w="2400" w:type="pct"/>
            <w:vAlign w:val="bottom"/>
          </w:tcPr>
          <w:p w:rsidR="004851D7" w:rsidRDefault="004851D7">
            <w:pPr>
              <w:rPr>
                <w:sz w:val="20"/>
                <w:szCs w:val="20"/>
              </w:rPr>
            </w:pPr>
            <w:r>
              <w:rPr>
                <w:sz w:val="20"/>
                <w:szCs w:val="20"/>
              </w:rPr>
              <w:t> </w:t>
            </w:r>
          </w:p>
        </w:tc>
        <w:tc>
          <w:tcPr>
            <w:tcW w:w="100" w:type="pct"/>
            <w:vAlign w:val="bottom"/>
          </w:tcPr>
          <w:p w:rsidR="004851D7" w:rsidRDefault="004851D7">
            <w:pPr>
              <w:rPr>
                <w:sz w:val="20"/>
                <w:szCs w:val="20"/>
              </w:rPr>
            </w:pPr>
            <w:r>
              <w:rPr>
                <w:sz w:val="20"/>
                <w:szCs w:val="20"/>
              </w:rPr>
              <w:t> </w:t>
            </w:r>
          </w:p>
        </w:tc>
        <w:tc>
          <w:tcPr>
            <w:tcW w:w="100" w:type="pct"/>
            <w:vAlign w:val="bottom"/>
          </w:tcPr>
          <w:p w:rsidR="004851D7" w:rsidRDefault="004851D7">
            <w:pPr>
              <w:rPr>
                <w:sz w:val="20"/>
                <w:szCs w:val="20"/>
              </w:rPr>
            </w:pPr>
            <w:r>
              <w:rPr>
                <w:sz w:val="20"/>
                <w:szCs w:val="20"/>
              </w:rPr>
              <w:t> </w:t>
            </w:r>
          </w:p>
        </w:tc>
        <w:tc>
          <w:tcPr>
            <w:tcW w:w="100" w:type="pct"/>
            <w:vAlign w:val="bottom"/>
          </w:tcPr>
          <w:p w:rsidR="004851D7" w:rsidRDefault="004851D7">
            <w:pPr>
              <w:rPr>
                <w:sz w:val="20"/>
                <w:szCs w:val="20"/>
              </w:rPr>
            </w:pPr>
            <w:r>
              <w:rPr>
                <w:sz w:val="20"/>
                <w:szCs w:val="20"/>
              </w:rPr>
              <w:t> </w:t>
            </w:r>
          </w:p>
        </w:tc>
        <w:tc>
          <w:tcPr>
            <w:tcW w:w="2300" w:type="pct"/>
            <w:vAlign w:val="bottom"/>
          </w:tcPr>
          <w:p w:rsidR="004851D7" w:rsidRDefault="004851D7">
            <w:pPr>
              <w:rPr>
                <w:sz w:val="20"/>
                <w:szCs w:val="20"/>
              </w:rPr>
            </w:pPr>
            <w:r>
              <w:rPr>
                <w:sz w:val="20"/>
                <w:szCs w:val="20"/>
              </w:rPr>
              <w:t> </w:t>
            </w:r>
          </w:p>
        </w:tc>
      </w:tr>
      <w:tr w:rsidR="004851D7">
        <w:trPr>
          <w:tblCellSpacing w:w="0" w:type="dxa"/>
          <w:jc w:val="center"/>
        </w:trPr>
        <w:tc>
          <w:tcPr>
            <w:tcW w:w="0" w:type="auto"/>
          </w:tcPr>
          <w:p w:rsidR="004851D7" w:rsidRDefault="004851D7">
            <w:pPr>
              <w:rPr>
                <w:sz w:val="20"/>
                <w:szCs w:val="20"/>
              </w:rPr>
            </w:pPr>
            <w:r>
              <w:rPr>
                <w:sz w:val="20"/>
                <w:szCs w:val="20"/>
              </w:rPr>
              <w:t xml:space="preserve">Date: </w:t>
            </w:r>
            <w:r w:rsidR="00976DA0">
              <w:rPr>
                <w:sz w:val="20"/>
                <w:szCs w:val="20"/>
              </w:rPr>
              <w:t>March 13, 2012</w:t>
            </w:r>
          </w:p>
        </w:tc>
        <w:tc>
          <w:tcPr>
            <w:tcW w:w="0" w:type="auto"/>
            <w:vAlign w:val="bottom"/>
          </w:tcPr>
          <w:p w:rsidR="004851D7" w:rsidRDefault="004851D7">
            <w:pPr>
              <w:rPr>
                <w:sz w:val="20"/>
                <w:szCs w:val="20"/>
              </w:rPr>
            </w:pPr>
            <w:r>
              <w:rPr>
                <w:sz w:val="20"/>
                <w:szCs w:val="20"/>
              </w:rPr>
              <w:t> </w:t>
            </w:r>
          </w:p>
        </w:tc>
        <w:tc>
          <w:tcPr>
            <w:tcW w:w="0" w:type="auto"/>
          </w:tcPr>
          <w:p w:rsidR="004851D7" w:rsidRDefault="004851D7">
            <w:pPr>
              <w:rPr>
                <w:sz w:val="20"/>
                <w:szCs w:val="20"/>
              </w:rPr>
            </w:pPr>
            <w:r>
              <w:rPr>
                <w:sz w:val="20"/>
                <w:szCs w:val="20"/>
              </w:rPr>
              <w:t xml:space="preserve">By: </w:t>
            </w:r>
          </w:p>
        </w:tc>
        <w:tc>
          <w:tcPr>
            <w:tcW w:w="0" w:type="auto"/>
            <w:vAlign w:val="bottom"/>
          </w:tcPr>
          <w:p w:rsidR="004851D7" w:rsidRDefault="004851D7">
            <w:pPr>
              <w:rPr>
                <w:sz w:val="20"/>
                <w:szCs w:val="20"/>
              </w:rPr>
            </w:pPr>
            <w:r>
              <w:rPr>
                <w:sz w:val="20"/>
                <w:szCs w:val="20"/>
              </w:rPr>
              <w:t> </w:t>
            </w:r>
          </w:p>
        </w:tc>
        <w:tc>
          <w:tcPr>
            <w:tcW w:w="0" w:type="auto"/>
          </w:tcPr>
          <w:p w:rsidR="004851D7" w:rsidRDefault="004851D7" w:rsidP="00223B45">
            <w:pPr>
              <w:rPr>
                <w:sz w:val="20"/>
                <w:szCs w:val="20"/>
              </w:rPr>
            </w:pPr>
            <w:r>
              <w:rPr>
                <w:sz w:val="20"/>
                <w:szCs w:val="20"/>
              </w:rPr>
              <w:t xml:space="preserve">/s/ </w:t>
            </w:r>
            <w:r w:rsidR="00593220">
              <w:rPr>
                <w:sz w:val="20"/>
                <w:szCs w:val="20"/>
              </w:rPr>
              <w:t>Karen T. van Lith</w:t>
            </w:r>
          </w:p>
        </w:tc>
      </w:tr>
      <w:tr w:rsidR="004851D7">
        <w:trPr>
          <w:tblCellSpacing w:w="0" w:type="dxa"/>
          <w:jc w:val="center"/>
        </w:trPr>
        <w:tc>
          <w:tcPr>
            <w:tcW w:w="0" w:type="auto"/>
          </w:tcPr>
          <w:p w:rsidR="004851D7" w:rsidRDefault="004851D7">
            <w:pPr>
              <w:rPr>
                <w:sz w:val="20"/>
                <w:szCs w:val="20"/>
              </w:rPr>
            </w:pPr>
            <w:r>
              <w:rPr>
                <w:sz w:val="20"/>
                <w:szCs w:val="20"/>
              </w:rPr>
              <w:t xml:space="preserve">  </w:t>
            </w:r>
          </w:p>
        </w:tc>
        <w:tc>
          <w:tcPr>
            <w:tcW w:w="0" w:type="auto"/>
            <w:vAlign w:val="bottom"/>
          </w:tcPr>
          <w:p w:rsidR="004851D7" w:rsidRDefault="004851D7">
            <w:pPr>
              <w:rPr>
                <w:sz w:val="20"/>
                <w:szCs w:val="20"/>
              </w:rPr>
            </w:pPr>
            <w:r>
              <w:rPr>
                <w:sz w:val="20"/>
                <w:szCs w:val="20"/>
              </w:rPr>
              <w:t> </w:t>
            </w:r>
          </w:p>
        </w:tc>
        <w:tc>
          <w:tcPr>
            <w:tcW w:w="0" w:type="auto"/>
          </w:tcPr>
          <w:p w:rsidR="004851D7" w:rsidRDefault="004851D7">
            <w:pPr>
              <w:rPr>
                <w:sz w:val="20"/>
                <w:szCs w:val="20"/>
              </w:rPr>
            </w:pPr>
            <w:r>
              <w:rPr>
                <w:sz w:val="20"/>
                <w:szCs w:val="20"/>
              </w:rPr>
              <w:t> </w:t>
            </w:r>
          </w:p>
        </w:tc>
        <w:tc>
          <w:tcPr>
            <w:tcW w:w="0" w:type="auto"/>
            <w:vAlign w:val="bottom"/>
          </w:tcPr>
          <w:p w:rsidR="004851D7" w:rsidRDefault="004851D7">
            <w:pPr>
              <w:rPr>
                <w:sz w:val="20"/>
                <w:szCs w:val="20"/>
              </w:rPr>
            </w:pPr>
            <w:r>
              <w:rPr>
                <w:sz w:val="20"/>
                <w:szCs w:val="20"/>
              </w:rPr>
              <w:t> </w:t>
            </w:r>
          </w:p>
        </w:tc>
        <w:tc>
          <w:tcPr>
            <w:tcW w:w="0" w:type="auto"/>
          </w:tcPr>
          <w:p w:rsidR="00593220" w:rsidRDefault="00593220">
            <w:pPr>
              <w:rPr>
                <w:sz w:val="20"/>
                <w:szCs w:val="20"/>
              </w:rPr>
            </w:pPr>
            <w:r>
              <w:rPr>
                <w:sz w:val="20"/>
                <w:szCs w:val="20"/>
              </w:rPr>
              <w:t>Karen T. van Lith</w:t>
            </w:r>
          </w:p>
          <w:p w:rsidR="004851D7" w:rsidRDefault="004851D7">
            <w:pPr>
              <w:rPr>
                <w:sz w:val="20"/>
                <w:szCs w:val="20"/>
              </w:rPr>
            </w:pPr>
            <w:r>
              <w:rPr>
                <w:sz w:val="20"/>
                <w:szCs w:val="20"/>
              </w:rPr>
              <w:t>Chief Executive Officer</w:t>
            </w:r>
          </w:p>
        </w:tc>
      </w:tr>
    </w:tbl>
    <w:p w:rsidR="004851D7" w:rsidRDefault="004851D7">
      <w:pPr>
        <w:pStyle w:val="NormalWeb"/>
        <w:jc w:val="center"/>
        <w:rPr>
          <w:sz w:val="20"/>
          <w:szCs w:val="20"/>
        </w:rPr>
      </w:pPr>
      <w:r>
        <w:rPr>
          <w:sz w:val="20"/>
          <w:szCs w:val="20"/>
        </w:rPr>
        <w:t xml:space="preserve">  </w:t>
      </w:r>
    </w:p>
    <w:p w:rsidR="004851D7" w:rsidRDefault="004851D7">
      <w:pPr>
        <w:jc w:val="right"/>
        <w:rPr>
          <w:b/>
          <w:bCs/>
          <w:sz w:val="20"/>
          <w:szCs w:val="20"/>
        </w:rPr>
      </w:pPr>
      <w:r>
        <w:rPr>
          <w:color w:val="000000"/>
          <w:sz w:val="18"/>
        </w:rPr>
        <w:br w:type="page"/>
      </w:r>
      <w:r>
        <w:rPr>
          <w:b/>
          <w:bCs/>
          <w:sz w:val="20"/>
          <w:szCs w:val="20"/>
        </w:rPr>
        <w:lastRenderedPageBreak/>
        <w:t xml:space="preserve"> </w:t>
      </w:r>
    </w:p>
    <w:p w:rsidR="004851D7" w:rsidRDefault="004851D7">
      <w:pPr>
        <w:jc w:val="right"/>
        <w:rPr>
          <w:sz w:val="20"/>
          <w:szCs w:val="20"/>
        </w:rPr>
      </w:pPr>
      <w:r>
        <w:rPr>
          <w:b/>
          <w:bCs/>
          <w:sz w:val="20"/>
          <w:szCs w:val="20"/>
        </w:rPr>
        <w:t>EXHIBIT 31.2</w:t>
      </w:r>
      <w:r>
        <w:rPr>
          <w:sz w:val="20"/>
          <w:szCs w:val="20"/>
        </w:rPr>
        <w:t xml:space="preserve"> </w:t>
      </w:r>
    </w:p>
    <w:p w:rsidR="004851D7" w:rsidRDefault="004851D7">
      <w:pPr>
        <w:jc w:val="center"/>
        <w:rPr>
          <w:b/>
          <w:bCs/>
          <w:sz w:val="20"/>
          <w:szCs w:val="20"/>
        </w:rPr>
      </w:pPr>
    </w:p>
    <w:p w:rsidR="004851D7" w:rsidRDefault="004851D7">
      <w:pPr>
        <w:jc w:val="center"/>
        <w:rPr>
          <w:sz w:val="20"/>
          <w:szCs w:val="20"/>
        </w:rPr>
      </w:pPr>
      <w:r>
        <w:rPr>
          <w:b/>
          <w:bCs/>
          <w:sz w:val="20"/>
          <w:szCs w:val="20"/>
        </w:rPr>
        <w:t>Certification Pursuant to Section 302 of the Sarbanes-Oxley Act of 2002</w:t>
      </w:r>
      <w:r>
        <w:rPr>
          <w:sz w:val="20"/>
          <w:szCs w:val="20"/>
        </w:rPr>
        <w:t xml:space="preserve"> </w:t>
      </w:r>
    </w:p>
    <w:p w:rsidR="004851D7" w:rsidRDefault="004851D7">
      <w:pPr>
        <w:jc w:val="center"/>
        <w:rPr>
          <w:sz w:val="20"/>
          <w:szCs w:val="20"/>
        </w:rPr>
      </w:pPr>
    </w:p>
    <w:p w:rsidR="004851D7" w:rsidRDefault="004851D7">
      <w:pPr>
        <w:rPr>
          <w:sz w:val="20"/>
          <w:szCs w:val="20"/>
        </w:rPr>
      </w:pPr>
      <w:r>
        <w:rPr>
          <w:sz w:val="20"/>
          <w:szCs w:val="20"/>
        </w:rPr>
        <w:t xml:space="preserve">     I, Karen L. VanDerBosch, certify that: </w:t>
      </w:r>
    </w:p>
    <w:p w:rsidR="004851D7" w:rsidRDefault="004851D7">
      <w:pPr>
        <w:rPr>
          <w:sz w:val="20"/>
          <w:szCs w:val="20"/>
        </w:rPr>
      </w:pPr>
    </w:p>
    <w:p w:rsidR="004851D7" w:rsidRDefault="004851D7">
      <w:pPr>
        <w:spacing w:before="120" w:after="120"/>
        <w:rPr>
          <w:sz w:val="20"/>
          <w:szCs w:val="20"/>
        </w:rPr>
      </w:pPr>
      <w:r>
        <w:rPr>
          <w:sz w:val="20"/>
          <w:szCs w:val="20"/>
        </w:rPr>
        <w:t xml:space="preserve">     1. I have reviewed this Form 10-K of MakeMusic, Inc.; </w:t>
      </w:r>
    </w:p>
    <w:p w:rsidR="004851D7" w:rsidRDefault="004851D7">
      <w:pPr>
        <w:spacing w:before="120" w:after="120"/>
        <w:rPr>
          <w:sz w:val="20"/>
          <w:szCs w:val="20"/>
        </w:rPr>
      </w:pPr>
      <w:r>
        <w:rPr>
          <w:sz w:val="20"/>
          <w:szCs w:val="20"/>
        </w:rPr>
        <w:t xml:space="preserve">     2. 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 </w:t>
      </w:r>
    </w:p>
    <w:p w:rsidR="004851D7" w:rsidRDefault="004851D7">
      <w:pPr>
        <w:spacing w:before="120" w:after="120"/>
        <w:rPr>
          <w:sz w:val="20"/>
          <w:szCs w:val="20"/>
        </w:rPr>
      </w:pPr>
      <w:r>
        <w:rPr>
          <w:sz w:val="20"/>
          <w:szCs w:val="20"/>
        </w:rPr>
        <w:t>     3. Based on my knowledge, the financial statements, and other financial information included in this report, fairly present in all material respects the financial condition, results of operation</w:t>
      </w:r>
      <w:r w:rsidR="00FC1982">
        <w:rPr>
          <w:sz w:val="20"/>
          <w:szCs w:val="20"/>
        </w:rPr>
        <w:t>s</w:t>
      </w:r>
      <w:r>
        <w:rPr>
          <w:sz w:val="20"/>
          <w:szCs w:val="20"/>
        </w:rPr>
        <w:t xml:space="preserve">, and cash flows of the registrant as of, and for, the periods presented in this report; </w:t>
      </w:r>
    </w:p>
    <w:p w:rsidR="004851D7" w:rsidRDefault="004851D7">
      <w:pPr>
        <w:spacing w:before="120" w:after="120"/>
        <w:rPr>
          <w:sz w:val="20"/>
          <w:szCs w:val="20"/>
        </w:rPr>
      </w:pPr>
      <w:r>
        <w:rPr>
          <w:sz w:val="20"/>
          <w:szCs w:val="20"/>
        </w:rPr>
        <w:t xml:space="preserve">     4. The registrant’s other certifying officer and I are responsible for establishing and maintaining disclosure controls and procedures (as defined in Exchange Act Rules 13a-15(e) and 15d-15(e)) </w:t>
      </w:r>
      <w:r>
        <w:rPr>
          <w:color w:val="000000"/>
          <w:sz w:val="20"/>
          <w:szCs w:val="20"/>
        </w:rPr>
        <w:t>and internal control over financial reporting (as defined in Exchange Act Rules 13a-15(f) and 15d-15(f))</w:t>
      </w:r>
      <w:r>
        <w:rPr>
          <w:sz w:val="20"/>
          <w:szCs w:val="20"/>
        </w:rPr>
        <w:t xml:space="preserve"> for the registrant and have: </w:t>
      </w:r>
    </w:p>
    <w:p w:rsidR="004851D7" w:rsidRDefault="004851D7">
      <w:pPr>
        <w:spacing w:before="120" w:after="120"/>
        <w:rPr>
          <w:sz w:val="20"/>
          <w:szCs w:val="20"/>
        </w:rPr>
      </w:pPr>
      <w:r>
        <w:rPr>
          <w:sz w:val="20"/>
          <w:szCs w:val="20"/>
        </w:rPr>
        <w:t>     a) Designed such disclosure controls and procedures, or caused such disclosure controls and procedures to be designed under our supervision, to ensure that material information relating to the registrant</w:t>
      </w:r>
      <w:r w:rsidR="00FC1982">
        <w:rPr>
          <w:sz w:val="20"/>
          <w:szCs w:val="20"/>
        </w:rPr>
        <w:t>, including its consolidated subsidiaries,</w:t>
      </w:r>
      <w:r>
        <w:rPr>
          <w:sz w:val="20"/>
          <w:szCs w:val="20"/>
        </w:rPr>
        <w:t xml:space="preserve"> is made known to us by others within those entities, particularly during the period in which this report is being prepared; </w:t>
      </w:r>
    </w:p>
    <w:p w:rsidR="004851D7" w:rsidRDefault="004851D7">
      <w:pPr>
        <w:spacing w:before="120" w:after="120"/>
        <w:rPr>
          <w:sz w:val="20"/>
          <w:szCs w:val="20"/>
        </w:rPr>
      </w:pPr>
      <w:r>
        <w:rPr>
          <w:sz w:val="20"/>
          <w:szCs w:val="20"/>
        </w:rPr>
        <w:t>     b) 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p w:rsidR="004851D7" w:rsidRDefault="004851D7">
      <w:pPr>
        <w:spacing w:before="120" w:after="120"/>
        <w:rPr>
          <w:sz w:val="20"/>
          <w:szCs w:val="20"/>
        </w:rPr>
      </w:pPr>
      <w:r>
        <w:rPr>
          <w:sz w:val="20"/>
          <w:szCs w:val="20"/>
        </w:rPr>
        <w:t xml:space="preserve">    c) Evaluated the effectiveness of the registrant’s disclosure controls and procedures and presented in this report our conclusions about the effectiveness of the disclosure controls and procedures, as of the end of the period covered by this report based on such evaluation; and </w:t>
      </w:r>
    </w:p>
    <w:p w:rsidR="004851D7" w:rsidRDefault="004851D7">
      <w:pPr>
        <w:spacing w:before="120" w:after="120"/>
        <w:rPr>
          <w:sz w:val="20"/>
          <w:szCs w:val="20"/>
        </w:rPr>
      </w:pPr>
      <w:r>
        <w:rPr>
          <w:sz w:val="20"/>
          <w:szCs w:val="20"/>
        </w:rPr>
        <w:t xml:space="preserve">     d) 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 </w:t>
      </w:r>
    </w:p>
    <w:p w:rsidR="004851D7" w:rsidRDefault="004851D7">
      <w:pPr>
        <w:spacing w:before="120" w:after="120"/>
        <w:rPr>
          <w:sz w:val="20"/>
          <w:szCs w:val="20"/>
        </w:rPr>
      </w:pPr>
      <w:r>
        <w:rPr>
          <w:sz w:val="20"/>
          <w:szCs w:val="20"/>
        </w:rPr>
        <w:t xml:space="preserve">     5. The registrant’s other certifying officer and I have disclosed, based on our most recent evaluation of internal control over financial reporting, to the registrant’s auditors and the audit committee of registrant’s Board of Directors (or persons performing the equivalent functions): </w:t>
      </w:r>
    </w:p>
    <w:p w:rsidR="004851D7" w:rsidRDefault="004851D7">
      <w:pPr>
        <w:spacing w:before="120" w:after="120"/>
        <w:rPr>
          <w:sz w:val="20"/>
          <w:szCs w:val="20"/>
        </w:rPr>
      </w:pPr>
      <w:r>
        <w:rPr>
          <w:sz w:val="20"/>
          <w:szCs w:val="20"/>
        </w:rPr>
        <w:t xml:space="preserve">     a) All significant deficiencies and material weaknesses in the design or operation of internal control over financial reporting which are reasonably likely to adversely affect the registrant’s ability to record, process, summarize, and report financial information; and </w:t>
      </w:r>
    </w:p>
    <w:p w:rsidR="004851D7" w:rsidRDefault="004851D7">
      <w:pPr>
        <w:spacing w:before="120" w:after="120"/>
        <w:rPr>
          <w:sz w:val="20"/>
          <w:szCs w:val="20"/>
        </w:rPr>
      </w:pPr>
      <w:r>
        <w:rPr>
          <w:sz w:val="20"/>
          <w:szCs w:val="20"/>
        </w:rPr>
        <w:t xml:space="preserve">     b) Any fraud, whether or not material, that involves management or other employees who have a significant role in the registrant’s internal control over financial reporting. </w:t>
      </w:r>
    </w:p>
    <w:p w:rsidR="004851D7" w:rsidRDefault="004851D7">
      <w:pPr>
        <w:spacing w:before="120" w:after="120"/>
        <w:rPr>
          <w:sz w:val="20"/>
          <w:szCs w:val="20"/>
        </w:rPr>
      </w:pPr>
    </w:p>
    <w:tbl>
      <w:tblPr>
        <w:tblW w:w="5000" w:type="pct"/>
        <w:jc w:val="center"/>
        <w:tblCellSpacing w:w="0" w:type="dxa"/>
        <w:tblCellMar>
          <w:left w:w="0" w:type="dxa"/>
          <w:right w:w="0" w:type="dxa"/>
        </w:tblCellMar>
        <w:tblLook w:val="0000" w:firstRow="0" w:lastRow="0" w:firstColumn="0" w:lastColumn="0" w:noHBand="0" w:noVBand="0"/>
      </w:tblPr>
      <w:tblGrid>
        <w:gridCol w:w="4118"/>
        <w:gridCol w:w="144"/>
        <w:gridCol w:w="289"/>
        <w:gridCol w:w="144"/>
        <w:gridCol w:w="3945"/>
      </w:tblGrid>
      <w:tr w:rsidR="004851D7">
        <w:trPr>
          <w:tblCellSpacing w:w="0" w:type="dxa"/>
          <w:jc w:val="center"/>
        </w:trPr>
        <w:tc>
          <w:tcPr>
            <w:tcW w:w="2400" w:type="pct"/>
            <w:vAlign w:val="bottom"/>
          </w:tcPr>
          <w:p w:rsidR="004851D7" w:rsidRDefault="004851D7">
            <w:pPr>
              <w:rPr>
                <w:sz w:val="20"/>
                <w:szCs w:val="20"/>
              </w:rPr>
            </w:pPr>
            <w:r>
              <w:rPr>
                <w:sz w:val="20"/>
                <w:szCs w:val="20"/>
              </w:rPr>
              <w:t> </w:t>
            </w:r>
          </w:p>
        </w:tc>
        <w:tc>
          <w:tcPr>
            <w:tcW w:w="100" w:type="pct"/>
            <w:vAlign w:val="bottom"/>
          </w:tcPr>
          <w:p w:rsidR="004851D7" w:rsidRDefault="004851D7">
            <w:pPr>
              <w:rPr>
                <w:sz w:val="20"/>
                <w:szCs w:val="20"/>
              </w:rPr>
            </w:pPr>
            <w:r>
              <w:rPr>
                <w:sz w:val="20"/>
                <w:szCs w:val="20"/>
              </w:rPr>
              <w:t> </w:t>
            </w:r>
          </w:p>
        </w:tc>
        <w:tc>
          <w:tcPr>
            <w:tcW w:w="100" w:type="pct"/>
            <w:vAlign w:val="bottom"/>
          </w:tcPr>
          <w:p w:rsidR="004851D7" w:rsidRDefault="004851D7">
            <w:pPr>
              <w:rPr>
                <w:sz w:val="20"/>
                <w:szCs w:val="20"/>
              </w:rPr>
            </w:pPr>
            <w:r>
              <w:rPr>
                <w:sz w:val="20"/>
                <w:szCs w:val="20"/>
              </w:rPr>
              <w:t> </w:t>
            </w:r>
          </w:p>
        </w:tc>
        <w:tc>
          <w:tcPr>
            <w:tcW w:w="100" w:type="pct"/>
            <w:vAlign w:val="bottom"/>
          </w:tcPr>
          <w:p w:rsidR="004851D7" w:rsidRDefault="004851D7">
            <w:pPr>
              <w:rPr>
                <w:sz w:val="20"/>
                <w:szCs w:val="20"/>
              </w:rPr>
            </w:pPr>
            <w:r>
              <w:rPr>
                <w:sz w:val="20"/>
                <w:szCs w:val="20"/>
              </w:rPr>
              <w:t> </w:t>
            </w:r>
          </w:p>
        </w:tc>
        <w:tc>
          <w:tcPr>
            <w:tcW w:w="2300" w:type="pct"/>
            <w:vAlign w:val="bottom"/>
          </w:tcPr>
          <w:p w:rsidR="004851D7" w:rsidRDefault="004851D7">
            <w:pPr>
              <w:rPr>
                <w:sz w:val="20"/>
                <w:szCs w:val="20"/>
              </w:rPr>
            </w:pPr>
            <w:r>
              <w:rPr>
                <w:sz w:val="20"/>
                <w:szCs w:val="20"/>
              </w:rPr>
              <w:t> </w:t>
            </w:r>
          </w:p>
        </w:tc>
      </w:tr>
      <w:tr w:rsidR="004851D7">
        <w:trPr>
          <w:tblCellSpacing w:w="0" w:type="dxa"/>
          <w:jc w:val="center"/>
        </w:trPr>
        <w:tc>
          <w:tcPr>
            <w:tcW w:w="0" w:type="auto"/>
          </w:tcPr>
          <w:p w:rsidR="004851D7" w:rsidRDefault="004851D7">
            <w:pPr>
              <w:rPr>
                <w:sz w:val="20"/>
                <w:szCs w:val="20"/>
              </w:rPr>
            </w:pPr>
            <w:r>
              <w:rPr>
                <w:sz w:val="20"/>
                <w:szCs w:val="20"/>
              </w:rPr>
              <w:t xml:space="preserve">Date: </w:t>
            </w:r>
            <w:r w:rsidR="00976DA0">
              <w:rPr>
                <w:sz w:val="20"/>
                <w:szCs w:val="20"/>
              </w:rPr>
              <w:t>March 13, 2012</w:t>
            </w:r>
          </w:p>
        </w:tc>
        <w:tc>
          <w:tcPr>
            <w:tcW w:w="0" w:type="auto"/>
            <w:vAlign w:val="bottom"/>
          </w:tcPr>
          <w:p w:rsidR="004851D7" w:rsidRDefault="004851D7">
            <w:pPr>
              <w:rPr>
                <w:sz w:val="20"/>
                <w:szCs w:val="20"/>
              </w:rPr>
            </w:pPr>
            <w:r>
              <w:rPr>
                <w:sz w:val="20"/>
                <w:szCs w:val="20"/>
              </w:rPr>
              <w:t> </w:t>
            </w:r>
          </w:p>
        </w:tc>
        <w:tc>
          <w:tcPr>
            <w:tcW w:w="0" w:type="auto"/>
          </w:tcPr>
          <w:p w:rsidR="004851D7" w:rsidRDefault="004851D7">
            <w:pPr>
              <w:rPr>
                <w:sz w:val="20"/>
                <w:szCs w:val="20"/>
              </w:rPr>
            </w:pPr>
            <w:r>
              <w:rPr>
                <w:sz w:val="20"/>
                <w:szCs w:val="20"/>
              </w:rPr>
              <w:t xml:space="preserve">By: </w:t>
            </w:r>
          </w:p>
        </w:tc>
        <w:tc>
          <w:tcPr>
            <w:tcW w:w="0" w:type="auto"/>
            <w:vAlign w:val="bottom"/>
          </w:tcPr>
          <w:p w:rsidR="004851D7" w:rsidRDefault="004851D7">
            <w:pPr>
              <w:rPr>
                <w:sz w:val="20"/>
                <w:szCs w:val="20"/>
              </w:rPr>
            </w:pPr>
            <w:r>
              <w:rPr>
                <w:sz w:val="20"/>
                <w:szCs w:val="20"/>
              </w:rPr>
              <w:t> </w:t>
            </w:r>
          </w:p>
        </w:tc>
        <w:tc>
          <w:tcPr>
            <w:tcW w:w="0" w:type="auto"/>
          </w:tcPr>
          <w:p w:rsidR="004851D7" w:rsidRDefault="004851D7">
            <w:pPr>
              <w:rPr>
                <w:sz w:val="20"/>
                <w:szCs w:val="20"/>
              </w:rPr>
            </w:pPr>
            <w:r>
              <w:rPr>
                <w:sz w:val="20"/>
                <w:szCs w:val="20"/>
              </w:rPr>
              <w:t>/s/ Karen L. VanDerBosch</w:t>
            </w:r>
          </w:p>
        </w:tc>
      </w:tr>
      <w:tr w:rsidR="004851D7">
        <w:trPr>
          <w:tblCellSpacing w:w="0" w:type="dxa"/>
          <w:jc w:val="center"/>
        </w:trPr>
        <w:tc>
          <w:tcPr>
            <w:tcW w:w="0" w:type="auto"/>
          </w:tcPr>
          <w:p w:rsidR="004851D7" w:rsidRDefault="004851D7">
            <w:pPr>
              <w:rPr>
                <w:sz w:val="20"/>
                <w:szCs w:val="20"/>
              </w:rPr>
            </w:pPr>
            <w:r>
              <w:rPr>
                <w:sz w:val="20"/>
                <w:szCs w:val="20"/>
              </w:rPr>
              <w:t xml:space="preserve">  </w:t>
            </w:r>
          </w:p>
        </w:tc>
        <w:tc>
          <w:tcPr>
            <w:tcW w:w="0" w:type="auto"/>
            <w:vAlign w:val="bottom"/>
          </w:tcPr>
          <w:p w:rsidR="004851D7" w:rsidRDefault="004851D7">
            <w:pPr>
              <w:rPr>
                <w:sz w:val="20"/>
                <w:szCs w:val="20"/>
              </w:rPr>
            </w:pPr>
            <w:r>
              <w:rPr>
                <w:sz w:val="20"/>
                <w:szCs w:val="20"/>
              </w:rPr>
              <w:t> </w:t>
            </w:r>
          </w:p>
        </w:tc>
        <w:tc>
          <w:tcPr>
            <w:tcW w:w="0" w:type="auto"/>
          </w:tcPr>
          <w:p w:rsidR="004851D7" w:rsidRDefault="004851D7">
            <w:pPr>
              <w:rPr>
                <w:sz w:val="20"/>
                <w:szCs w:val="20"/>
              </w:rPr>
            </w:pPr>
            <w:r>
              <w:rPr>
                <w:sz w:val="20"/>
                <w:szCs w:val="20"/>
              </w:rPr>
              <w:t> </w:t>
            </w:r>
          </w:p>
        </w:tc>
        <w:tc>
          <w:tcPr>
            <w:tcW w:w="0" w:type="auto"/>
            <w:vAlign w:val="bottom"/>
          </w:tcPr>
          <w:p w:rsidR="004851D7" w:rsidRDefault="004851D7">
            <w:pPr>
              <w:rPr>
                <w:sz w:val="20"/>
                <w:szCs w:val="20"/>
              </w:rPr>
            </w:pPr>
            <w:r>
              <w:rPr>
                <w:sz w:val="20"/>
                <w:szCs w:val="20"/>
              </w:rPr>
              <w:t> </w:t>
            </w:r>
          </w:p>
        </w:tc>
        <w:tc>
          <w:tcPr>
            <w:tcW w:w="0" w:type="auto"/>
          </w:tcPr>
          <w:p w:rsidR="00C7629C" w:rsidRDefault="00C7629C">
            <w:pPr>
              <w:rPr>
                <w:sz w:val="20"/>
                <w:szCs w:val="20"/>
              </w:rPr>
            </w:pPr>
            <w:r>
              <w:rPr>
                <w:sz w:val="20"/>
                <w:szCs w:val="20"/>
              </w:rPr>
              <w:t>Karen L. VanDerBosch</w:t>
            </w:r>
          </w:p>
          <w:p w:rsidR="004851D7" w:rsidRDefault="004851D7">
            <w:pPr>
              <w:rPr>
                <w:sz w:val="20"/>
                <w:szCs w:val="20"/>
              </w:rPr>
            </w:pPr>
            <w:r>
              <w:rPr>
                <w:sz w:val="20"/>
                <w:szCs w:val="20"/>
              </w:rPr>
              <w:t>Chief Financial Officer</w:t>
            </w:r>
          </w:p>
        </w:tc>
      </w:tr>
    </w:tbl>
    <w:p w:rsidR="004851D7" w:rsidRDefault="004851D7">
      <w:pPr>
        <w:pStyle w:val="NormalWeb"/>
        <w:jc w:val="center"/>
        <w:rPr>
          <w:sz w:val="20"/>
          <w:szCs w:val="20"/>
        </w:rPr>
      </w:pPr>
      <w:r>
        <w:rPr>
          <w:sz w:val="20"/>
          <w:szCs w:val="20"/>
        </w:rPr>
        <w:t xml:space="preserve">  </w:t>
      </w:r>
    </w:p>
    <w:p w:rsidR="004851D7" w:rsidRDefault="004851D7">
      <w:pPr>
        <w:rPr>
          <w:color w:val="000000"/>
          <w:sz w:val="18"/>
        </w:rPr>
        <w:sectPr w:rsidR="004851D7" w:rsidSect="00557197">
          <w:pgSz w:w="12240" w:h="15840" w:code="1"/>
          <w:pgMar w:top="1440" w:right="1800" w:bottom="1440" w:left="1800" w:header="720" w:footer="720" w:gutter="0"/>
          <w:cols w:space="720"/>
          <w:docGrid w:linePitch="360"/>
        </w:sectPr>
      </w:pPr>
    </w:p>
    <w:p w:rsidR="004851D7" w:rsidRDefault="004851D7">
      <w:pPr>
        <w:jc w:val="right"/>
        <w:rPr>
          <w:sz w:val="20"/>
          <w:szCs w:val="20"/>
        </w:rPr>
      </w:pPr>
      <w:r>
        <w:rPr>
          <w:b/>
          <w:bCs/>
          <w:sz w:val="20"/>
          <w:szCs w:val="20"/>
        </w:rPr>
        <w:lastRenderedPageBreak/>
        <w:t>EXHIBIT 32.1</w:t>
      </w:r>
      <w:r>
        <w:rPr>
          <w:sz w:val="20"/>
          <w:szCs w:val="20"/>
        </w:rPr>
        <w:t xml:space="preserve"> </w:t>
      </w:r>
    </w:p>
    <w:p w:rsidR="004851D7" w:rsidRDefault="004851D7">
      <w:pPr>
        <w:jc w:val="center"/>
        <w:rPr>
          <w:sz w:val="20"/>
          <w:szCs w:val="20"/>
        </w:rPr>
      </w:pPr>
      <w:r>
        <w:rPr>
          <w:sz w:val="20"/>
          <w:szCs w:val="20"/>
        </w:rPr>
        <w:t>CERTIFICATION PURSUANT TO</w:t>
      </w:r>
      <w:r>
        <w:rPr>
          <w:sz w:val="20"/>
          <w:szCs w:val="20"/>
        </w:rPr>
        <w:br/>
        <w:t>18 U.S.C. SECTION 1350,</w:t>
      </w:r>
      <w:r>
        <w:rPr>
          <w:sz w:val="20"/>
          <w:szCs w:val="20"/>
        </w:rPr>
        <w:br/>
        <w:t>AS ADOPTED PURSUANT TO</w:t>
      </w:r>
      <w:r>
        <w:rPr>
          <w:sz w:val="20"/>
          <w:szCs w:val="20"/>
        </w:rPr>
        <w:br/>
        <w:t xml:space="preserve">SECTION 906 OF THE SARBANES-OXLEY ACT OF 2002 </w:t>
      </w:r>
    </w:p>
    <w:p w:rsidR="004851D7" w:rsidRDefault="004851D7">
      <w:pPr>
        <w:jc w:val="center"/>
        <w:rPr>
          <w:sz w:val="20"/>
          <w:szCs w:val="20"/>
        </w:rPr>
      </w:pPr>
    </w:p>
    <w:p w:rsidR="004851D7" w:rsidRDefault="004851D7">
      <w:pPr>
        <w:rPr>
          <w:sz w:val="20"/>
          <w:szCs w:val="20"/>
        </w:rPr>
      </w:pPr>
      <w:r>
        <w:rPr>
          <w:sz w:val="20"/>
          <w:szCs w:val="20"/>
        </w:rPr>
        <w:t>     In connection with the Annual Report of MakeMusic, Inc. (the “Company”) on Form 10-K for the year ended December 31, 201</w:t>
      </w:r>
      <w:r w:rsidR="00593220">
        <w:rPr>
          <w:sz w:val="20"/>
          <w:szCs w:val="20"/>
        </w:rPr>
        <w:t>1</w:t>
      </w:r>
      <w:r>
        <w:rPr>
          <w:sz w:val="20"/>
          <w:szCs w:val="20"/>
        </w:rPr>
        <w:t xml:space="preserve">, as filed with the Securities and Exchange Commission (the “Report”), I, </w:t>
      </w:r>
      <w:r w:rsidR="00593220">
        <w:rPr>
          <w:sz w:val="20"/>
          <w:szCs w:val="20"/>
        </w:rPr>
        <w:t>Karen T. van Lith</w:t>
      </w:r>
      <w:r>
        <w:rPr>
          <w:sz w:val="20"/>
          <w:szCs w:val="20"/>
        </w:rPr>
        <w:t xml:space="preserve">, Chief Executive Officer of the Company, certify, pursuant to 18 U.S.C. §1350, as adopted pursuant to §906 of the Sarbanes-Oxley Act of 2002, that: </w:t>
      </w:r>
    </w:p>
    <w:p w:rsidR="004851D7" w:rsidRDefault="004851D7">
      <w:pPr>
        <w:rPr>
          <w:sz w:val="20"/>
          <w:szCs w:val="20"/>
        </w:rPr>
      </w:pPr>
    </w:p>
    <w:p w:rsidR="004851D7" w:rsidRDefault="004851D7">
      <w:pPr>
        <w:rPr>
          <w:sz w:val="20"/>
          <w:szCs w:val="20"/>
        </w:rPr>
      </w:pPr>
      <w:r>
        <w:rPr>
          <w:sz w:val="20"/>
          <w:szCs w:val="20"/>
        </w:rPr>
        <w:t xml:space="preserve">     (1) The Report fully complies with the requirements of Section 13(a) or 15(d) of the Securities Exchange Act of 1934; and </w:t>
      </w:r>
    </w:p>
    <w:p w:rsidR="004851D7" w:rsidRDefault="004851D7">
      <w:pPr>
        <w:rPr>
          <w:sz w:val="20"/>
          <w:szCs w:val="20"/>
        </w:rPr>
      </w:pPr>
    </w:p>
    <w:p w:rsidR="004851D7" w:rsidRDefault="004851D7">
      <w:pPr>
        <w:rPr>
          <w:sz w:val="20"/>
          <w:szCs w:val="20"/>
        </w:rPr>
      </w:pPr>
      <w:r>
        <w:rPr>
          <w:sz w:val="20"/>
          <w:szCs w:val="20"/>
        </w:rPr>
        <w:t xml:space="preserve">     (2) The information contained in the Report fairly presents, in all material respects, the financial condition and results of operations of the Company. </w:t>
      </w:r>
    </w:p>
    <w:p w:rsidR="004851D7" w:rsidRDefault="004851D7">
      <w:pPr>
        <w:rPr>
          <w:sz w:val="20"/>
          <w:szCs w:val="20"/>
        </w:rPr>
      </w:pPr>
    </w:p>
    <w:p w:rsidR="004851D7" w:rsidRDefault="004851D7">
      <w:pPr>
        <w:rPr>
          <w:sz w:val="20"/>
          <w:szCs w:val="20"/>
        </w:rPr>
      </w:pPr>
      <w:r>
        <w:rPr>
          <w:sz w:val="20"/>
          <w:szCs w:val="20"/>
        </w:rPr>
        <w:t xml:space="preserve">     Dated:  </w:t>
      </w:r>
      <w:r w:rsidR="00976DA0">
        <w:rPr>
          <w:sz w:val="20"/>
          <w:szCs w:val="20"/>
        </w:rPr>
        <w:t>March 13, 2012</w:t>
      </w:r>
    </w:p>
    <w:p w:rsidR="004851D7" w:rsidRDefault="004851D7">
      <w:pPr>
        <w:rPr>
          <w:sz w:val="20"/>
          <w:szCs w:val="20"/>
        </w:rPr>
      </w:pPr>
    </w:p>
    <w:p w:rsidR="004851D7" w:rsidRDefault="004851D7">
      <w:pPr>
        <w:rPr>
          <w:sz w:val="20"/>
          <w:szCs w:val="20"/>
        </w:rPr>
      </w:pPr>
    </w:p>
    <w:p w:rsidR="004851D7" w:rsidRDefault="004851D7">
      <w:pPr>
        <w:rPr>
          <w:sz w:val="20"/>
          <w:szCs w:val="20"/>
          <w:u w:val="single"/>
        </w:rPr>
      </w:pPr>
      <w:r>
        <w:rPr>
          <w:sz w:val="20"/>
          <w:szCs w:val="20"/>
          <w:u w:val="single"/>
        </w:rPr>
        <w:t xml:space="preserve">/s/ </w:t>
      </w:r>
      <w:r w:rsidR="00593220">
        <w:rPr>
          <w:sz w:val="20"/>
          <w:szCs w:val="20"/>
          <w:u w:val="single"/>
        </w:rPr>
        <w:t>Karen T. van Lith</w:t>
      </w:r>
      <w:r>
        <w:rPr>
          <w:sz w:val="20"/>
          <w:szCs w:val="20"/>
          <w:u w:val="single"/>
        </w:rPr>
        <w:tab/>
      </w:r>
      <w:r>
        <w:rPr>
          <w:sz w:val="20"/>
          <w:szCs w:val="20"/>
          <w:u w:val="single"/>
        </w:rPr>
        <w:tab/>
      </w:r>
    </w:p>
    <w:p w:rsidR="004851D7" w:rsidRDefault="00593220">
      <w:pPr>
        <w:rPr>
          <w:sz w:val="20"/>
          <w:szCs w:val="20"/>
        </w:rPr>
      </w:pPr>
      <w:r>
        <w:rPr>
          <w:sz w:val="20"/>
          <w:szCs w:val="20"/>
        </w:rPr>
        <w:t>Karen T. van Lith</w:t>
      </w:r>
      <w:r w:rsidR="004851D7">
        <w:rPr>
          <w:sz w:val="20"/>
          <w:szCs w:val="20"/>
        </w:rPr>
        <w:br/>
        <w:t xml:space="preserve">Chief Executive Officer </w:t>
      </w:r>
    </w:p>
    <w:p w:rsidR="004851D7" w:rsidRDefault="004851D7">
      <w:pPr>
        <w:pStyle w:val="NormalWeb"/>
        <w:jc w:val="center"/>
        <w:rPr>
          <w:sz w:val="20"/>
          <w:szCs w:val="20"/>
        </w:rPr>
      </w:pPr>
      <w:r>
        <w:rPr>
          <w:sz w:val="20"/>
          <w:szCs w:val="20"/>
        </w:rPr>
        <w:t xml:space="preserve">  </w:t>
      </w:r>
    </w:p>
    <w:p w:rsidR="004851D7" w:rsidRDefault="004851D7">
      <w:pPr>
        <w:tabs>
          <w:tab w:val="left" w:pos="2880"/>
        </w:tabs>
        <w:jc w:val="right"/>
        <w:rPr>
          <w:sz w:val="20"/>
          <w:szCs w:val="20"/>
        </w:rPr>
      </w:pPr>
      <w:r>
        <w:rPr>
          <w:color w:val="000000"/>
          <w:sz w:val="18"/>
        </w:rPr>
        <w:br w:type="page"/>
      </w:r>
      <w:r>
        <w:rPr>
          <w:b/>
          <w:bCs/>
          <w:sz w:val="20"/>
          <w:szCs w:val="20"/>
        </w:rPr>
        <w:lastRenderedPageBreak/>
        <w:t>EXHIBIT 32.2</w:t>
      </w:r>
      <w:r>
        <w:rPr>
          <w:sz w:val="20"/>
          <w:szCs w:val="20"/>
        </w:rPr>
        <w:t xml:space="preserve"> </w:t>
      </w:r>
    </w:p>
    <w:p w:rsidR="004851D7" w:rsidRDefault="004851D7">
      <w:pPr>
        <w:jc w:val="center"/>
        <w:rPr>
          <w:sz w:val="20"/>
          <w:szCs w:val="20"/>
        </w:rPr>
      </w:pPr>
      <w:r>
        <w:rPr>
          <w:sz w:val="20"/>
          <w:szCs w:val="20"/>
        </w:rPr>
        <w:t>CERTIFICATION PURSUANT TO</w:t>
      </w:r>
      <w:r>
        <w:rPr>
          <w:sz w:val="20"/>
          <w:szCs w:val="20"/>
        </w:rPr>
        <w:br/>
        <w:t>18 U.S.C. SECTION 1350,</w:t>
      </w:r>
      <w:r>
        <w:rPr>
          <w:sz w:val="20"/>
          <w:szCs w:val="20"/>
        </w:rPr>
        <w:br/>
        <w:t>AS ADOPTED PURSUANT TO</w:t>
      </w:r>
      <w:r>
        <w:rPr>
          <w:sz w:val="20"/>
          <w:szCs w:val="20"/>
        </w:rPr>
        <w:br/>
        <w:t xml:space="preserve">SECTION 906 OF THE SARBANES-OXLEY ACT OF 2002 </w:t>
      </w:r>
    </w:p>
    <w:p w:rsidR="004851D7" w:rsidRDefault="004851D7">
      <w:pPr>
        <w:jc w:val="center"/>
        <w:rPr>
          <w:sz w:val="20"/>
          <w:szCs w:val="20"/>
        </w:rPr>
      </w:pPr>
    </w:p>
    <w:p w:rsidR="004851D7" w:rsidRDefault="004851D7">
      <w:pPr>
        <w:rPr>
          <w:sz w:val="20"/>
          <w:szCs w:val="20"/>
        </w:rPr>
      </w:pPr>
      <w:r>
        <w:rPr>
          <w:sz w:val="20"/>
          <w:szCs w:val="20"/>
        </w:rPr>
        <w:t>     In connection with the Annual Report of MakeMusic, Inc. (the “Company”) on Form 10-K for the year ended December 31, 201</w:t>
      </w:r>
      <w:r w:rsidR="00593220">
        <w:rPr>
          <w:sz w:val="20"/>
          <w:szCs w:val="20"/>
        </w:rPr>
        <w:t>1</w:t>
      </w:r>
      <w:r>
        <w:rPr>
          <w:sz w:val="20"/>
          <w:szCs w:val="20"/>
        </w:rPr>
        <w:t xml:space="preserve">, as filed with the Securities and Exchange Commission (the “Report”), I, Karen L. VanDerBosch, Chief Financial Officer of the Company, certify, pursuant to 18 U.S.C. §1350, as adopted pursuant to §906 of the Sarbanes-Oxley Act of 2002, that: </w:t>
      </w:r>
    </w:p>
    <w:p w:rsidR="004851D7" w:rsidRDefault="004851D7">
      <w:pPr>
        <w:rPr>
          <w:sz w:val="20"/>
          <w:szCs w:val="20"/>
        </w:rPr>
      </w:pPr>
    </w:p>
    <w:p w:rsidR="004851D7" w:rsidRDefault="004851D7">
      <w:pPr>
        <w:rPr>
          <w:sz w:val="20"/>
          <w:szCs w:val="20"/>
        </w:rPr>
      </w:pPr>
      <w:r>
        <w:rPr>
          <w:sz w:val="20"/>
          <w:szCs w:val="20"/>
        </w:rPr>
        <w:t xml:space="preserve">     (1) The Report fully complies with the requirements of Section 13(a) or 15(d) of the Securities Exchange Act of 1934; and </w:t>
      </w:r>
    </w:p>
    <w:p w:rsidR="004851D7" w:rsidRDefault="004851D7">
      <w:pPr>
        <w:rPr>
          <w:sz w:val="20"/>
          <w:szCs w:val="20"/>
        </w:rPr>
      </w:pPr>
    </w:p>
    <w:p w:rsidR="004851D7" w:rsidRDefault="004851D7">
      <w:pPr>
        <w:rPr>
          <w:sz w:val="20"/>
          <w:szCs w:val="20"/>
        </w:rPr>
      </w:pPr>
      <w:r>
        <w:rPr>
          <w:sz w:val="20"/>
          <w:szCs w:val="20"/>
        </w:rPr>
        <w:t xml:space="preserve">     (2) The information contained in the Report fairly presents, in all material respects, the financial condition and results of operations of the Company. </w:t>
      </w:r>
    </w:p>
    <w:p w:rsidR="004851D7" w:rsidRDefault="004851D7">
      <w:pPr>
        <w:rPr>
          <w:sz w:val="20"/>
          <w:szCs w:val="20"/>
        </w:rPr>
      </w:pPr>
    </w:p>
    <w:p w:rsidR="004851D7" w:rsidRDefault="004851D7">
      <w:pPr>
        <w:rPr>
          <w:sz w:val="20"/>
          <w:szCs w:val="20"/>
          <w:lang w:val="de-DE"/>
        </w:rPr>
      </w:pPr>
      <w:r>
        <w:rPr>
          <w:sz w:val="20"/>
          <w:szCs w:val="20"/>
        </w:rPr>
        <w:t>     </w:t>
      </w:r>
      <w:r>
        <w:rPr>
          <w:sz w:val="20"/>
          <w:szCs w:val="20"/>
          <w:lang w:val="de-DE"/>
        </w:rPr>
        <w:t xml:space="preserve">Dated: </w:t>
      </w:r>
      <w:r w:rsidR="00976DA0">
        <w:rPr>
          <w:sz w:val="20"/>
          <w:szCs w:val="20"/>
          <w:lang w:val="de-DE"/>
        </w:rPr>
        <w:t>March 13, 2012</w:t>
      </w:r>
      <w:r>
        <w:rPr>
          <w:sz w:val="20"/>
          <w:szCs w:val="20"/>
          <w:lang w:val="de-DE"/>
        </w:rPr>
        <w:t xml:space="preserve"> </w:t>
      </w:r>
    </w:p>
    <w:p w:rsidR="004851D7" w:rsidRDefault="004851D7">
      <w:pPr>
        <w:rPr>
          <w:sz w:val="20"/>
          <w:szCs w:val="20"/>
          <w:lang w:val="de-DE"/>
        </w:rPr>
      </w:pPr>
    </w:p>
    <w:p w:rsidR="004851D7" w:rsidRDefault="004851D7">
      <w:pPr>
        <w:rPr>
          <w:sz w:val="20"/>
          <w:szCs w:val="20"/>
          <w:lang w:val="de-DE"/>
        </w:rPr>
      </w:pPr>
    </w:p>
    <w:p w:rsidR="004851D7" w:rsidRDefault="004851D7">
      <w:pPr>
        <w:rPr>
          <w:sz w:val="20"/>
          <w:szCs w:val="20"/>
          <w:lang w:val="de-DE"/>
        </w:rPr>
      </w:pPr>
      <w:r>
        <w:rPr>
          <w:sz w:val="20"/>
          <w:szCs w:val="20"/>
          <w:u w:val="single"/>
          <w:lang w:val="de-DE"/>
        </w:rPr>
        <w:t xml:space="preserve">/s/ Karen L. VanDerBosch               </w:t>
      </w:r>
      <w:r>
        <w:rPr>
          <w:sz w:val="20"/>
          <w:szCs w:val="20"/>
          <w:lang w:val="de-DE"/>
        </w:rPr>
        <w:tab/>
      </w:r>
      <w:r>
        <w:rPr>
          <w:sz w:val="20"/>
          <w:szCs w:val="20"/>
          <w:lang w:val="de-DE"/>
        </w:rPr>
        <w:tab/>
      </w:r>
      <w:r>
        <w:rPr>
          <w:sz w:val="20"/>
          <w:szCs w:val="20"/>
          <w:lang w:val="de-DE"/>
        </w:rPr>
        <w:br/>
        <w:t>Karen L. VanDerBosch</w:t>
      </w:r>
    </w:p>
    <w:p w:rsidR="004851D7" w:rsidRDefault="004851D7">
      <w:pPr>
        <w:rPr>
          <w:sz w:val="20"/>
          <w:szCs w:val="20"/>
        </w:rPr>
      </w:pPr>
      <w:r>
        <w:rPr>
          <w:sz w:val="20"/>
          <w:szCs w:val="20"/>
        </w:rPr>
        <w:t xml:space="preserve">Chief Financial Officer </w:t>
      </w:r>
    </w:p>
    <w:p w:rsidR="004851D7" w:rsidRDefault="004851D7">
      <w:pPr>
        <w:pStyle w:val="NormalWeb"/>
        <w:jc w:val="center"/>
        <w:rPr>
          <w:sz w:val="20"/>
          <w:szCs w:val="20"/>
        </w:rPr>
      </w:pPr>
      <w:r>
        <w:rPr>
          <w:sz w:val="20"/>
          <w:szCs w:val="20"/>
        </w:rPr>
        <w:t xml:space="preserve">  </w:t>
      </w:r>
    </w:p>
    <w:p w:rsidR="004851D7" w:rsidRDefault="004851D7">
      <w:pPr>
        <w:rPr>
          <w:color w:val="000000"/>
          <w:sz w:val="18"/>
        </w:rPr>
      </w:pPr>
    </w:p>
    <w:p w:rsidR="004851D7" w:rsidRDefault="004851D7"/>
    <w:sectPr w:rsidR="004851D7" w:rsidSect="008D0FEB">
      <w:footerReference w:type="default" r:id="rId14"/>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E9C" w:rsidRDefault="00755E9C">
      <w:r>
        <w:separator/>
      </w:r>
    </w:p>
  </w:endnote>
  <w:endnote w:type="continuationSeparator" w:id="0">
    <w:p w:rsidR="00755E9C" w:rsidRDefault="00755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E9C" w:rsidRDefault="00755E9C">
    <w:pPr>
      <w:pStyle w:val="Footer"/>
      <w:rPr>
        <w:sz w:val="20"/>
      </w:rPr>
    </w:pPr>
  </w:p>
  <w:p w:rsidR="00755E9C" w:rsidRDefault="00755E9C">
    <w:pPr>
      <w:pStyle w:val="Footer"/>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946D6C">
      <w:rPr>
        <w:rStyle w:val="PageNumber"/>
        <w:noProof/>
        <w:sz w:val="20"/>
      </w:rPr>
      <w:t>1</w:t>
    </w:r>
    <w:r>
      <w:rPr>
        <w:rStyle w:val="PageNumbe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E9C" w:rsidRDefault="00755E9C">
    <w:pPr>
      <w:pStyle w:val="Footer"/>
      <w:rPr>
        <w:sz w:val="20"/>
      </w:rPr>
    </w:pPr>
  </w:p>
  <w:p w:rsidR="00755E9C" w:rsidRDefault="00755E9C">
    <w:pPr>
      <w:pStyle w:val="Footer"/>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946D6C">
      <w:rPr>
        <w:rStyle w:val="PageNumber"/>
        <w:noProof/>
        <w:sz w:val="20"/>
      </w:rPr>
      <w:t>77</w:t>
    </w:r>
    <w:r>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E9C" w:rsidRDefault="00755E9C">
      <w:r>
        <w:separator/>
      </w:r>
    </w:p>
  </w:footnote>
  <w:footnote w:type="continuationSeparator" w:id="0">
    <w:p w:rsidR="00755E9C" w:rsidRDefault="00755E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852319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A0C527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174D06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099AA31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A4E692C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B604F6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1E840F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A06CAB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B34ACB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7AE7312"/>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4FEFD20"/>
    <w:lvl w:ilvl="0">
      <w:start w:val="1"/>
      <w:numFmt w:val="decimal"/>
      <w:lvlText w:val="%1."/>
      <w:lvlJc w:val="left"/>
      <w:pPr>
        <w:tabs>
          <w:tab w:val="num" w:pos="1800"/>
        </w:tabs>
        <w:ind w:left="1800" w:hanging="360"/>
      </w:pPr>
      <w:rPr>
        <w:rFonts w:cs="Times New Roman"/>
        <w:spacing w:val="0"/>
      </w:rPr>
    </w:lvl>
  </w:abstractNum>
  <w:abstractNum w:abstractNumId="11">
    <w:nsid w:val="00000002"/>
    <w:multiLevelType w:val="singleLevel"/>
    <w:tmpl w:val="E9E24666"/>
    <w:lvl w:ilvl="0">
      <w:start w:val="1"/>
      <w:numFmt w:val="decimal"/>
      <w:lvlText w:val="%1."/>
      <w:lvlJc w:val="left"/>
      <w:pPr>
        <w:tabs>
          <w:tab w:val="num" w:pos="1440"/>
        </w:tabs>
        <w:ind w:left="1440" w:hanging="360"/>
      </w:pPr>
      <w:rPr>
        <w:rFonts w:cs="Times New Roman"/>
        <w:spacing w:val="0"/>
      </w:rPr>
    </w:lvl>
  </w:abstractNum>
  <w:abstractNum w:abstractNumId="12">
    <w:nsid w:val="00000003"/>
    <w:multiLevelType w:val="singleLevel"/>
    <w:tmpl w:val="9FEC8844"/>
    <w:lvl w:ilvl="0">
      <w:start w:val="1"/>
      <w:numFmt w:val="decimal"/>
      <w:lvlText w:val="%1."/>
      <w:lvlJc w:val="left"/>
      <w:pPr>
        <w:tabs>
          <w:tab w:val="num" w:pos="1080"/>
        </w:tabs>
        <w:ind w:left="1080" w:hanging="360"/>
      </w:pPr>
      <w:rPr>
        <w:rFonts w:cs="Times New Roman"/>
        <w:spacing w:val="0"/>
      </w:rPr>
    </w:lvl>
  </w:abstractNum>
  <w:abstractNum w:abstractNumId="13">
    <w:nsid w:val="00000004"/>
    <w:multiLevelType w:val="singleLevel"/>
    <w:tmpl w:val="226CDDAC"/>
    <w:lvl w:ilvl="0">
      <w:start w:val="1"/>
      <w:numFmt w:val="decimal"/>
      <w:lvlText w:val="%1."/>
      <w:lvlJc w:val="left"/>
      <w:pPr>
        <w:tabs>
          <w:tab w:val="num" w:pos="720"/>
        </w:tabs>
        <w:ind w:left="720" w:hanging="360"/>
      </w:pPr>
      <w:rPr>
        <w:rFonts w:cs="Times New Roman"/>
        <w:spacing w:val="0"/>
      </w:rPr>
    </w:lvl>
  </w:abstractNum>
  <w:abstractNum w:abstractNumId="14">
    <w:nsid w:val="00000005"/>
    <w:multiLevelType w:val="singleLevel"/>
    <w:tmpl w:val="8594E1EA"/>
    <w:lvl w:ilvl="0">
      <w:start w:val="1"/>
      <w:numFmt w:val="bullet"/>
      <w:lvlText w:val=""/>
      <w:lvlJc w:val="left"/>
      <w:pPr>
        <w:tabs>
          <w:tab w:val="num" w:pos="1800"/>
        </w:tabs>
        <w:ind w:left="1800" w:hanging="360"/>
      </w:pPr>
      <w:rPr>
        <w:rFonts w:ascii="Symbol" w:hAnsi="Symbol" w:hint="default"/>
        <w:spacing w:val="0"/>
      </w:rPr>
    </w:lvl>
  </w:abstractNum>
  <w:abstractNum w:abstractNumId="15">
    <w:nsid w:val="00000006"/>
    <w:multiLevelType w:val="singleLevel"/>
    <w:tmpl w:val="8F7C24EC"/>
    <w:lvl w:ilvl="0">
      <w:start w:val="1"/>
      <w:numFmt w:val="bullet"/>
      <w:lvlText w:val=""/>
      <w:lvlJc w:val="left"/>
      <w:pPr>
        <w:tabs>
          <w:tab w:val="num" w:pos="1440"/>
        </w:tabs>
        <w:ind w:left="1440" w:hanging="360"/>
      </w:pPr>
      <w:rPr>
        <w:rFonts w:ascii="Symbol" w:hAnsi="Symbol" w:hint="default"/>
        <w:spacing w:val="0"/>
      </w:rPr>
    </w:lvl>
  </w:abstractNum>
  <w:abstractNum w:abstractNumId="16">
    <w:nsid w:val="00000007"/>
    <w:multiLevelType w:val="singleLevel"/>
    <w:tmpl w:val="63506DB8"/>
    <w:lvl w:ilvl="0">
      <w:start w:val="1"/>
      <w:numFmt w:val="bullet"/>
      <w:lvlText w:val=""/>
      <w:lvlJc w:val="left"/>
      <w:pPr>
        <w:tabs>
          <w:tab w:val="num" w:pos="1080"/>
        </w:tabs>
        <w:ind w:left="1080" w:hanging="360"/>
      </w:pPr>
      <w:rPr>
        <w:rFonts w:ascii="Symbol" w:hAnsi="Symbol" w:hint="default"/>
        <w:spacing w:val="0"/>
      </w:rPr>
    </w:lvl>
  </w:abstractNum>
  <w:abstractNum w:abstractNumId="17">
    <w:nsid w:val="00000008"/>
    <w:multiLevelType w:val="singleLevel"/>
    <w:tmpl w:val="C76E3ED6"/>
    <w:lvl w:ilvl="0">
      <w:start w:val="1"/>
      <w:numFmt w:val="decimal"/>
      <w:lvlText w:val="%1."/>
      <w:lvlJc w:val="left"/>
      <w:pPr>
        <w:tabs>
          <w:tab w:val="num" w:pos="360"/>
        </w:tabs>
        <w:ind w:left="360" w:hanging="360"/>
      </w:pPr>
      <w:rPr>
        <w:rFonts w:cs="Times New Roman"/>
        <w:spacing w:val="0"/>
      </w:rPr>
    </w:lvl>
  </w:abstractNum>
  <w:abstractNum w:abstractNumId="18">
    <w:nsid w:val="00000009"/>
    <w:multiLevelType w:val="singleLevel"/>
    <w:tmpl w:val="48E8627A"/>
    <w:lvl w:ilvl="0">
      <w:start w:val="1"/>
      <w:numFmt w:val="bullet"/>
      <w:lvlText w:val=""/>
      <w:lvlJc w:val="left"/>
      <w:pPr>
        <w:tabs>
          <w:tab w:val="num" w:pos="360"/>
        </w:tabs>
        <w:ind w:left="360" w:hanging="360"/>
      </w:pPr>
      <w:rPr>
        <w:rFonts w:ascii="Symbol" w:hAnsi="Symbol" w:hint="default"/>
        <w:spacing w:val="0"/>
      </w:rPr>
    </w:lvl>
  </w:abstractNum>
  <w:abstractNum w:abstractNumId="19">
    <w:nsid w:val="0000000A"/>
    <w:multiLevelType w:val="hybridMultilevel"/>
    <w:tmpl w:val="90325434"/>
    <w:lvl w:ilvl="0" w:tplc="C448B656">
      <w:start w:val="1"/>
      <w:numFmt w:val="decimal"/>
      <w:lvlText w:val="(%1)"/>
      <w:lvlJc w:val="left"/>
      <w:pPr>
        <w:tabs>
          <w:tab w:val="num" w:pos="1080"/>
        </w:tabs>
        <w:ind w:left="1080" w:hanging="360"/>
      </w:pPr>
      <w:rPr>
        <w:rFonts w:cs="Times New Roman" w:hint="eastAsia"/>
        <w:spacing w:val="0"/>
      </w:rPr>
    </w:lvl>
    <w:lvl w:ilvl="1" w:tplc="04090019">
      <w:start w:val="1"/>
      <w:numFmt w:val="lowerLetter"/>
      <w:lvlText w:val="%2."/>
      <w:lvlJc w:val="left"/>
      <w:pPr>
        <w:tabs>
          <w:tab w:val="num" w:pos="1800"/>
        </w:tabs>
        <w:ind w:left="1800" w:hanging="360"/>
      </w:pPr>
      <w:rPr>
        <w:rFonts w:cs="Times New Roman"/>
        <w:spacing w:val="0"/>
      </w:rPr>
    </w:lvl>
    <w:lvl w:ilvl="2" w:tplc="0409001B">
      <w:start w:val="1"/>
      <w:numFmt w:val="lowerRoman"/>
      <w:lvlText w:val="%3."/>
      <w:lvlJc w:val="right"/>
      <w:pPr>
        <w:tabs>
          <w:tab w:val="num" w:pos="2520"/>
        </w:tabs>
        <w:ind w:left="2520" w:hanging="180"/>
      </w:pPr>
      <w:rPr>
        <w:rFonts w:cs="Times New Roman"/>
        <w:spacing w:val="0"/>
      </w:rPr>
    </w:lvl>
    <w:lvl w:ilvl="3" w:tplc="0409000F">
      <w:start w:val="1"/>
      <w:numFmt w:val="decimal"/>
      <w:lvlText w:val="%4."/>
      <w:lvlJc w:val="left"/>
      <w:pPr>
        <w:tabs>
          <w:tab w:val="num" w:pos="3240"/>
        </w:tabs>
        <w:ind w:left="3240" w:hanging="360"/>
      </w:pPr>
      <w:rPr>
        <w:rFonts w:cs="Times New Roman"/>
        <w:spacing w:val="0"/>
      </w:rPr>
    </w:lvl>
    <w:lvl w:ilvl="4" w:tplc="04090019">
      <w:start w:val="1"/>
      <w:numFmt w:val="lowerLetter"/>
      <w:lvlText w:val="%5."/>
      <w:lvlJc w:val="left"/>
      <w:pPr>
        <w:tabs>
          <w:tab w:val="num" w:pos="3960"/>
        </w:tabs>
        <w:ind w:left="3960" w:hanging="360"/>
      </w:pPr>
      <w:rPr>
        <w:rFonts w:cs="Times New Roman"/>
        <w:spacing w:val="0"/>
      </w:rPr>
    </w:lvl>
    <w:lvl w:ilvl="5" w:tplc="0409001B">
      <w:start w:val="1"/>
      <w:numFmt w:val="lowerRoman"/>
      <w:lvlText w:val="%6."/>
      <w:lvlJc w:val="right"/>
      <w:pPr>
        <w:tabs>
          <w:tab w:val="num" w:pos="4680"/>
        </w:tabs>
        <w:ind w:left="4680" w:hanging="180"/>
      </w:pPr>
      <w:rPr>
        <w:rFonts w:cs="Times New Roman"/>
        <w:spacing w:val="0"/>
      </w:rPr>
    </w:lvl>
    <w:lvl w:ilvl="6" w:tplc="0409000F">
      <w:start w:val="1"/>
      <w:numFmt w:val="decimal"/>
      <w:lvlText w:val="%7."/>
      <w:lvlJc w:val="left"/>
      <w:pPr>
        <w:tabs>
          <w:tab w:val="num" w:pos="5400"/>
        </w:tabs>
        <w:ind w:left="5400" w:hanging="360"/>
      </w:pPr>
      <w:rPr>
        <w:rFonts w:cs="Times New Roman"/>
        <w:spacing w:val="0"/>
      </w:rPr>
    </w:lvl>
    <w:lvl w:ilvl="7" w:tplc="04090019">
      <w:start w:val="1"/>
      <w:numFmt w:val="lowerLetter"/>
      <w:lvlText w:val="%8."/>
      <w:lvlJc w:val="left"/>
      <w:pPr>
        <w:tabs>
          <w:tab w:val="num" w:pos="6120"/>
        </w:tabs>
        <w:ind w:left="6120" w:hanging="360"/>
      </w:pPr>
      <w:rPr>
        <w:rFonts w:cs="Times New Roman"/>
        <w:spacing w:val="0"/>
      </w:rPr>
    </w:lvl>
    <w:lvl w:ilvl="8" w:tplc="0409001B">
      <w:start w:val="1"/>
      <w:numFmt w:val="lowerRoman"/>
      <w:lvlText w:val="%9."/>
      <w:lvlJc w:val="right"/>
      <w:pPr>
        <w:tabs>
          <w:tab w:val="num" w:pos="6840"/>
        </w:tabs>
        <w:ind w:left="6840" w:hanging="180"/>
      </w:pPr>
      <w:rPr>
        <w:rFonts w:cs="Times New Roman"/>
        <w:spacing w:val="0"/>
      </w:rPr>
    </w:lvl>
  </w:abstractNum>
  <w:abstractNum w:abstractNumId="20">
    <w:nsid w:val="0000000B"/>
    <w:multiLevelType w:val="hybridMultilevel"/>
    <w:tmpl w:val="9B0CC890"/>
    <w:lvl w:ilvl="0" w:tplc="0409000F">
      <w:start w:val="1"/>
      <w:numFmt w:val="decimal"/>
      <w:lvlText w:val="%1."/>
      <w:lvlJc w:val="left"/>
      <w:pPr>
        <w:tabs>
          <w:tab w:val="num" w:pos="720"/>
        </w:tabs>
        <w:ind w:left="720" w:hanging="360"/>
      </w:pPr>
      <w:rPr>
        <w:rFonts w:cs="Times New Roman" w:hint="eastAsia"/>
        <w:spacing w:val="0"/>
      </w:rPr>
    </w:lvl>
    <w:lvl w:ilvl="1" w:tplc="04090019">
      <w:start w:val="1"/>
      <w:numFmt w:val="lowerLetter"/>
      <w:lvlText w:val="%2."/>
      <w:lvlJc w:val="left"/>
      <w:pPr>
        <w:tabs>
          <w:tab w:val="num" w:pos="1440"/>
        </w:tabs>
        <w:ind w:left="1440" w:hanging="360"/>
      </w:pPr>
      <w:rPr>
        <w:rFonts w:cs="Times New Roman"/>
        <w:spacing w:val="0"/>
      </w:rPr>
    </w:lvl>
    <w:lvl w:ilvl="2" w:tplc="0409001B">
      <w:start w:val="1"/>
      <w:numFmt w:val="lowerRoman"/>
      <w:lvlText w:val="%3."/>
      <w:lvlJc w:val="right"/>
      <w:pPr>
        <w:tabs>
          <w:tab w:val="num" w:pos="2160"/>
        </w:tabs>
        <w:ind w:left="2160" w:hanging="180"/>
      </w:pPr>
      <w:rPr>
        <w:rFonts w:cs="Times New Roman"/>
        <w:spacing w:val="0"/>
      </w:rPr>
    </w:lvl>
    <w:lvl w:ilvl="3" w:tplc="0409000F">
      <w:start w:val="1"/>
      <w:numFmt w:val="decimal"/>
      <w:lvlText w:val="%4."/>
      <w:lvlJc w:val="left"/>
      <w:pPr>
        <w:tabs>
          <w:tab w:val="num" w:pos="2880"/>
        </w:tabs>
        <w:ind w:left="2880" w:hanging="360"/>
      </w:pPr>
      <w:rPr>
        <w:rFonts w:cs="Times New Roman"/>
        <w:spacing w:val="0"/>
      </w:rPr>
    </w:lvl>
    <w:lvl w:ilvl="4" w:tplc="04090019">
      <w:start w:val="1"/>
      <w:numFmt w:val="lowerLetter"/>
      <w:lvlText w:val="%5."/>
      <w:lvlJc w:val="left"/>
      <w:pPr>
        <w:tabs>
          <w:tab w:val="num" w:pos="3600"/>
        </w:tabs>
        <w:ind w:left="3600" w:hanging="360"/>
      </w:pPr>
      <w:rPr>
        <w:rFonts w:cs="Times New Roman"/>
        <w:spacing w:val="0"/>
      </w:rPr>
    </w:lvl>
    <w:lvl w:ilvl="5" w:tplc="0409001B">
      <w:start w:val="1"/>
      <w:numFmt w:val="lowerRoman"/>
      <w:lvlText w:val="%6."/>
      <w:lvlJc w:val="right"/>
      <w:pPr>
        <w:tabs>
          <w:tab w:val="num" w:pos="4320"/>
        </w:tabs>
        <w:ind w:left="4320" w:hanging="180"/>
      </w:pPr>
      <w:rPr>
        <w:rFonts w:cs="Times New Roman"/>
        <w:spacing w:val="0"/>
      </w:rPr>
    </w:lvl>
    <w:lvl w:ilvl="6" w:tplc="0409000F">
      <w:start w:val="1"/>
      <w:numFmt w:val="decimal"/>
      <w:lvlText w:val="%7."/>
      <w:lvlJc w:val="left"/>
      <w:pPr>
        <w:tabs>
          <w:tab w:val="num" w:pos="5040"/>
        </w:tabs>
        <w:ind w:left="5040" w:hanging="360"/>
      </w:pPr>
      <w:rPr>
        <w:rFonts w:cs="Times New Roman"/>
        <w:spacing w:val="0"/>
      </w:rPr>
    </w:lvl>
    <w:lvl w:ilvl="7" w:tplc="04090019">
      <w:start w:val="1"/>
      <w:numFmt w:val="lowerLetter"/>
      <w:lvlText w:val="%8."/>
      <w:lvlJc w:val="left"/>
      <w:pPr>
        <w:tabs>
          <w:tab w:val="num" w:pos="5760"/>
        </w:tabs>
        <w:ind w:left="5760" w:hanging="360"/>
      </w:pPr>
      <w:rPr>
        <w:rFonts w:cs="Times New Roman"/>
        <w:spacing w:val="0"/>
      </w:rPr>
    </w:lvl>
    <w:lvl w:ilvl="8" w:tplc="0409001B">
      <w:start w:val="1"/>
      <w:numFmt w:val="lowerRoman"/>
      <w:lvlText w:val="%9."/>
      <w:lvlJc w:val="right"/>
      <w:pPr>
        <w:tabs>
          <w:tab w:val="num" w:pos="6480"/>
        </w:tabs>
        <w:ind w:left="6480" w:hanging="180"/>
      </w:pPr>
      <w:rPr>
        <w:rFonts w:cs="Times New Roman"/>
        <w:spacing w:val="0"/>
      </w:rPr>
    </w:lvl>
  </w:abstractNum>
  <w:abstractNum w:abstractNumId="21">
    <w:nsid w:val="0000000C"/>
    <w:multiLevelType w:val="hybridMultilevel"/>
    <w:tmpl w:val="38A2F9BA"/>
    <w:lvl w:ilvl="0" w:tplc="0409000F">
      <w:start w:val="1"/>
      <w:numFmt w:val="decimal"/>
      <w:lvlText w:val="%1."/>
      <w:lvlJc w:val="left"/>
      <w:pPr>
        <w:tabs>
          <w:tab w:val="num" w:pos="720"/>
        </w:tabs>
        <w:ind w:left="720" w:hanging="360"/>
      </w:pPr>
      <w:rPr>
        <w:rFonts w:cs="Times New Roman"/>
        <w:spacing w:val="0"/>
      </w:rPr>
    </w:lvl>
    <w:lvl w:ilvl="1" w:tplc="11AC7614">
      <w:start w:val="1"/>
      <w:numFmt w:val="lowerLetter"/>
      <w:lvlText w:val="%2)"/>
      <w:lvlJc w:val="left"/>
      <w:pPr>
        <w:tabs>
          <w:tab w:val="num" w:pos="1800"/>
        </w:tabs>
        <w:ind w:left="1800" w:hanging="720"/>
      </w:pPr>
      <w:rPr>
        <w:rFonts w:cs="Times New Roman" w:hint="eastAsia"/>
        <w:spacing w:val="0"/>
      </w:rPr>
    </w:lvl>
    <w:lvl w:ilvl="2" w:tplc="0409001B">
      <w:start w:val="1"/>
      <w:numFmt w:val="lowerRoman"/>
      <w:lvlText w:val="%3."/>
      <w:lvlJc w:val="right"/>
      <w:pPr>
        <w:tabs>
          <w:tab w:val="num" w:pos="2160"/>
        </w:tabs>
        <w:ind w:left="2160" w:hanging="180"/>
      </w:pPr>
      <w:rPr>
        <w:rFonts w:cs="Times New Roman"/>
        <w:spacing w:val="0"/>
      </w:rPr>
    </w:lvl>
    <w:lvl w:ilvl="3" w:tplc="0409000F">
      <w:start w:val="1"/>
      <w:numFmt w:val="decimal"/>
      <w:lvlText w:val="%4."/>
      <w:lvlJc w:val="left"/>
      <w:pPr>
        <w:tabs>
          <w:tab w:val="num" w:pos="2880"/>
        </w:tabs>
        <w:ind w:left="2880" w:hanging="360"/>
      </w:pPr>
      <w:rPr>
        <w:rFonts w:cs="Times New Roman"/>
        <w:spacing w:val="0"/>
      </w:rPr>
    </w:lvl>
    <w:lvl w:ilvl="4" w:tplc="04090019">
      <w:start w:val="1"/>
      <w:numFmt w:val="lowerLetter"/>
      <w:lvlText w:val="%5."/>
      <w:lvlJc w:val="left"/>
      <w:pPr>
        <w:tabs>
          <w:tab w:val="num" w:pos="3600"/>
        </w:tabs>
        <w:ind w:left="3600" w:hanging="360"/>
      </w:pPr>
      <w:rPr>
        <w:rFonts w:cs="Times New Roman"/>
        <w:spacing w:val="0"/>
      </w:rPr>
    </w:lvl>
    <w:lvl w:ilvl="5" w:tplc="0409001B">
      <w:start w:val="1"/>
      <w:numFmt w:val="lowerRoman"/>
      <w:lvlText w:val="%6."/>
      <w:lvlJc w:val="right"/>
      <w:pPr>
        <w:tabs>
          <w:tab w:val="num" w:pos="4320"/>
        </w:tabs>
        <w:ind w:left="4320" w:hanging="180"/>
      </w:pPr>
      <w:rPr>
        <w:rFonts w:cs="Times New Roman"/>
        <w:spacing w:val="0"/>
      </w:rPr>
    </w:lvl>
    <w:lvl w:ilvl="6" w:tplc="0409000F">
      <w:start w:val="1"/>
      <w:numFmt w:val="decimal"/>
      <w:lvlText w:val="%7."/>
      <w:lvlJc w:val="left"/>
      <w:pPr>
        <w:tabs>
          <w:tab w:val="num" w:pos="5040"/>
        </w:tabs>
        <w:ind w:left="5040" w:hanging="360"/>
      </w:pPr>
      <w:rPr>
        <w:rFonts w:cs="Times New Roman"/>
        <w:spacing w:val="0"/>
      </w:rPr>
    </w:lvl>
    <w:lvl w:ilvl="7" w:tplc="04090019">
      <w:start w:val="1"/>
      <w:numFmt w:val="lowerLetter"/>
      <w:lvlText w:val="%8."/>
      <w:lvlJc w:val="left"/>
      <w:pPr>
        <w:tabs>
          <w:tab w:val="num" w:pos="5760"/>
        </w:tabs>
        <w:ind w:left="5760" w:hanging="360"/>
      </w:pPr>
      <w:rPr>
        <w:rFonts w:cs="Times New Roman"/>
        <w:spacing w:val="0"/>
      </w:rPr>
    </w:lvl>
    <w:lvl w:ilvl="8" w:tplc="0409001B">
      <w:start w:val="1"/>
      <w:numFmt w:val="lowerRoman"/>
      <w:lvlText w:val="%9."/>
      <w:lvlJc w:val="right"/>
      <w:pPr>
        <w:tabs>
          <w:tab w:val="num" w:pos="6480"/>
        </w:tabs>
        <w:ind w:left="6480" w:hanging="180"/>
      </w:pPr>
      <w:rPr>
        <w:rFonts w:cs="Times New Roman"/>
        <w:spacing w:val="0"/>
      </w:rPr>
    </w:lvl>
  </w:abstractNum>
  <w:abstractNum w:abstractNumId="22">
    <w:nsid w:val="1DEA583B"/>
    <w:multiLevelType w:val="hybridMultilevel"/>
    <w:tmpl w:val="357678D8"/>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3">
    <w:nsid w:val="2D4B5C4C"/>
    <w:multiLevelType w:val="hybridMultilevel"/>
    <w:tmpl w:val="59D8199A"/>
    <w:lvl w:ilvl="0" w:tplc="0409000F">
      <w:start w:val="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3F5560FA"/>
    <w:multiLevelType w:val="hybridMultilevel"/>
    <w:tmpl w:val="49D61F46"/>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64D3186"/>
    <w:multiLevelType w:val="hybridMultilevel"/>
    <w:tmpl w:val="8CFE6D18"/>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489676AE"/>
    <w:multiLevelType w:val="hybridMultilevel"/>
    <w:tmpl w:val="6B645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F11F05"/>
    <w:multiLevelType w:val="hybridMultilevel"/>
    <w:tmpl w:val="86BEC90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nsid w:val="4EA25BC2"/>
    <w:multiLevelType w:val="hybridMultilevel"/>
    <w:tmpl w:val="59D8199A"/>
    <w:lvl w:ilvl="0" w:tplc="0409000F">
      <w:start w:val="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5EC7480F"/>
    <w:multiLevelType w:val="hybridMultilevel"/>
    <w:tmpl w:val="51E8B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752E00"/>
    <w:multiLevelType w:val="hybridMultilevel"/>
    <w:tmpl w:val="BE147A86"/>
    <w:lvl w:ilvl="0" w:tplc="5030DAB0">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72F2A39"/>
    <w:multiLevelType w:val="hybridMultilevel"/>
    <w:tmpl w:val="0468661A"/>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hint="default"/>
      </w:rPr>
    </w:lvl>
    <w:lvl w:ilvl="8" w:tplc="04090005" w:tentative="1">
      <w:start w:val="1"/>
      <w:numFmt w:val="bullet"/>
      <w:lvlText w:val=""/>
      <w:lvlJc w:val="left"/>
      <w:pPr>
        <w:ind w:left="6970" w:hanging="360"/>
      </w:pPr>
      <w:rPr>
        <w:rFonts w:ascii="Wingdings" w:hAnsi="Wingdings" w:hint="default"/>
      </w:rPr>
    </w:lvl>
  </w:abstractNum>
  <w:num w:numId="1">
    <w:abstractNumId w:val="7"/>
  </w:num>
  <w:num w:numId="2">
    <w:abstractNumId w:val="9"/>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6"/>
  </w:num>
  <w:num w:numId="13">
    <w:abstractNumId w:val="15"/>
  </w:num>
  <w:num w:numId="14">
    <w:abstractNumId w:val="14"/>
  </w:num>
  <w:num w:numId="15">
    <w:abstractNumId w:val="17"/>
  </w:num>
  <w:num w:numId="16">
    <w:abstractNumId w:val="13"/>
  </w:num>
  <w:num w:numId="17">
    <w:abstractNumId w:val="12"/>
  </w:num>
  <w:num w:numId="18">
    <w:abstractNumId w:val="11"/>
  </w:num>
  <w:num w:numId="19">
    <w:abstractNumId w:val="10"/>
  </w:num>
  <w:num w:numId="20">
    <w:abstractNumId w:val="20"/>
  </w:num>
  <w:num w:numId="21">
    <w:abstractNumId w:val="19"/>
  </w:num>
  <w:num w:numId="22">
    <w:abstractNumId w:val="21"/>
  </w:num>
  <w:num w:numId="23">
    <w:abstractNumId w:val="23"/>
  </w:num>
  <w:num w:numId="24">
    <w:abstractNumId w:val="25"/>
  </w:num>
  <w:num w:numId="25">
    <w:abstractNumId w:val="24"/>
  </w:num>
  <w:num w:numId="26">
    <w:abstractNumId w:val="27"/>
  </w:num>
  <w:num w:numId="27">
    <w:abstractNumId w:val="29"/>
  </w:num>
  <w:num w:numId="28">
    <w:abstractNumId w:val="22"/>
  </w:num>
  <w:num w:numId="29">
    <w:abstractNumId w:val="31"/>
  </w:num>
  <w:num w:numId="30">
    <w:abstractNumId w:val="28"/>
  </w:num>
  <w:num w:numId="31">
    <w:abstractNumId w:val="30"/>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25E"/>
    <w:rsid w:val="000014B2"/>
    <w:rsid w:val="00001E59"/>
    <w:rsid w:val="00003302"/>
    <w:rsid w:val="00003FEB"/>
    <w:rsid w:val="000040CE"/>
    <w:rsid w:val="0002373A"/>
    <w:rsid w:val="0002758F"/>
    <w:rsid w:val="00030AE6"/>
    <w:rsid w:val="00035426"/>
    <w:rsid w:val="000553C5"/>
    <w:rsid w:val="00067612"/>
    <w:rsid w:val="000678D6"/>
    <w:rsid w:val="00067CD8"/>
    <w:rsid w:val="00071E76"/>
    <w:rsid w:val="00076BC0"/>
    <w:rsid w:val="000927A9"/>
    <w:rsid w:val="000951B4"/>
    <w:rsid w:val="00095858"/>
    <w:rsid w:val="000A0498"/>
    <w:rsid w:val="000A6227"/>
    <w:rsid w:val="000B01FF"/>
    <w:rsid w:val="000B128B"/>
    <w:rsid w:val="000C1641"/>
    <w:rsid w:val="000C3B9D"/>
    <w:rsid w:val="000C7BEA"/>
    <w:rsid w:val="000D48D6"/>
    <w:rsid w:val="000D4CCB"/>
    <w:rsid w:val="000E556C"/>
    <w:rsid w:val="00100263"/>
    <w:rsid w:val="00103935"/>
    <w:rsid w:val="001062B0"/>
    <w:rsid w:val="00110477"/>
    <w:rsid w:val="00110D1D"/>
    <w:rsid w:val="00114BD7"/>
    <w:rsid w:val="0011521D"/>
    <w:rsid w:val="001167F7"/>
    <w:rsid w:val="0011777F"/>
    <w:rsid w:val="00123550"/>
    <w:rsid w:val="001257FA"/>
    <w:rsid w:val="00126473"/>
    <w:rsid w:val="001309EB"/>
    <w:rsid w:val="00140AF4"/>
    <w:rsid w:val="00141103"/>
    <w:rsid w:val="00141D7A"/>
    <w:rsid w:val="0014608D"/>
    <w:rsid w:val="00163082"/>
    <w:rsid w:val="00170AA1"/>
    <w:rsid w:val="00173EDB"/>
    <w:rsid w:val="00183125"/>
    <w:rsid w:val="00186CDC"/>
    <w:rsid w:val="00190ADE"/>
    <w:rsid w:val="001935A3"/>
    <w:rsid w:val="001A2887"/>
    <w:rsid w:val="001B203F"/>
    <w:rsid w:val="001B34CC"/>
    <w:rsid w:val="001B74E7"/>
    <w:rsid w:val="001C0768"/>
    <w:rsid w:val="001C4752"/>
    <w:rsid w:val="001C5767"/>
    <w:rsid w:val="001C743A"/>
    <w:rsid w:val="001D08CA"/>
    <w:rsid w:val="001D3E1F"/>
    <w:rsid w:val="001D767A"/>
    <w:rsid w:val="001E0C3A"/>
    <w:rsid w:val="001E7110"/>
    <w:rsid w:val="001F383B"/>
    <w:rsid w:val="00201810"/>
    <w:rsid w:val="00214C7B"/>
    <w:rsid w:val="00217B85"/>
    <w:rsid w:val="00217C6D"/>
    <w:rsid w:val="00223B45"/>
    <w:rsid w:val="0022651A"/>
    <w:rsid w:val="00227232"/>
    <w:rsid w:val="00235919"/>
    <w:rsid w:val="0024174C"/>
    <w:rsid w:val="00243E2F"/>
    <w:rsid w:val="0024432D"/>
    <w:rsid w:val="00251F51"/>
    <w:rsid w:val="002542F2"/>
    <w:rsid w:val="002601ED"/>
    <w:rsid w:val="00262D51"/>
    <w:rsid w:val="00266986"/>
    <w:rsid w:val="002709F8"/>
    <w:rsid w:val="0027475E"/>
    <w:rsid w:val="00275704"/>
    <w:rsid w:val="0029060C"/>
    <w:rsid w:val="00290E66"/>
    <w:rsid w:val="002969C0"/>
    <w:rsid w:val="002A2497"/>
    <w:rsid w:val="002A5261"/>
    <w:rsid w:val="002A5898"/>
    <w:rsid w:val="002B6605"/>
    <w:rsid w:val="002D06C2"/>
    <w:rsid w:val="002D1223"/>
    <w:rsid w:val="002D3CF0"/>
    <w:rsid w:val="002D7C67"/>
    <w:rsid w:val="002E02AE"/>
    <w:rsid w:val="002E7DC2"/>
    <w:rsid w:val="002E7F55"/>
    <w:rsid w:val="0030001C"/>
    <w:rsid w:val="00300F3E"/>
    <w:rsid w:val="00303309"/>
    <w:rsid w:val="00307EE7"/>
    <w:rsid w:val="00312E05"/>
    <w:rsid w:val="00313ED0"/>
    <w:rsid w:val="00315079"/>
    <w:rsid w:val="00321977"/>
    <w:rsid w:val="00322478"/>
    <w:rsid w:val="003313A9"/>
    <w:rsid w:val="00332CC0"/>
    <w:rsid w:val="0033792E"/>
    <w:rsid w:val="003424AD"/>
    <w:rsid w:val="00344CAE"/>
    <w:rsid w:val="00344CD4"/>
    <w:rsid w:val="00362F7F"/>
    <w:rsid w:val="00366B07"/>
    <w:rsid w:val="00367019"/>
    <w:rsid w:val="00372B5D"/>
    <w:rsid w:val="0037770D"/>
    <w:rsid w:val="00380840"/>
    <w:rsid w:val="003874C5"/>
    <w:rsid w:val="00394A67"/>
    <w:rsid w:val="0039741E"/>
    <w:rsid w:val="00397921"/>
    <w:rsid w:val="003A3DAD"/>
    <w:rsid w:val="003A7831"/>
    <w:rsid w:val="003B0B07"/>
    <w:rsid w:val="003B168D"/>
    <w:rsid w:val="003B4A3C"/>
    <w:rsid w:val="003B58B0"/>
    <w:rsid w:val="003D027F"/>
    <w:rsid w:val="003E625E"/>
    <w:rsid w:val="003E7276"/>
    <w:rsid w:val="00411DCB"/>
    <w:rsid w:val="0041267D"/>
    <w:rsid w:val="004214A0"/>
    <w:rsid w:val="00426D10"/>
    <w:rsid w:val="00430C92"/>
    <w:rsid w:val="00430FA8"/>
    <w:rsid w:val="004314EB"/>
    <w:rsid w:val="004332AD"/>
    <w:rsid w:val="004366FE"/>
    <w:rsid w:val="00437563"/>
    <w:rsid w:val="00440BFC"/>
    <w:rsid w:val="00445FBB"/>
    <w:rsid w:val="00451972"/>
    <w:rsid w:val="00452BC2"/>
    <w:rsid w:val="004572D4"/>
    <w:rsid w:val="0045741E"/>
    <w:rsid w:val="0047721B"/>
    <w:rsid w:val="004773F6"/>
    <w:rsid w:val="004851D7"/>
    <w:rsid w:val="0048761B"/>
    <w:rsid w:val="00496CE8"/>
    <w:rsid w:val="0049768C"/>
    <w:rsid w:val="004A0576"/>
    <w:rsid w:val="004A0A8A"/>
    <w:rsid w:val="004A4C0B"/>
    <w:rsid w:val="004A7E35"/>
    <w:rsid w:val="004A7EDE"/>
    <w:rsid w:val="004B7EB0"/>
    <w:rsid w:val="004C0E36"/>
    <w:rsid w:val="004C371E"/>
    <w:rsid w:val="004C3EFF"/>
    <w:rsid w:val="004C5F90"/>
    <w:rsid w:val="004D3608"/>
    <w:rsid w:val="004D3C63"/>
    <w:rsid w:val="004F4B56"/>
    <w:rsid w:val="004F72DF"/>
    <w:rsid w:val="00510298"/>
    <w:rsid w:val="00510AB7"/>
    <w:rsid w:val="00514006"/>
    <w:rsid w:val="0051431F"/>
    <w:rsid w:val="0051432D"/>
    <w:rsid w:val="00516A9C"/>
    <w:rsid w:val="005277A9"/>
    <w:rsid w:val="00530E62"/>
    <w:rsid w:val="00533422"/>
    <w:rsid w:val="00533F0A"/>
    <w:rsid w:val="00535B16"/>
    <w:rsid w:val="005366C7"/>
    <w:rsid w:val="00550ED3"/>
    <w:rsid w:val="00555143"/>
    <w:rsid w:val="00557197"/>
    <w:rsid w:val="00561ED5"/>
    <w:rsid w:val="00562639"/>
    <w:rsid w:val="00563A9E"/>
    <w:rsid w:val="00567896"/>
    <w:rsid w:val="00572D23"/>
    <w:rsid w:val="00593220"/>
    <w:rsid w:val="0059442A"/>
    <w:rsid w:val="005A3BA3"/>
    <w:rsid w:val="005A44D6"/>
    <w:rsid w:val="005A7992"/>
    <w:rsid w:val="005B1762"/>
    <w:rsid w:val="005C6B01"/>
    <w:rsid w:val="005D1C30"/>
    <w:rsid w:val="005E1963"/>
    <w:rsid w:val="005E596C"/>
    <w:rsid w:val="005F6599"/>
    <w:rsid w:val="005F6CDF"/>
    <w:rsid w:val="006001B4"/>
    <w:rsid w:val="006003B2"/>
    <w:rsid w:val="006021F9"/>
    <w:rsid w:val="00606A69"/>
    <w:rsid w:val="00606FE1"/>
    <w:rsid w:val="00612B19"/>
    <w:rsid w:val="00615B59"/>
    <w:rsid w:val="0061772F"/>
    <w:rsid w:val="006237C9"/>
    <w:rsid w:val="00631F48"/>
    <w:rsid w:val="006444E9"/>
    <w:rsid w:val="0065029E"/>
    <w:rsid w:val="0065111F"/>
    <w:rsid w:val="006511EE"/>
    <w:rsid w:val="006512E7"/>
    <w:rsid w:val="00655CAD"/>
    <w:rsid w:val="00660D08"/>
    <w:rsid w:val="00661E61"/>
    <w:rsid w:val="006844FE"/>
    <w:rsid w:val="006964F2"/>
    <w:rsid w:val="006A03B5"/>
    <w:rsid w:val="006B3E5A"/>
    <w:rsid w:val="006B564D"/>
    <w:rsid w:val="006B64D0"/>
    <w:rsid w:val="006B7B09"/>
    <w:rsid w:val="006C30E1"/>
    <w:rsid w:val="006C376F"/>
    <w:rsid w:val="006C3800"/>
    <w:rsid w:val="006E1512"/>
    <w:rsid w:val="006E39A7"/>
    <w:rsid w:val="006E3DE2"/>
    <w:rsid w:val="006E3DE9"/>
    <w:rsid w:val="006E4AC9"/>
    <w:rsid w:val="006E4C5D"/>
    <w:rsid w:val="006F5B5D"/>
    <w:rsid w:val="007104AD"/>
    <w:rsid w:val="0071070C"/>
    <w:rsid w:val="00716329"/>
    <w:rsid w:val="007165B6"/>
    <w:rsid w:val="00717775"/>
    <w:rsid w:val="00720D55"/>
    <w:rsid w:val="00726366"/>
    <w:rsid w:val="00726AF5"/>
    <w:rsid w:val="007304AD"/>
    <w:rsid w:val="00740D59"/>
    <w:rsid w:val="00745E67"/>
    <w:rsid w:val="00752B78"/>
    <w:rsid w:val="00755E9C"/>
    <w:rsid w:val="007606B1"/>
    <w:rsid w:val="0076376F"/>
    <w:rsid w:val="00770BE4"/>
    <w:rsid w:val="00786C20"/>
    <w:rsid w:val="00793F92"/>
    <w:rsid w:val="00797B9E"/>
    <w:rsid w:val="007A53D8"/>
    <w:rsid w:val="007A7383"/>
    <w:rsid w:val="007B0732"/>
    <w:rsid w:val="007B0C04"/>
    <w:rsid w:val="007B4215"/>
    <w:rsid w:val="007B6D6D"/>
    <w:rsid w:val="007C6FD3"/>
    <w:rsid w:val="007D20FC"/>
    <w:rsid w:val="007D246B"/>
    <w:rsid w:val="007D461D"/>
    <w:rsid w:val="007E12DD"/>
    <w:rsid w:val="007E3330"/>
    <w:rsid w:val="007E4883"/>
    <w:rsid w:val="007E7993"/>
    <w:rsid w:val="007F52C6"/>
    <w:rsid w:val="007F6C4F"/>
    <w:rsid w:val="00804A5E"/>
    <w:rsid w:val="00806A9A"/>
    <w:rsid w:val="008155CB"/>
    <w:rsid w:val="00816662"/>
    <w:rsid w:val="0081754D"/>
    <w:rsid w:val="00820B66"/>
    <w:rsid w:val="00823F41"/>
    <w:rsid w:val="00832CA1"/>
    <w:rsid w:val="00833C19"/>
    <w:rsid w:val="00833DC0"/>
    <w:rsid w:val="00835911"/>
    <w:rsid w:val="00841662"/>
    <w:rsid w:val="0085226B"/>
    <w:rsid w:val="00855E18"/>
    <w:rsid w:val="00856584"/>
    <w:rsid w:val="00861239"/>
    <w:rsid w:val="008648DD"/>
    <w:rsid w:val="00872F68"/>
    <w:rsid w:val="00873803"/>
    <w:rsid w:val="00886467"/>
    <w:rsid w:val="008907D3"/>
    <w:rsid w:val="008938C5"/>
    <w:rsid w:val="0089792C"/>
    <w:rsid w:val="008A2C34"/>
    <w:rsid w:val="008A37AB"/>
    <w:rsid w:val="008A7E05"/>
    <w:rsid w:val="008B0412"/>
    <w:rsid w:val="008B294E"/>
    <w:rsid w:val="008B38D4"/>
    <w:rsid w:val="008B4200"/>
    <w:rsid w:val="008C4A7A"/>
    <w:rsid w:val="008D0FEB"/>
    <w:rsid w:val="008D24B2"/>
    <w:rsid w:val="008E3F13"/>
    <w:rsid w:val="008E47E8"/>
    <w:rsid w:val="008E4895"/>
    <w:rsid w:val="008E7136"/>
    <w:rsid w:val="008E7547"/>
    <w:rsid w:val="008F051E"/>
    <w:rsid w:val="008F0597"/>
    <w:rsid w:val="008F38DC"/>
    <w:rsid w:val="008F6D47"/>
    <w:rsid w:val="00900727"/>
    <w:rsid w:val="009114EA"/>
    <w:rsid w:val="00922926"/>
    <w:rsid w:val="00927053"/>
    <w:rsid w:val="00930695"/>
    <w:rsid w:val="00933206"/>
    <w:rsid w:val="00935AEA"/>
    <w:rsid w:val="009437B9"/>
    <w:rsid w:val="009448E7"/>
    <w:rsid w:val="00946D6C"/>
    <w:rsid w:val="0094791A"/>
    <w:rsid w:val="00966CAD"/>
    <w:rsid w:val="00967567"/>
    <w:rsid w:val="00970045"/>
    <w:rsid w:val="00971784"/>
    <w:rsid w:val="00971F03"/>
    <w:rsid w:val="0097590A"/>
    <w:rsid w:val="0097695F"/>
    <w:rsid w:val="00976DA0"/>
    <w:rsid w:val="00982D93"/>
    <w:rsid w:val="00985448"/>
    <w:rsid w:val="00991641"/>
    <w:rsid w:val="00992EDD"/>
    <w:rsid w:val="00996664"/>
    <w:rsid w:val="009A240A"/>
    <w:rsid w:val="009A41A4"/>
    <w:rsid w:val="009A76FC"/>
    <w:rsid w:val="009B11C8"/>
    <w:rsid w:val="009B4CE9"/>
    <w:rsid w:val="009B6289"/>
    <w:rsid w:val="009B79C7"/>
    <w:rsid w:val="009C341B"/>
    <w:rsid w:val="009E0083"/>
    <w:rsid w:val="009E1B40"/>
    <w:rsid w:val="009E1DAB"/>
    <w:rsid w:val="009E2239"/>
    <w:rsid w:val="009F363E"/>
    <w:rsid w:val="00A02F67"/>
    <w:rsid w:val="00A054FE"/>
    <w:rsid w:val="00A07B0E"/>
    <w:rsid w:val="00A2653E"/>
    <w:rsid w:val="00A307A9"/>
    <w:rsid w:val="00A541F2"/>
    <w:rsid w:val="00A77699"/>
    <w:rsid w:val="00A80949"/>
    <w:rsid w:val="00A82C64"/>
    <w:rsid w:val="00A85912"/>
    <w:rsid w:val="00A8615F"/>
    <w:rsid w:val="00A87FEE"/>
    <w:rsid w:val="00A9066F"/>
    <w:rsid w:val="00A96D99"/>
    <w:rsid w:val="00AB0244"/>
    <w:rsid w:val="00AB46AE"/>
    <w:rsid w:val="00AC2852"/>
    <w:rsid w:val="00AC4FFC"/>
    <w:rsid w:val="00AD185B"/>
    <w:rsid w:val="00AD4B7E"/>
    <w:rsid w:val="00AD66E1"/>
    <w:rsid w:val="00AD7C81"/>
    <w:rsid w:val="00AE1D3D"/>
    <w:rsid w:val="00AE6B18"/>
    <w:rsid w:val="00AF48E9"/>
    <w:rsid w:val="00AF50C9"/>
    <w:rsid w:val="00B00B50"/>
    <w:rsid w:val="00B02B08"/>
    <w:rsid w:val="00B14F8F"/>
    <w:rsid w:val="00B20998"/>
    <w:rsid w:val="00B2164C"/>
    <w:rsid w:val="00B3254F"/>
    <w:rsid w:val="00B3630D"/>
    <w:rsid w:val="00B3727B"/>
    <w:rsid w:val="00B41B47"/>
    <w:rsid w:val="00B538F9"/>
    <w:rsid w:val="00B6116E"/>
    <w:rsid w:val="00B618FB"/>
    <w:rsid w:val="00B63584"/>
    <w:rsid w:val="00B75733"/>
    <w:rsid w:val="00B87A64"/>
    <w:rsid w:val="00B932A5"/>
    <w:rsid w:val="00B94119"/>
    <w:rsid w:val="00BA4029"/>
    <w:rsid w:val="00BB417D"/>
    <w:rsid w:val="00BB59A8"/>
    <w:rsid w:val="00BB7025"/>
    <w:rsid w:val="00BB73EC"/>
    <w:rsid w:val="00BD129E"/>
    <w:rsid w:val="00BD22B9"/>
    <w:rsid w:val="00BE1318"/>
    <w:rsid w:val="00BE2A62"/>
    <w:rsid w:val="00BF2EFC"/>
    <w:rsid w:val="00BF4A7D"/>
    <w:rsid w:val="00BF4DF8"/>
    <w:rsid w:val="00C0351C"/>
    <w:rsid w:val="00C14C5D"/>
    <w:rsid w:val="00C15EBF"/>
    <w:rsid w:val="00C16659"/>
    <w:rsid w:val="00C23444"/>
    <w:rsid w:val="00C25BFD"/>
    <w:rsid w:val="00C25CD1"/>
    <w:rsid w:val="00C25E0F"/>
    <w:rsid w:val="00C27D1D"/>
    <w:rsid w:val="00C322A1"/>
    <w:rsid w:val="00C32D4D"/>
    <w:rsid w:val="00C3456B"/>
    <w:rsid w:val="00C44E8B"/>
    <w:rsid w:val="00C50DE7"/>
    <w:rsid w:val="00C576B1"/>
    <w:rsid w:val="00C62EF3"/>
    <w:rsid w:val="00C6659B"/>
    <w:rsid w:val="00C70C4F"/>
    <w:rsid w:val="00C761B0"/>
    <w:rsid w:val="00C7629C"/>
    <w:rsid w:val="00C777C8"/>
    <w:rsid w:val="00C828AE"/>
    <w:rsid w:val="00C83B49"/>
    <w:rsid w:val="00C841C2"/>
    <w:rsid w:val="00C8770A"/>
    <w:rsid w:val="00C96018"/>
    <w:rsid w:val="00CA0914"/>
    <w:rsid w:val="00CB0F94"/>
    <w:rsid w:val="00CC05D5"/>
    <w:rsid w:val="00CC1CC3"/>
    <w:rsid w:val="00CC350D"/>
    <w:rsid w:val="00CC423E"/>
    <w:rsid w:val="00CC4CCA"/>
    <w:rsid w:val="00CC4FFC"/>
    <w:rsid w:val="00CC541A"/>
    <w:rsid w:val="00CE1EFE"/>
    <w:rsid w:val="00CF5954"/>
    <w:rsid w:val="00D03220"/>
    <w:rsid w:val="00D050A6"/>
    <w:rsid w:val="00D0606D"/>
    <w:rsid w:val="00D13957"/>
    <w:rsid w:val="00D15F0B"/>
    <w:rsid w:val="00D177AE"/>
    <w:rsid w:val="00D2528B"/>
    <w:rsid w:val="00D25EF8"/>
    <w:rsid w:val="00D312BC"/>
    <w:rsid w:val="00D40AF4"/>
    <w:rsid w:val="00D463BD"/>
    <w:rsid w:val="00D51EA1"/>
    <w:rsid w:val="00D542E2"/>
    <w:rsid w:val="00D54861"/>
    <w:rsid w:val="00D62EB9"/>
    <w:rsid w:val="00D66D2E"/>
    <w:rsid w:val="00D7034E"/>
    <w:rsid w:val="00D7243E"/>
    <w:rsid w:val="00D726D2"/>
    <w:rsid w:val="00D808C1"/>
    <w:rsid w:val="00D87090"/>
    <w:rsid w:val="00DA5B2D"/>
    <w:rsid w:val="00DB3C09"/>
    <w:rsid w:val="00DB4820"/>
    <w:rsid w:val="00DD03C2"/>
    <w:rsid w:val="00DD252C"/>
    <w:rsid w:val="00DD3C7C"/>
    <w:rsid w:val="00DD4278"/>
    <w:rsid w:val="00DE3045"/>
    <w:rsid w:val="00DF35A7"/>
    <w:rsid w:val="00DF4528"/>
    <w:rsid w:val="00E1793C"/>
    <w:rsid w:val="00E32735"/>
    <w:rsid w:val="00E349D9"/>
    <w:rsid w:val="00E3535C"/>
    <w:rsid w:val="00E3728E"/>
    <w:rsid w:val="00E46491"/>
    <w:rsid w:val="00E55DB1"/>
    <w:rsid w:val="00E61549"/>
    <w:rsid w:val="00E61813"/>
    <w:rsid w:val="00E61EA2"/>
    <w:rsid w:val="00E650A4"/>
    <w:rsid w:val="00E66DEE"/>
    <w:rsid w:val="00E701BD"/>
    <w:rsid w:val="00E70C03"/>
    <w:rsid w:val="00E76F80"/>
    <w:rsid w:val="00E837E7"/>
    <w:rsid w:val="00E85C64"/>
    <w:rsid w:val="00EA2385"/>
    <w:rsid w:val="00EB0698"/>
    <w:rsid w:val="00EC6863"/>
    <w:rsid w:val="00EC77B9"/>
    <w:rsid w:val="00EC7E9C"/>
    <w:rsid w:val="00EE0C39"/>
    <w:rsid w:val="00EE5AED"/>
    <w:rsid w:val="00EE6BE4"/>
    <w:rsid w:val="00EF11B0"/>
    <w:rsid w:val="00EF62BD"/>
    <w:rsid w:val="00EF64A7"/>
    <w:rsid w:val="00EF7567"/>
    <w:rsid w:val="00F0028D"/>
    <w:rsid w:val="00F0034D"/>
    <w:rsid w:val="00F032DC"/>
    <w:rsid w:val="00F10E01"/>
    <w:rsid w:val="00F1252C"/>
    <w:rsid w:val="00F16B7A"/>
    <w:rsid w:val="00F2275B"/>
    <w:rsid w:val="00F274B2"/>
    <w:rsid w:val="00F35984"/>
    <w:rsid w:val="00F37B16"/>
    <w:rsid w:val="00F37FB6"/>
    <w:rsid w:val="00F44A88"/>
    <w:rsid w:val="00F4511E"/>
    <w:rsid w:val="00F477B4"/>
    <w:rsid w:val="00F63F43"/>
    <w:rsid w:val="00F669A5"/>
    <w:rsid w:val="00F66C7D"/>
    <w:rsid w:val="00F671C5"/>
    <w:rsid w:val="00F756E5"/>
    <w:rsid w:val="00F823DD"/>
    <w:rsid w:val="00F82EED"/>
    <w:rsid w:val="00F93D10"/>
    <w:rsid w:val="00F964A5"/>
    <w:rsid w:val="00FA54BF"/>
    <w:rsid w:val="00FA6957"/>
    <w:rsid w:val="00FB5E1E"/>
    <w:rsid w:val="00FB6471"/>
    <w:rsid w:val="00FB67AD"/>
    <w:rsid w:val="00FC0573"/>
    <w:rsid w:val="00FC1982"/>
    <w:rsid w:val="00FC3DB5"/>
    <w:rsid w:val="00FC4057"/>
    <w:rsid w:val="00FD0755"/>
    <w:rsid w:val="00FD3A92"/>
    <w:rsid w:val="00FD76F5"/>
    <w:rsid w:val="00FE0279"/>
    <w:rsid w:val="00FF7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qFormat="1"/>
    <w:lsdException w:name="toc 2" w:uiPriority="39" w:qFormat="1"/>
    <w:lsdException w:name="toc 3" w:uiPriority="39"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Normal (Web)"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35C"/>
    <w:rPr>
      <w:sz w:val="24"/>
      <w:szCs w:val="24"/>
    </w:rPr>
  </w:style>
  <w:style w:type="paragraph" w:styleId="Heading1">
    <w:name w:val="heading 1"/>
    <w:basedOn w:val="Normal"/>
    <w:next w:val="Normal"/>
    <w:link w:val="Heading1Char2"/>
    <w:qFormat/>
    <w:locked/>
    <w:rsid w:val="00FC4057"/>
    <w:pPr>
      <w:jc w:val="center"/>
      <w:outlineLvl w:val="0"/>
    </w:pPr>
    <w:rPr>
      <w:b/>
      <w:bCs/>
      <w:color w:val="000000"/>
      <w:sz w:val="20"/>
    </w:rPr>
  </w:style>
  <w:style w:type="paragraph" w:styleId="Heading2">
    <w:name w:val="heading 2"/>
    <w:basedOn w:val="Normal"/>
    <w:next w:val="Normal"/>
    <w:link w:val="Heading2Char"/>
    <w:qFormat/>
    <w:rsid w:val="00FC4057"/>
    <w:pPr>
      <w:ind w:left="1440" w:hanging="1440"/>
      <w:outlineLvl w:val="1"/>
    </w:pPr>
    <w:rPr>
      <w:b/>
      <w:bCs/>
      <w:color w:val="000000"/>
      <w:sz w:val="20"/>
    </w:rPr>
  </w:style>
  <w:style w:type="paragraph" w:styleId="Heading4">
    <w:name w:val="heading 4"/>
    <w:basedOn w:val="Normal"/>
    <w:next w:val="Normal"/>
    <w:qFormat/>
    <w:rsid w:val="00E3535C"/>
    <w:pPr>
      <w:keepNext/>
      <w:widowControl w:val="0"/>
      <w:tabs>
        <w:tab w:val="left" w:pos="-696"/>
        <w:tab w:val="left" w:pos="5496"/>
      </w:tabs>
      <w:suppressAutoHyphens/>
      <w:autoSpaceDE w:val="0"/>
      <w:autoSpaceDN w:val="0"/>
      <w:adjustRightInd w:val="0"/>
      <w:spacing w:before="90" w:after="54" w:line="192" w:lineRule="auto"/>
      <w:jc w:val="center"/>
      <w:outlineLvl w:val="3"/>
    </w:pPr>
    <w:rPr>
      <w:rFonts w:ascii="CG Times" w:hAnsi="CG Times" w:cs="CG Time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FC4057"/>
    <w:rPr>
      <w:b/>
      <w:bCs/>
      <w:kern w:val="32"/>
      <w:szCs w:val="32"/>
    </w:rPr>
  </w:style>
  <w:style w:type="character" w:customStyle="1" w:styleId="Heading2Char">
    <w:name w:val="Heading 2 Char"/>
    <w:basedOn w:val="DefaultParagraphFont"/>
    <w:link w:val="Heading2"/>
    <w:locked/>
    <w:rsid w:val="00FC4057"/>
    <w:rPr>
      <w:b/>
      <w:bCs/>
      <w:color w:val="000000"/>
      <w:szCs w:val="24"/>
    </w:rPr>
  </w:style>
  <w:style w:type="paragraph" w:styleId="Header">
    <w:name w:val="header"/>
    <w:basedOn w:val="Normal"/>
    <w:rsid w:val="00E3535C"/>
    <w:pPr>
      <w:tabs>
        <w:tab w:val="center" w:pos="4320"/>
        <w:tab w:val="right" w:pos="8640"/>
      </w:tabs>
    </w:pPr>
  </w:style>
  <w:style w:type="paragraph" w:styleId="Footer">
    <w:name w:val="footer"/>
    <w:basedOn w:val="Normal"/>
    <w:rsid w:val="00E3535C"/>
    <w:pPr>
      <w:tabs>
        <w:tab w:val="center" w:pos="4320"/>
        <w:tab w:val="right" w:pos="8640"/>
      </w:tabs>
    </w:pPr>
  </w:style>
  <w:style w:type="paragraph" w:styleId="EnvelopeAddress">
    <w:name w:val="envelope address"/>
    <w:basedOn w:val="Normal"/>
    <w:rsid w:val="00E3535C"/>
    <w:pPr>
      <w:framePr w:w="7920" w:h="1980" w:hRule="exact" w:hSpace="180" w:wrap="auto" w:hAnchor="page" w:xAlign="center" w:yAlign="bottom"/>
      <w:ind w:left="2880"/>
    </w:pPr>
    <w:rPr>
      <w:rFonts w:cs="Arial"/>
    </w:rPr>
  </w:style>
  <w:style w:type="paragraph" w:styleId="EnvelopeReturn">
    <w:name w:val="envelope return"/>
    <w:basedOn w:val="Normal"/>
    <w:rsid w:val="00E3535C"/>
    <w:rPr>
      <w:rFonts w:cs="Arial"/>
      <w:sz w:val="20"/>
      <w:szCs w:val="20"/>
    </w:rPr>
  </w:style>
  <w:style w:type="character" w:styleId="PageNumber">
    <w:name w:val="page number"/>
    <w:basedOn w:val="DefaultParagraphFont"/>
    <w:rsid w:val="00E3535C"/>
    <w:rPr>
      <w:rFonts w:cs="Times New Roman"/>
    </w:rPr>
  </w:style>
  <w:style w:type="paragraph" w:customStyle="1" w:styleId="Document1">
    <w:name w:val="Document 1"/>
    <w:rsid w:val="00E3535C"/>
    <w:pPr>
      <w:keepNext/>
      <w:keepLines/>
      <w:widowControl w:val="0"/>
      <w:tabs>
        <w:tab w:val="left" w:pos="-720"/>
      </w:tabs>
      <w:suppressAutoHyphens/>
      <w:autoSpaceDE w:val="0"/>
      <w:autoSpaceDN w:val="0"/>
      <w:adjustRightInd w:val="0"/>
    </w:pPr>
    <w:rPr>
      <w:rFonts w:ascii="CG Times" w:hAnsi="CG Times" w:cs="CG Times"/>
      <w:sz w:val="24"/>
      <w:szCs w:val="24"/>
    </w:rPr>
  </w:style>
  <w:style w:type="paragraph" w:customStyle="1" w:styleId="Technical4">
    <w:name w:val="Technical 4"/>
    <w:rsid w:val="00E3535C"/>
    <w:pPr>
      <w:widowControl w:val="0"/>
      <w:tabs>
        <w:tab w:val="left" w:pos="-720"/>
      </w:tabs>
      <w:suppressAutoHyphens/>
      <w:autoSpaceDE w:val="0"/>
      <w:autoSpaceDN w:val="0"/>
      <w:adjustRightInd w:val="0"/>
    </w:pPr>
    <w:rPr>
      <w:rFonts w:ascii="CG Times" w:hAnsi="CG Times" w:cs="CG Times"/>
      <w:b/>
      <w:bCs/>
      <w:sz w:val="24"/>
      <w:szCs w:val="24"/>
    </w:rPr>
  </w:style>
  <w:style w:type="paragraph" w:styleId="BodyTextIndent">
    <w:name w:val="Body Text Indent"/>
    <w:basedOn w:val="Normal"/>
    <w:rsid w:val="00E3535C"/>
    <w:pPr>
      <w:autoSpaceDE w:val="0"/>
      <w:autoSpaceDN w:val="0"/>
      <w:adjustRightInd w:val="0"/>
      <w:ind w:left="360"/>
    </w:pPr>
    <w:rPr>
      <w:rFonts w:ascii="Times" w:hAnsi="Times"/>
      <w:color w:val="FF0000"/>
    </w:rPr>
  </w:style>
  <w:style w:type="paragraph" w:styleId="BodyText">
    <w:name w:val="Body Text"/>
    <w:basedOn w:val="Normal"/>
    <w:link w:val="BodyTextChar"/>
    <w:rsid w:val="00E3535C"/>
    <w:pPr>
      <w:widowControl w:val="0"/>
      <w:tabs>
        <w:tab w:val="left" w:pos="-720"/>
      </w:tabs>
      <w:suppressAutoHyphens/>
      <w:autoSpaceDE w:val="0"/>
      <w:autoSpaceDN w:val="0"/>
      <w:adjustRightInd w:val="0"/>
    </w:pPr>
    <w:rPr>
      <w:rFonts w:ascii="CG Times" w:hAnsi="CG Times" w:cs="CG Times"/>
    </w:rPr>
  </w:style>
  <w:style w:type="character" w:customStyle="1" w:styleId="BodyTextChar">
    <w:name w:val="Body Text Char"/>
    <w:basedOn w:val="DefaultParagraphFont"/>
    <w:link w:val="BodyText"/>
    <w:locked/>
    <w:rsid w:val="00E3535C"/>
    <w:rPr>
      <w:rFonts w:ascii="CG Times" w:hAnsi="CG Times" w:cs="CG Times"/>
      <w:sz w:val="24"/>
      <w:szCs w:val="24"/>
    </w:rPr>
  </w:style>
  <w:style w:type="paragraph" w:styleId="TOC1">
    <w:name w:val="toc 1"/>
    <w:basedOn w:val="Normal"/>
    <w:next w:val="Normal"/>
    <w:autoRedefine/>
    <w:uiPriority w:val="39"/>
    <w:qFormat/>
    <w:rsid w:val="00946D6C"/>
    <w:pPr>
      <w:widowControl w:val="0"/>
      <w:tabs>
        <w:tab w:val="left" w:leader="dot" w:pos="9000"/>
        <w:tab w:val="right" w:pos="9360"/>
      </w:tabs>
      <w:suppressAutoHyphens/>
      <w:autoSpaceDE w:val="0"/>
      <w:autoSpaceDN w:val="0"/>
      <w:adjustRightInd w:val="0"/>
      <w:ind w:left="900" w:right="720" w:hanging="900"/>
      <w:contextualSpacing/>
    </w:pPr>
    <w:rPr>
      <w:noProof/>
      <w:sz w:val="20"/>
    </w:rPr>
  </w:style>
  <w:style w:type="paragraph" w:styleId="TOC2">
    <w:name w:val="toc 2"/>
    <w:basedOn w:val="Normal"/>
    <w:next w:val="Normal"/>
    <w:autoRedefine/>
    <w:uiPriority w:val="39"/>
    <w:qFormat/>
    <w:rsid w:val="00946D6C"/>
    <w:pPr>
      <w:widowControl w:val="0"/>
      <w:tabs>
        <w:tab w:val="left" w:pos="900"/>
        <w:tab w:val="left" w:leader="dot" w:pos="9000"/>
        <w:tab w:val="right" w:pos="9360"/>
      </w:tabs>
      <w:suppressAutoHyphens/>
      <w:autoSpaceDE w:val="0"/>
      <w:autoSpaceDN w:val="0"/>
      <w:adjustRightInd w:val="0"/>
      <w:ind w:left="900" w:right="720" w:hanging="900"/>
      <w:contextualSpacing/>
    </w:pPr>
    <w:rPr>
      <w:sz w:val="20"/>
    </w:rPr>
  </w:style>
  <w:style w:type="paragraph" w:customStyle="1" w:styleId="Plan2">
    <w:name w:val="Plan 2"/>
    <w:basedOn w:val="Normal"/>
    <w:rsid w:val="00E3535C"/>
    <w:pPr>
      <w:tabs>
        <w:tab w:val="left" w:pos="567"/>
        <w:tab w:val="left" w:pos="1134"/>
        <w:tab w:val="left" w:pos="1701"/>
        <w:tab w:val="left" w:pos="2268"/>
        <w:tab w:val="left" w:pos="2835"/>
        <w:tab w:val="left" w:pos="3402"/>
        <w:tab w:val="left" w:pos="3969"/>
        <w:tab w:val="left" w:pos="4536"/>
        <w:tab w:val="left" w:pos="5103"/>
        <w:tab w:val="left" w:pos="5670"/>
      </w:tabs>
      <w:suppressAutoHyphens/>
      <w:autoSpaceDE w:val="0"/>
      <w:autoSpaceDN w:val="0"/>
      <w:adjustRightInd w:val="0"/>
      <w:jc w:val="both"/>
    </w:pPr>
    <w:rPr>
      <w:b/>
      <w:bCs/>
      <w:caps/>
    </w:rPr>
  </w:style>
  <w:style w:type="paragraph" w:customStyle="1" w:styleId="heading">
    <w:name w:val="heading"/>
    <w:basedOn w:val="Normal"/>
    <w:rsid w:val="00E3535C"/>
    <w:pPr>
      <w:autoSpaceDE w:val="0"/>
      <w:autoSpaceDN w:val="0"/>
      <w:adjustRightInd w:val="0"/>
      <w:spacing w:line="320" w:lineRule="atLeast"/>
      <w:jc w:val="center"/>
    </w:pPr>
    <w:rPr>
      <w:sz w:val="28"/>
      <w:szCs w:val="28"/>
    </w:rPr>
  </w:style>
  <w:style w:type="paragraph" w:customStyle="1" w:styleId="contents">
    <w:name w:val="contents"/>
    <w:basedOn w:val="Normal"/>
    <w:rsid w:val="00E3535C"/>
    <w:pPr>
      <w:tabs>
        <w:tab w:val="right" w:leader="dot" w:pos="8540"/>
      </w:tabs>
      <w:autoSpaceDE w:val="0"/>
      <w:autoSpaceDN w:val="0"/>
      <w:adjustRightInd w:val="0"/>
      <w:spacing w:line="280" w:lineRule="atLeast"/>
      <w:jc w:val="both"/>
    </w:pPr>
  </w:style>
  <w:style w:type="paragraph" w:customStyle="1" w:styleId="in1">
    <w:name w:val="in1"/>
    <w:basedOn w:val="Normal"/>
    <w:rsid w:val="00E3535C"/>
    <w:pPr>
      <w:autoSpaceDE w:val="0"/>
      <w:autoSpaceDN w:val="0"/>
      <w:adjustRightInd w:val="0"/>
      <w:ind w:left="374" w:right="14" w:hanging="187"/>
    </w:pPr>
  </w:style>
  <w:style w:type="paragraph" w:customStyle="1" w:styleId="Normal1">
    <w:name w:val="Normal1"/>
    <w:basedOn w:val="Normal"/>
    <w:rsid w:val="00E3535C"/>
    <w:pPr>
      <w:autoSpaceDE w:val="0"/>
      <w:autoSpaceDN w:val="0"/>
      <w:adjustRightInd w:val="0"/>
      <w:ind w:left="187" w:hanging="187"/>
    </w:pPr>
  </w:style>
  <w:style w:type="paragraph" w:customStyle="1" w:styleId="in2">
    <w:name w:val="in2"/>
    <w:basedOn w:val="Normal"/>
    <w:rsid w:val="00E3535C"/>
    <w:pPr>
      <w:autoSpaceDE w:val="0"/>
      <w:autoSpaceDN w:val="0"/>
      <w:adjustRightInd w:val="0"/>
      <w:ind w:left="547" w:right="14" w:hanging="187"/>
    </w:pPr>
  </w:style>
  <w:style w:type="paragraph" w:customStyle="1" w:styleId="in2at10">
    <w:name w:val="in2at10"/>
    <w:basedOn w:val="in2"/>
    <w:rsid w:val="00E3535C"/>
    <w:pPr>
      <w:ind w:left="540" w:right="20" w:hanging="180"/>
    </w:pPr>
    <w:rPr>
      <w:sz w:val="20"/>
      <w:szCs w:val="20"/>
    </w:rPr>
  </w:style>
  <w:style w:type="paragraph" w:styleId="List">
    <w:name w:val="List"/>
    <w:basedOn w:val="Normal"/>
    <w:rsid w:val="00E3535C"/>
    <w:pPr>
      <w:widowControl w:val="0"/>
      <w:autoSpaceDE w:val="0"/>
      <w:autoSpaceDN w:val="0"/>
      <w:adjustRightInd w:val="0"/>
      <w:ind w:left="360" w:hanging="360"/>
    </w:pPr>
    <w:rPr>
      <w:rFonts w:ascii="CG Times" w:hAnsi="CG Times" w:cs="CG Times"/>
    </w:rPr>
  </w:style>
  <w:style w:type="character" w:styleId="Strong">
    <w:name w:val="Strong"/>
    <w:basedOn w:val="DefaultParagraphFont"/>
    <w:qFormat/>
    <w:rsid w:val="00E3535C"/>
    <w:rPr>
      <w:rFonts w:cs="Times New Roman"/>
      <w:b/>
      <w:bCs/>
      <w:spacing w:val="0"/>
    </w:rPr>
  </w:style>
  <w:style w:type="paragraph" w:styleId="BalloonText">
    <w:name w:val="Balloon Text"/>
    <w:basedOn w:val="Normal"/>
    <w:semiHidden/>
    <w:rsid w:val="00E3535C"/>
    <w:rPr>
      <w:rFonts w:ascii="Tahoma" w:hAnsi="Tahoma" w:cs="Tahoma"/>
      <w:sz w:val="16"/>
      <w:szCs w:val="16"/>
    </w:rPr>
  </w:style>
  <w:style w:type="character" w:styleId="Hyperlink">
    <w:name w:val="Hyperlink"/>
    <w:basedOn w:val="DefaultParagraphFont"/>
    <w:uiPriority w:val="99"/>
    <w:rsid w:val="00E3535C"/>
    <w:rPr>
      <w:rFonts w:cs="Times New Roman"/>
      <w:color w:val="0000FF"/>
      <w:u w:val="single"/>
    </w:rPr>
  </w:style>
  <w:style w:type="paragraph" w:customStyle="1" w:styleId="Arial">
    <w:name w:val="Arial"/>
    <w:basedOn w:val="Normal"/>
    <w:link w:val="ArialChar"/>
    <w:rsid w:val="00E3535C"/>
    <w:rPr>
      <w:rFonts w:ascii="Arial" w:hAnsi="Arial"/>
      <w:b/>
      <w:bCs/>
      <w:sz w:val="20"/>
    </w:rPr>
  </w:style>
  <w:style w:type="character" w:customStyle="1" w:styleId="ArialChar">
    <w:name w:val="Arial Char"/>
    <w:basedOn w:val="DefaultParagraphFont"/>
    <w:link w:val="Arial"/>
    <w:locked/>
    <w:rsid w:val="00E3535C"/>
    <w:rPr>
      <w:rFonts w:ascii="Arial" w:hAnsi="Arial" w:cs="Times New Roman"/>
      <w:b/>
      <w:bCs/>
      <w:sz w:val="24"/>
      <w:szCs w:val="24"/>
      <w:lang w:val="en-US" w:eastAsia="en-US" w:bidi="ar-SA"/>
    </w:rPr>
  </w:style>
  <w:style w:type="character" w:styleId="CommentReference">
    <w:name w:val="annotation reference"/>
    <w:basedOn w:val="DefaultParagraphFont"/>
    <w:semiHidden/>
    <w:rsid w:val="00E3535C"/>
    <w:rPr>
      <w:rFonts w:cs="Times New Roman"/>
      <w:sz w:val="16"/>
      <w:szCs w:val="16"/>
    </w:rPr>
  </w:style>
  <w:style w:type="paragraph" w:styleId="CommentText">
    <w:name w:val="annotation text"/>
    <w:basedOn w:val="Normal"/>
    <w:link w:val="CommentTextChar"/>
    <w:semiHidden/>
    <w:rsid w:val="00E3535C"/>
    <w:rPr>
      <w:sz w:val="20"/>
      <w:szCs w:val="20"/>
    </w:rPr>
  </w:style>
  <w:style w:type="paragraph" w:styleId="CommentSubject">
    <w:name w:val="annotation subject"/>
    <w:basedOn w:val="CommentText"/>
    <w:next w:val="CommentText"/>
    <w:semiHidden/>
    <w:rsid w:val="00E3535C"/>
    <w:rPr>
      <w:b/>
      <w:bCs/>
    </w:rPr>
  </w:style>
  <w:style w:type="paragraph" w:styleId="BodyText2">
    <w:name w:val="Body Text 2"/>
    <w:basedOn w:val="Normal"/>
    <w:rsid w:val="00E3535C"/>
    <w:pPr>
      <w:spacing w:after="120" w:line="480" w:lineRule="auto"/>
    </w:pPr>
  </w:style>
  <w:style w:type="paragraph" w:customStyle="1" w:styleId="BodyTextF10K">
    <w:name w:val="Body Text F10K"/>
    <w:basedOn w:val="BodyText2"/>
    <w:rsid w:val="00E3535C"/>
    <w:pPr>
      <w:widowControl w:val="0"/>
      <w:tabs>
        <w:tab w:val="left" w:pos="-1440"/>
        <w:tab w:val="left" w:pos="-720"/>
      </w:tabs>
      <w:suppressAutoHyphens/>
      <w:spacing w:after="0" w:line="192" w:lineRule="auto"/>
    </w:pPr>
    <w:rPr>
      <w:rFonts w:ascii="CG Times" w:hAnsi="CG Times"/>
      <w:bCs/>
      <w:sz w:val="22"/>
      <w:szCs w:val="20"/>
    </w:rPr>
  </w:style>
  <w:style w:type="character" w:customStyle="1" w:styleId="text">
    <w:name w:val="text"/>
    <w:basedOn w:val="DefaultParagraphFont"/>
    <w:rsid w:val="00E3535C"/>
    <w:rPr>
      <w:rFonts w:cs="Times New Roman"/>
    </w:rPr>
  </w:style>
  <w:style w:type="paragraph" w:styleId="Revision">
    <w:name w:val="Revision"/>
    <w:hidden/>
    <w:semiHidden/>
    <w:rsid w:val="00E3535C"/>
    <w:rPr>
      <w:sz w:val="24"/>
      <w:szCs w:val="24"/>
    </w:rPr>
  </w:style>
  <w:style w:type="paragraph" w:styleId="NormalWeb">
    <w:name w:val="Normal (Web)"/>
    <w:basedOn w:val="Normal"/>
    <w:rsid w:val="00E3535C"/>
    <w:pPr>
      <w:spacing w:before="100" w:beforeAutospacing="1" w:after="100" w:afterAutospacing="1"/>
    </w:pPr>
  </w:style>
  <w:style w:type="character" w:customStyle="1" w:styleId="deltaviewinsertion">
    <w:name w:val="deltaviewinsertion"/>
    <w:basedOn w:val="DefaultParagraphFont"/>
    <w:rsid w:val="00E3535C"/>
    <w:rPr>
      <w:rFonts w:cs="Times New Roman"/>
    </w:rPr>
  </w:style>
  <w:style w:type="paragraph" w:styleId="ListParagraph">
    <w:name w:val="List Paragraph"/>
    <w:basedOn w:val="Normal"/>
    <w:qFormat/>
    <w:rsid w:val="00E3535C"/>
    <w:pPr>
      <w:ind w:left="720"/>
      <w:contextualSpacing/>
    </w:pPr>
  </w:style>
  <w:style w:type="table" w:styleId="TableGrid">
    <w:name w:val="Table Grid"/>
    <w:basedOn w:val="TableNormal"/>
    <w:rsid w:val="00E353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FirstIndentSingle">
    <w:name w:val="Body Text First Indent Single"/>
    <w:aliases w:val="btfis"/>
    <w:basedOn w:val="BodyTextFirstIndent"/>
    <w:link w:val="BodyTextFirstIndentSingleChar"/>
    <w:rsid w:val="00E3535C"/>
    <w:pPr>
      <w:spacing w:after="240"/>
      <w:ind w:firstLine="720"/>
      <w:jc w:val="both"/>
    </w:pPr>
    <w:rPr>
      <w:sz w:val="20"/>
    </w:rPr>
  </w:style>
  <w:style w:type="paragraph" w:styleId="BodyTextFirstIndent">
    <w:name w:val="Body Text First Indent"/>
    <w:basedOn w:val="BodyText"/>
    <w:link w:val="BodyTextFirstIndentChar"/>
    <w:rsid w:val="00E3535C"/>
    <w:pPr>
      <w:widowControl/>
      <w:tabs>
        <w:tab w:val="clear" w:pos="-720"/>
      </w:tabs>
      <w:suppressAutoHyphens w:val="0"/>
      <w:autoSpaceDE/>
      <w:autoSpaceDN/>
      <w:adjustRightInd/>
      <w:spacing w:after="120"/>
      <w:ind w:firstLine="210"/>
    </w:pPr>
    <w:rPr>
      <w:rFonts w:ascii="Times New Roman" w:hAnsi="Times New Roman" w:cs="Times New Roman"/>
    </w:rPr>
  </w:style>
  <w:style w:type="character" w:customStyle="1" w:styleId="BodyTextFirstIndentSingleChar">
    <w:name w:val="Body Text First Indent Single Char"/>
    <w:aliases w:val="btfis Char"/>
    <w:basedOn w:val="DefaultParagraphFont"/>
    <w:link w:val="BodyTextFirstIndentSingle"/>
    <w:locked/>
    <w:rsid w:val="00E3535C"/>
    <w:rPr>
      <w:rFonts w:cs="Times New Roman"/>
      <w:sz w:val="24"/>
      <w:szCs w:val="24"/>
    </w:rPr>
  </w:style>
  <w:style w:type="character" w:customStyle="1" w:styleId="apple-style-span">
    <w:name w:val="apple-style-span"/>
    <w:basedOn w:val="DefaultParagraphFont"/>
    <w:rsid w:val="00E3535C"/>
    <w:rPr>
      <w:rFonts w:cs="Times New Roman"/>
    </w:rPr>
  </w:style>
  <w:style w:type="paragraph" w:styleId="FootnoteText">
    <w:name w:val="footnote text"/>
    <w:basedOn w:val="Normal"/>
    <w:link w:val="FootnoteTextChar"/>
    <w:rsid w:val="00E3535C"/>
    <w:rPr>
      <w:sz w:val="20"/>
      <w:szCs w:val="20"/>
    </w:rPr>
  </w:style>
  <w:style w:type="character" w:customStyle="1" w:styleId="FootnoteTextChar">
    <w:name w:val="Footnote Text Char"/>
    <w:basedOn w:val="DefaultParagraphFont"/>
    <w:link w:val="FootnoteText"/>
    <w:locked/>
    <w:rsid w:val="00E3535C"/>
    <w:rPr>
      <w:rFonts w:cs="Times New Roman"/>
    </w:rPr>
  </w:style>
  <w:style w:type="character" w:styleId="FootnoteReference">
    <w:name w:val="footnote reference"/>
    <w:basedOn w:val="DefaultParagraphFont"/>
    <w:rsid w:val="00E3535C"/>
    <w:rPr>
      <w:rFonts w:cs="Times New Roman"/>
      <w:vertAlign w:val="superscript"/>
    </w:rPr>
  </w:style>
  <w:style w:type="character" w:customStyle="1" w:styleId="BodyTextFirstIndentChar">
    <w:name w:val="Body Text First Indent Char"/>
    <w:basedOn w:val="BodyTextChar"/>
    <w:link w:val="BodyTextFirstIndent"/>
    <w:locked/>
    <w:rsid w:val="00E3535C"/>
    <w:rPr>
      <w:rFonts w:ascii="CG Times" w:hAnsi="CG Times" w:cs="CG Times"/>
      <w:sz w:val="24"/>
      <w:szCs w:val="24"/>
    </w:rPr>
  </w:style>
  <w:style w:type="character" w:customStyle="1" w:styleId="DeltaViewInsertion0">
    <w:name w:val="DeltaView Insertion"/>
    <w:rsid w:val="00E3535C"/>
    <w:rPr>
      <w:color w:val="0000FF"/>
      <w:u w:val="double"/>
    </w:rPr>
  </w:style>
  <w:style w:type="character" w:customStyle="1" w:styleId="CommentTextChar">
    <w:name w:val="Comment Text Char"/>
    <w:basedOn w:val="DefaultParagraphFont"/>
    <w:link w:val="CommentText"/>
    <w:semiHidden/>
    <w:locked/>
    <w:rsid w:val="00E3535C"/>
    <w:rPr>
      <w:rFonts w:cs="Times New Roman"/>
    </w:rPr>
  </w:style>
  <w:style w:type="character" w:customStyle="1" w:styleId="CharChar1">
    <w:name w:val="Char Char1"/>
    <w:basedOn w:val="DefaultParagraphFont"/>
    <w:rsid w:val="00E3535C"/>
    <w:rPr>
      <w:rFonts w:ascii="CG Times" w:hAnsi="CG Times" w:cs="CG Times"/>
      <w:sz w:val="24"/>
      <w:szCs w:val="24"/>
      <w:lang w:val="en-US" w:eastAsia="en-US" w:bidi="ar-SA"/>
    </w:rPr>
  </w:style>
  <w:style w:type="character" w:customStyle="1" w:styleId="CharChar">
    <w:name w:val="Char Char"/>
    <w:basedOn w:val="DefaultParagraphFont"/>
    <w:locked/>
    <w:rsid w:val="00E3535C"/>
    <w:rPr>
      <w:rFonts w:ascii="CG Times" w:hAnsi="CG Times" w:cs="CG Times"/>
      <w:sz w:val="24"/>
      <w:szCs w:val="24"/>
      <w:lang w:val="en-US" w:eastAsia="en-US" w:bidi="ar-SA"/>
    </w:rPr>
  </w:style>
  <w:style w:type="character" w:customStyle="1" w:styleId="BodyTextChar1">
    <w:name w:val="Body Text Char1"/>
    <w:rsid w:val="00067612"/>
    <w:rPr>
      <w:rFonts w:ascii="CG Times" w:hAnsi="CG Times" w:cs="CG Times"/>
      <w:sz w:val="24"/>
      <w:szCs w:val="24"/>
      <w:lang w:val="en-US" w:eastAsia="en-US" w:bidi="ar-SA"/>
    </w:rPr>
  </w:style>
  <w:style w:type="character" w:customStyle="1" w:styleId="apple-converted-space">
    <w:name w:val="apple-converted-space"/>
    <w:basedOn w:val="DefaultParagraphFont"/>
    <w:rsid w:val="006A03B5"/>
    <w:rPr>
      <w:rFonts w:ascii="Times New Roman" w:hAnsi="Times New Roman" w:cs="Times New Roman" w:hint="default"/>
    </w:rPr>
  </w:style>
  <w:style w:type="character" w:customStyle="1" w:styleId="Heading1Char1">
    <w:name w:val="Heading 1 Char1"/>
    <w:basedOn w:val="DefaultParagraphFont"/>
    <w:link w:val="Heading1"/>
    <w:rsid w:val="00FC4057"/>
    <w:rPr>
      <w:rFonts w:eastAsiaTheme="majorEastAsia" w:cstheme="majorBidi"/>
      <w:b/>
      <w:bCs/>
      <w:szCs w:val="28"/>
    </w:rPr>
  </w:style>
  <w:style w:type="character" w:customStyle="1" w:styleId="Heading1Char2">
    <w:name w:val="Heading 1 Char2"/>
    <w:basedOn w:val="DefaultParagraphFont"/>
    <w:link w:val="Heading1"/>
    <w:rsid w:val="00FC4057"/>
    <w:rPr>
      <w:b/>
      <w:bCs/>
      <w:color w:val="000000"/>
      <w:szCs w:val="24"/>
    </w:rPr>
  </w:style>
  <w:style w:type="paragraph" w:styleId="TOCHeading">
    <w:name w:val="TOC Heading"/>
    <w:basedOn w:val="Heading1"/>
    <w:next w:val="Normal"/>
    <w:uiPriority w:val="39"/>
    <w:semiHidden/>
    <w:unhideWhenUsed/>
    <w:qFormat/>
    <w:rsid w:val="00FC4057"/>
    <w:pPr>
      <w:keepNext/>
      <w:keepLines/>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3">
    <w:name w:val="toc 3"/>
    <w:basedOn w:val="Normal"/>
    <w:next w:val="Normal"/>
    <w:autoRedefine/>
    <w:uiPriority w:val="39"/>
    <w:unhideWhenUsed/>
    <w:qFormat/>
    <w:rsid w:val="00FC4057"/>
    <w:pPr>
      <w:spacing w:after="100" w:line="276" w:lineRule="auto"/>
      <w:ind w:left="440"/>
    </w:pPr>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qFormat="1"/>
    <w:lsdException w:name="toc 2" w:uiPriority="39" w:qFormat="1"/>
    <w:lsdException w:name="toc 3" w:uiPriority="39"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Normal (Web)"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35C"/>
    <w:rPr>
      <w:sz w:val="24"/>
      <w:szCs w:val="24"/>
    </w:rPr>
  </w:style>
  <w:style w:type="paragraph" w:styleId="Heading1">
    <w:name w:val="heading 1"/>
    <w:basedOn w:val="Normal"/>
    <w:next w:val="Normal"/>
    <w:link w:val="Heading1Char2"/>
    <w:qFormat/>
    <w:locked/>
    <w:rsid w:val="00FC4057"/>
    <w:pPr>
      <w:jc w:val="center"/>
      <w:outlineLvl w:val="0"/>
    </w:pPr>
    <w:rPr>
      <w:b/>
      <w:bCs/>
      <w:color w:val="000000"/>
      <w:sz w:val="20"/>
    </w:rPr>
  </w:style>
  <w:style w:type="paragraph" w:styleId="Heading2">
    <w:name w:val="heading 2"/>
    <w:basedOn w:val="Normal"/>
    <w:next w:val="Normal"/>
    <w:link w:val="Heading2Char"/>
    <w:qFormat/>
    <w:rsid w:val="00FC4057"/>
    <w:pPr>
      <w:ind w:left="1440" w:hanging="1440"/>
      <w:outlineLvl w:val="1"/>
    </w:pPr>
    <w:rPr>
      <w:b/>
      <w:bCs/>
      <w:color w:val="000000"/>
      <w:sz w:val="20"/>
    </w:rPr>
  </w:style>
  <w:style w:type="paragraph" w:styleId="Heading4">
    <w:name w:val="heading 4"/>
    <w:basedOn w:val="Normal"/>
    <w:next w:val="Normal"/>
    <w:qFormat/>
    <w:rsid w:val="00E3535C"/>
    <w:pPr>
      <w:keepNext/>
      <w:widowControl w:val="0"/>
      <w:tabs>
        <w:tab w:val="left" w:pos="-696"/>
        <w:tab w:val="left" w:pos="5496"/>
      </w:tabs>
      <w:suppressAutoHyphens/>
      <w:autoSpaceDE w:val="0"/>
      <w:autoSpaceDN w:val="0"/>
      <w:adjustRightInd w:val="0"/>
      <w:spacing w:before="90" w:after="54" w:line="192" w:lineRule="auto"/>
      <w:jc w:val="center"/>
      <w:outlineLvl w:val="3"/>
    </w:pPr>
    <w:rPr>
      <w:rFonts w:ascii="CG Times" w:hAnsi="CG Times" w:cs="CG Time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FC4057"/>
    <w:rPr>
      <w:b/>
      <w:bCs/>
      <w:kern w:val="32"/>
      <w:szCs w:val="32"/>
    </w:rPr>
  </w:style>
  <w:style w:type="character" w:customStyle="1" w:styleId="Heading2Char">
    <w:name w:val="Heading 2 Char"/>
    <w:basedOn w:val="DefaultParagraphFont"/>
    <w:link w:val="Heading2"/>
    <w:locked/>
    <w:rsid w:val="00FC4057"/>
    <w:rPr>
      <w:b/>
      <w:bCs/>
      <w:color w:val="000000"/>
      <w:szCs w:val="24"/>
    </w:rPr>
  </w:style>
  <w:style w:type="paragraph" w:styleId="Header">
    <w:name w:val="header"/>
    <w:basedOn w:val="Normal"/>
    <w:rsid w:val="00E3535C"/>
    <w:pPr>
      <w:tabs>
        <w:tab w:val="center" w:pos="4320"/>
        <w:tab w:val="right" w:pos="8640"/>
      </w:tabs>
    </w:pPr>
  </w:style>
  <w:style w:type="paragraph" w:styleId="Footer">
    <w:name w:val="footer"/>
    <w:basedOn w:val="Normal"/>
    <w:rsid w:val="00E3535C"/>
    <w:pPr>
      <w:tabs>
        <w:tab w:val="center" w:pos="4320"/>
        <w:tab w:val="right" w:pos="8640"/>
      </w:tabs>
    </w:pPr>
  </w:style>
  <w:style w:type="paragraph" w:styleId="EnvelopeAddress">
    <w:name w:val="envelope address"/>
    <w:basedOn w:val="Normal"/>
    <w:rsid w:val="00E3535C"/>
    <w:pPr>
      <w:framePr w:w="7920" w:h="1980" w:hRule="exact" w:hSpace="180" w:wrap="auto" w:hAnchor="page" w:xAlign="center" w:yAlign="bottom"/>
      <w:ind w:left="2880"/>
    </w:pPr>
    <w:rPr>
      <w:rFonts w:cs="Arial"/>
    </w:rPr>
  </w:style>
  <w:style w:type="paragraph" w:styleId="EnvelopeReturn">
    <w:name w:val="envelope return"/>
    <w:basedOn w:val="Normal"/>
    <w:rsid w:val="00E3535C"/>
    <w:rPr>
      <w:rFonts w:cs="Arial"/>
      <w:sz w:val="20"/>
      <w:szCs w:val="20"/>
    </w:rPr>
  </w:style>
  <w:style w:type="character" w:styleId="PageNumber">
    <w:name w:val="page number"/>
    <w:basedOn w:val="DefaultParagraphFont"/>
    <w:rsid w:val="00E3535C"/>
    <w:rPr>
      <w:rFonts w:cs="Times New Roman"/>
    </w:rPr>
  </w:style>
  <w:style w:type="paragraph" w:customStyle="1" w:styleId="Document1">
    <w:name w:val="Document 1"/>
    <w:rsid w:val="00E3535C"/>
    <w:pPr>
      <w:keepNext/>
      <w:keepLines/>
      <w:widowControl w:val="0"/>
      <w:tabs>
        <w:tab w:val="left" w:pos="-720"/>
      </w:tabs>
      <w:suppressAutoHyphens/>
      <w:autoSpaceDE w:val="0"/>
      <w:autoSpaceDN w:val="0"/>
      <w:adjustRightInd w:val="0"/>
    </w:pPr>
    <w:rPr>
      <w:rFonts w:ascii="CG Times" w:hAnsi="CG Times" w:cs="CG Times"/>
      <w:sz w:val="24"/>
      <w:szCs w:val="24"/>
    </w:rPr>
  </w:style>
  <w:style w:type="paragraph" w:customStyle="1" w:styleId="Technical4">
    <w:name w:val="Technical 4"/>
    <w:rsid w:val="00E3535C"/>
    <w:pPr>
      <w:widowControl w:val="0"/>
      <w:tabs>
        <w:tab w:val="left" w:pos="-720"/>
      </w:tabs>
      <w:suppressAutoHyphens/>
      <w:autoSpaceDE w:val="0"/>
      <w:autoSpaceDN w:val="0"/>
      <w:adjustRightInd w:val="0"/>
    </w:pPr>
    <w:rPr>
      <w:rFonts w:ascii="CG Times" w:hAnsi="CG Times" w:cs="CG Times"/>
      <w:b/>
      <w:bCs/>
      <w:sz w:val="24"/>
      <w:szCs w:val="24"/>
    </w:rPr>
  </w:style>
  <w:style w:type="paragraph" w:styleId="BodyTextIndent">
    <w:name w:val="Body Text Indent"/>
    <w:basedOn w:val="Normal"/>
    <w:rsid w:val="00E3535C"/>
    <w:pPr>
      <w:autoSpaceDE w:val="0"/>
      <w:autoSpaceDN w:val="0"/>
      <w:adjustRightInd w:val="0"/>
      <w:ind w:left="360"/>
    </w:pPr>
    <w:rPr>
      <w:rFonts w:ascii="Times" w:hAnsi="Times"/>
      <w:color w:val="FF0000"/>
    </w:rPr>
  </w:style>
  <w:style w:type="paragraph" w:styleId="BodyText">
    <w:name w:val="Body Text"/>
    <w:basedOn w:val="Normal"/>
    <w:link w:val="BodyTextChar"/>
    <w:rsid w:val="00E3535C"/>
    <w:pPr>
      <w:widowControl w:val="0"/>
      <w:tabs>
        <w:tab w:val="left" w:pos="-720"/>
      </w:tabs>
      <w:suppressAutoHyphens/>
      <w:autoSpaceDE w:val="0"/>
      <w:autoSpaceDN w:val="0"/>
      <w:adjustRightInd w:val="0"/>
    </w:pPr>
    <w:rPr>
      <w:rFonts w:ascii="CG Times" w:hAnsi="CG Times" w:cs="CG Times"/>
    </w:rPr>
  </w:style>
  <w:style w:type="character" w:customStyle="1" w:styleId="BodyTextChar">
    <w:name w:val="Body Text Char"/>
    <w:basedOn w:val="DefaultParagraphFont"/>
    <w:link w:val="BodyText"/>
    <w:locked/>
    <w:rsid w:val="00E3535C"/>
    <w:rPr>
      <w:rFonts w:ascii="CG Times" w:hAnsi="CG Times" w:cs="CG Times"/>
      <w:sz w:val="24"/>
      <w:szCs w:val="24"/>
    </w:rPr>
  </w:style>
  <w:style w:type="paragraph" w:styleId="TOC1">
    <w:name w:val="toc 1"/>
    <w:basedOn w:val="Normal"/>
    <w:next w:val="Normal"/>
    <w:autoRedefine/>
    <w:uiPriority w:val="39"/>
    <w:qFormat/>
    <w:rsid w:val="00946D6C"/>
    <w:pPr>
      <w:widowControl w:val="0"/>
      <w:tabs>
        <w:tab w:val="left" w:leader="dot" w:pos="9000"/>
        <w:tab w:val="right" w:pos="9360"/>
      </w:tabs>
      <w:suppressAutoHyphens/>
      <w:autoSpaceDE w:val="0"/>
      <w:autoSpaceDN w:val="0"/>
      <w:adjustRightInd w:val="0"/>
      <w:ind w:left="900" w:right="720" w:hanging="900"/>
      <w:contextualSpacing/>
    </w:pPr>
    <w:rPr>
      <w:noProof/>
      <w:sz w:val="20"/>
    </w:rPr>
  </w:style>
  <w:style w:type="paragraph" w:styleId="TOC2">
    <w:name w:val="toc 2"/>
    <w:basedOn w:val="Normal"/>
    <w:next w:val="Normal"/>
    <w:autoRedefine/>
    <w:uiPriority w:val="39"/>
    <w:qFormat/>
    <w:rsid w:val="00946D6C"/>
    <w:pPr>
      <w:widowControl w:val="0"/>
      <w:tabs>
        <w:tab w:val="left" w:pos="900"/>
        <w:tab w:val="left" w:leader="dot" w:pos="9000"/>
        <w:tab w:val="right" w:pos="9360"/>
      </w:tabs>
      <w:suppressAutoHyphens/>
      <w:autoSpaceDE w:val="0"/>
      <w:autoSpaceDN w:val="0"/>
      <w:adjustRightInd w:val="0"/>
      <w:ind w:left="900" w:right="720" w:hanging="900"/>
      <w:contextualSpacing/>
    </w:pPr>
    <w:rPr>
      <w:sz w:val="20"/>
    </w:rPr>
  </w:style>
  <w:style w:type="paragraph" w:customStyle="1" w:styleId="Plan2">
    <w:name w:val="Plan 2"/>
    <w:basedOn w:val="Normal"/>
    <w:rsid w:val="00E3535C"/>
    <w:pPr>
      <w:tabs>
        <w:tab w:val="left" w:pos="567"/>
        <w:tab w:val="left" w:pos="1134"/>
        <w:tab w:val="left" w:pos="1701"/>
        <w:tab w:val="left" w:pos="2268"/>
        <w:tab w:val="left" w:pos="2835"/>
        <w:tab w:val="left" w:pos="3402"/>
        <w:tab w:val="left" w:pos="3969"/>
        <w:tab w:val="left" w:pos="4536"/>
        <w:tab w:val="left" w:pos="5103"/>
        <w:tab w:val="left" w:pos="5670"/>
      </w:tabs>
      <w:suppressAutoHyphens/>
      <w:autoSpaceDE w:val="0"/>
      <w:autoSpaceDN w:val="0"/>
      <w:adjustRightInd w:val="0"/>
      <w:jc w:val="both"/>
    </w:pPr>
    <w:rPr>
      <w:b/>
      <w:bCs/>
      <w:caps/>
    </w:rPr>
  </w:style>
  <w:style w:type="paragraph" w:customStyle="1" w:styleId="heading">
    <w:name w:val="heading"/>
    <w:basedOn w:val="Normal"/>
    <w:rsid w:val="00E3535C"/>
    <w:pPr>
      <w:autoSpaceDE w:val="0"/>
      <w:autoSpaceDN w:val="0"/>
      <w:adjustRightInd w:val="0"/>
      <w:spacing w:line="320" w:lineRule="atLeast"/>
      <w:jc w:val="center"/>
    </w:pPr>
    <w:rPr>
      <w:sz w:val="28"/>
      <w:szCs w:val="28"/>
    </w:rPr>
  </w:style>
  <w:style w:type="paragraph" w:customStyle="1" w:styleId="contents">
    <w:name w:val="contents"/>
    <w:basedOn w:val="Normal"/>
    <w:rsid w:val="00E3535C"/>
    <w:pPr>
      <w:tabs>
        <w:tab w:val="right" w:leader="dot" w:pos="8540"/>
      </w:tabs>
      <w:autoSpaceDE w:val="0"/>
      <w:autoSpaceDN w:val="0"/>
      <w:adjustRightInd w:val="0"/>
      <w:spacing w:line="280" w:lineRule="atLeast"/>
      <w:jc w:val="both"/>
    </w:pPr>
  </w:style>
  <w:style w:type="paragraph" w:customStyle="1" w:styleId="in1">
    <w:name w:val="in1"/>
    <w:basedOn w:val="Normal"/>
    <w:rsid w:val="00E3535C"/>
    <w:pPr>
      <w:autoSpaceDE w:val="0"/>
      <w:autoSpaceDN w:val="0"/>
      <w:adjustRightInd w:val="0"/>
      <w:ind w:left="374" w:right="14" w:hanging="187"/>
    </w:pPr>
  </w:style>
  <w:style w:type="paragraph" w:customStyle="1" w:styleId="Normal1">
    <w:name w:val="Normal1"/>
    <w:basedOn w:val="Normal"/>
    <w:rsid w:val="00E3535C"/>
    <w:pPr>
      <w:autoSpaceDE w:val="0"/>
      <w:autoSpaceDN w:val="0"/>
      <w:adjustRightInd w:val="0"/>
      <w:ind w:left="187" w:hanging="187"/>
    </w:pPr>
  </w:style>
  <w:style w:type="paragraph" w:customStyle="1" w:styleId="in2">
    <w:name w:val="in2"/>
    <w:basedOn w:val="Normal"/>
    <w:rsid w:val="00E3535C"/>
    <w:pPr>
      <w:autoSpaceDE w:val="0"/>
      <w:autoSpaceDN w:val="0"/>
      <w:adjustRightInd w:val="0"/>
      <w:ind w:left="547" w:right="14" w:hanging="187"/>
    </w:pPr>
  </w:style>
  <w:style w:type="paragraph" w:customStyle="1" w:styleId="in2at10">
    <w:name w:val="in2at10"/>
    <w:basedOn w:val="in2"/>
    <w:rsid w:val="00E3535C"/>
    <w:pPr>
      <w:ind w:left="540" w:right="20" w:hanging="180"/>
    </w:pPr>
    <w:rPr>
      <w:sz w:val="20"/>
      <w:szCs w:val="20"/>
    </w:rPr>
  </w:style>
  <w:style w:type="paragraph" w:styleId="List">
    <w:name w:val="List"/>
    <w:basedOn w:val="Normal"/>
    <w:rsid w:val="00E3535C"/>
    <w:pPr>
      <w:widowControl w:val="0"/>
      <w:autoSpaceDE w:val="0"/>
      <w:autoSpaceDN w:val="0"/>
      <w:adjustRightInd w:val="0"/>
      <w:ind w:left="360" w:hanging="360"/>
    </w:pPr>
    <w:rPr>
      <w:rFonts w:ascii="CG Times" w:hAnsi="CG Times" w:cs="CG Times"/>
    </w:rPr>
  </w:style>
  <w:style w:type="character" w:styleId="Strong">
    <w:name w:val="Strong"/>
    <w:basedOn w:val="DefaultParagraphFont"/>
    <w:qFormat/>
    <w:rsid w:val="00E3535C"/>
    <w:rPr>
      <w:rFonts w:cs="Times New Roman"/>
      <w:b/>
      <w:bCs/>
      <w:spacing w:val="0"/>
    </w:rPr>
  </w:style>
  <w:style w:type="paragraph" w:styleId="BalloonText">
    <w:name w:val="Balloon Text"/>
    <w:basedOn w:val="Normal"/>
    <w:semiHidden/>
    <w:rsid w:val="00E3535C"/>
    <w:rPr>
      <w:rFonts w:ascii="Tahoma" w:hAnsi="Tahoma" w:cs="Tahoma"/>
      <w:sz w:val="16"/>
      <w:szCs w:val="16"/>
    </w:rPr>
  </w:style>
  <w:style w:type="character" w:styleId="Hyperlink">
    <w:name w:val="Hyperlink"/>
    <w:basedOn w:val="DefaultParagraphFont"/>
    <w:uiPriority w:val="99"/>
    <w:rsid w:val="00E3535C"/>
    <w:rPr>
      <w:rFonts w:cs="Times New Roman"/>
      <w:color w:val="0000FF"/>
      <w:u w:val="single"/>
    </w:rPr>
  </w:style>
  <w:style w:type="paragraph" w:customStyle="1" w:styleId="Arial">
    <w:name w:val="Arial"/>
    <w:basedOn w:val="Normal"/>
    <w:link w:val="ArialChar"/>
    <w:rsid w:val="00E3535C"/>
    <w:rPr>
      <w:rFonts w:ascii="Arial" w:hAnsi="Arial"/>
      <w:b/>
      <w:bCs/>
      <w:sz w:val="20"/>
    </w:rPr>
  </w:style>
  <w:style w:type="character" w:customStyle="1" w:styleId="ArialChar">
    <w:name w:val="Arial Char"/>
    <w:basedOn w:val="DefaultParagraphFont"/>
    <w:link w:val="Arial"/>
    <w:locked/>
    <w:rsid w:val="00E3535C"/>
    <w:rPr>
      <w:rFonts w:ascii="Arial" w:hAnsi="Arial" w:cs="Times New Roman"/>
      <w:b/>
      <w:bCs/>
      <w:sz w:val="24"/>
      <w:szCs w:val="24"/>
      <w:lang w:val="en-US" w:eastAsia="en-US" w:bidi="ar-SA"/>
    </w:rPr>
  </w:style>
  <w:style w:type="character" w:styleId="CommentReference">
    <w:name w:val="annotation reference"/>
    <w:basedOn w:val="DefaultParagraphFont"/>
    <w:semiHidden/>
    <w:rsid w:val="00E3535C"/>
    <w:rPr>
      <w:rFonts w:cs="Times New Roman"/>
      <w:sz w:val="16"/>
      <w:szCs w:val="16"/>
    </w:rPr>
  </w:style>
  <w:style w:type="paragraph" w:styleId="CommentText">
    <w:name w:val="annotation text"/>
    <w:basedOn w:val="Normal"/>
    <w:link w:val="CommentTextChar"/>
    <w:semiHidden/>
    <w:rsid w:val="00E3535C"/>
    <w:rPr>
      <w:sz w:val="20"/>
      <w:szCs w:val="20"/>
    </w:rPr>
  </w:style>
  <w:style w:type="paragraph" w:styleId="CommentSubject">
    <w:name w:val="annotation subject"/>
    <w:basedOn w:val="CommentText"/>
    <w:next w:val="CommentText"/>
    <w:semiHidden/>
    <w:rsid w:val="00E3535C"/>
    <w:rPr>
      <w:b/>
      <w:bCs/>
    </w:rPr>
  </w:style>
  <w:style w:type="paragraph" w:styleId="BodyText2">
    <w:name w:val="Body Text 2"/>
    <w:basedOn w:val="Normal"/>
    <w:rsid w:val="00E3535C"/>
    <w:pPr>
      <w:spacing w:after="120" w:line="480" w:lineRule="auto"/>
    </w:pPr>
  </w:style>
  <w:style w:type="paragraph" w:customStyle="1" w:styleId="BodyTextF10K">
    <w:name w:val="Body Text F10K"/>
    <w:basedOn w:val="BodyText2"/>
    <w:rsid w:val="00E3535C"/>
    <w:pPr>
      <w:widowControl w:val="0"/>
      <w:tabs>
        <w:tab w:val="left" w:pos="-1440"/>
        <w:tab w:val="left" w:pos="-720"/>
      </w:tabs>
      <w:suppressAutoHyphens/>
      <w:spacing w:after="0" w:line="192" w:lineRule="auto"/>
    </w:pPr>
    <w:rPr>
      <w:rFonts w:ascii="CG Times" w:hAnsi="CG Times"/>
      <w:bCs/>
      <w:sz w:val="22"/>
      <w:szCs w:val="20"/>
    </w:rPr>
  </w:style>
  <w:style w:type="character" w:customStyle="1" w:styleId="text">
    <w:name w:val="text"/>
    <w:basedOn w:val="DefaultParagraphFont"/>
    <w:rsid w:val="00E3535C"/>
    <w:rPr>
      <w:rFonts w:cs="Times New Roman"/>
    </w:rPr>
  </w:style>
  <w:style w:type="paragraph" w:styleId="Revision">
    <w:name w:val="Revision"/>
    <w:hidden/>
    <w:semiHidden/>
    <w:rsid w:val="00E3535C"/>
    <w:rPr>
      <w:sz w:val="24"/>
      <w:szCs w:val="24"/>
    </w:rPr>
  </w:style>
  <w:style w:type="paragraph" w:styleId="NormalWeb">
    <w:name w:val="Normal (Web)"/>
    <w:basedOn w:val="Normal"/>
    <w:rsid w:val="00E3535C"/>
    <w:pPr>
      <w:spacing w:before="100" w:beforeAutospacing="1" w:after="100" w:afterAutospacing="1"/>
    </w:pPr>
  </w:style>
  <w:style w:type="character" w:customStyle="1" w:styleId="deltaviewinsertion">
    <w:name w:val="deltaviewinsertion"/>
    <w:basedOn w:val="DefaultParagraphFont"/>
    <w:rsid w:val="00E3535C"/>
    <w:rPr>
      <w:rFonts w:cs="Times New Roman"/>
    </w:rPr>
  </w:style>
  <w:style w:type="paragraph" w:styleId="ListParagraph">
    <w:name w:val="List Paragraph"/>
    <w:basedOn w:val="Normal"/>
    <w:qFormat/>
    <w:rsid w:val="00E3535C"/>
    <w:pPr>
      <w:ind w:left="720"/>
      <w:contextualSpacing/>
    </w:pPr>
  </w:style>
  <w:style w:type="table" w:styleId="TableGrid">
    <w:name w:val="Table Grid"/>
    <w:basedOn w:val="TableNormal"/>
    <w:rsid w:val="00E353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FirstIndentSingle">
    <w:name w:val="Body Text First Indent Single"/>
    <w:aliases w:val="btfis"/>
    <w:basedOn w:val="BodyTextFirstIndent"/>
    <w:link w:val="BodyTextFirstIndentSingleChar"/>
    <w:rsid w:val="00E3535C"/>
    <w:pPr>
      <w:spacing w:after="240"/>
      <w:ind w:firstLine="720"/>
      <w:jc w:val="both"/>
    </w:pPr>
    <w:rPr>
      <w:sz w:val="20"/>
    </w:rPr>
  </w:style>
  <w:style w:type="paragraph" w:styleId="BodyTextFirstIndent">
    <w:name w:val="Body Text First Indent"/>
    <w:basedOn w:val="BodyText"/>
    <w:link w:val="BodyTextFirstIndentChar"/>
    <w:rsid w:val="00E3535C"/>
    <w:pPr>
      <w:widowControl/>
      <w:tabs>
        <w:tab w:val="clear" w:pos="-720"/>
      </w:tabs>
      <w:suppressAutoHyphens w:val="0"/>
      <w:autoSpaceDE/>
      <w:autoSpaceDN/>
      <w:adjustRightInd/>
      <w:spacing w:after="120"/>
      <w:ind w:firstLine="210"/>
    </w:pPr>
    <w:rPr>
      <w:rFonts w:ascii="Times New Roman" w:hAnsi="Times New Roman" w:cs="Times New Roman"/>
    </w:rPr>
  </w:style>
  <w:style w:type="character" w:customStyle="1" w:styleId="BodyTextFirstIndentSingleChar">
    <w:name w:val="Body Text First Indent Single Char"/>
    <w:aliases w:val="btfis Char"/>
    <w:basedOn w:val="DefaultParagraphFont"/>
    <w:link w:val="BodyTextFirstIndentSingle"/>
    <w:locked/>
    <w:rsid w:val="00E3535C"/>
    <w:rPr>
      <w:rFonts w:cs="Times New Roman"/>
      <w:sz w:val="24"/>
      <w:szCs w:val="24"/>
    </w:rPr>
  </w:style>
  <w:style w:type="character" w:customStyle="1" w:styleId="apple-style-span">
    <w:name w:val="apple-style-span"/>
    <w:basedOn w:val="DefaultParagraphFont"/>
    <w:rsid w:val="00E3535C"/>
    <w:rPr>
      <w:rFonts w:cs="Times New Roman"/>
    </w:rPr>
  </w:style>
  <w:style w:type="paragraph" w:styleId="FootnoteText">
    <w:name w:val="footnote text"/>
    <w:basedOn w:val="Normal"/>
    <w:link w:val="FootnoteTextChar"/>
    <w:rsid w:val="00E3535C"/>
    <w:rPr>
      <w:sz w:val="20"/>
      <w:szCs w:val="20"/>
    </w:rPr>
  </w:style>
  <w:style w:type="character" w:customStyle="1" w:styleId="FootnoteTextChar">
    <w:name w:val="Footnote Text Char"/>
    <w:basedOn w:val="DefaultParagraphFont"/>
    <w:link w:val="FootnoteText"/>
    <w:locked/>
    <w:rsid w:val="00E3535C"/>
    <w:rPr>
      <w:rFonts w:cs="Times New Roman"/>
    </w:rPr>
  </w:style>
  <w:style w:type="character" w:styleId="FootnoteReference">
    <w:name w:val="footnote reference"/>
    <w:basedOn w:val="DefaultParagraphFont"/>
    <w:rsid w:val="00E3535C"/>
    <w:rPr>
      <w:rFonts w:cs="Times New Roman"/>
      <w:vertAlign w:val="superscript"/>
    </w:rPr>
  </w:style>
  <w:style w:type="character" w:customStyle="1" w:styleId="BodyTextFirstIndentChar">
    <w:name w:val="Body Text First Indent Char"/>
    <w:basedOn w:val="BodyTextChar"/>
    <w:link w:val="BodyTextFirstIndent"/>
    <w:locked/>
    <w:rsid w:val="00E3535C"/>
    <w:rPr>
      <w:rFonts w:ascii="CG Times" w:hAnsi="CG Times" w:cs="CG Times"/>
      <w:sz w:val="24"/>
      <w:szCs w:val="24"/>
    </w:rPr>
  </w:style>
  <w:style w:type="character" w:customStyle="1" w:styleId="DeltaViewInsertion0">
    <w:name w:val="DeltaView Insertion"/>
    <w:rsid w:val="00E3535C"/>
    <w:rPr>
      <w:color w:val="0000FF"/>
      <w:u w:val="double"/>
    </w:rPr>
  </w:style>
  <w:style w:type="character" w:customStyle="1" w:styleId="CommentTextChar">
    <w:name w:val="Comment Text Char"/>
    <w:basedOn w:val="DefaultParagraphFont"/>
    <w:link w:val="CommentText"/>
    <w:semiHidden/>
    <w:locked/>
    <w:rsid w:val="00E3535C"/>
    <w:rPr>
      <w:rFonts w:cs="Times New Roman"/>
    </w:rPr>
  </w:style>
  <w:style w:type="character" w:customStyle="1" w:styleId="CharChar1">
    <w:name w:val="Char Char1"/>
    <w:basedOn w:val="DefaultParagraphFont"/>
    <w:rsid w:val="00E3535C"/>
    <w:rPr>
      <w:rFonts w:ascii="CG Times" w:hAnsi="CG Times" w:cs="CG Times"/>
      <w:sz w:val="24"/>
      <w:szCs w:val="24"/>
      <w:lang w:val="en-US" w:eastAsia="en-US" w:bidi="ar-SA"/>
    </w:rPr>
  </w:style>
  <w:style w:type="character" w:customStyle="1" w:styleId="CharChar">
    <w:name w:val="Char Char"/>
    <w:basedOn w:val="DefaultParagraphFont"/>
    <w:locked/>
    <w:rsid w:val="00E3535C"/>
    <w:rPr>
      <w:rFonts w:ascii="CG Times" w:hAnsi="CG Times" w:cs="CG Times"/>
      <w:sz w:val="24"/>
      <w:szCs w:val="24"/>
      <w:lang w:val="en-US" w:eastAsia="en-US" w:bidi="ar-SA"/>
    </w:rPr>
  </w:style>
  <w:style w:type="character" w:customStyle="1" w:styleId="BodyTextChar1">
    <w:name w:val="Body Text Char1"/>
    <w:rsid w:val="00067612"/>
    <w:rPr>
      <w:rFonts w:ascii="CG Times" w:hAnsi="CG Times" w:cs="CG Times"/>
      <w:sz w:val="24"/>
      <w:szCs w:val="24"/>
      <w:lang w:val="en-US" w:eastAsia="en-US" w:bidi="ar-SA"/>
    </w:rPr>
  </w:style>
  <w:style w:type="character" w:customStyle="1" w:styleId="apple-converted-space">
    <w:name w:val="apple-converted-space"/>
    <w:basedOn w:val="DefaultParagraphFont"/>
    <w:rsid w:val="006A03B5"/>
    <w:rPr>
      <w:rFonts w:ascii="Times New Roman" w:hAnsi="Times New Roman" w:cs="Times New Roman" w:hint="default"/>
    </w:rPr>
  </w:style>
  <w:style w:type="character" w:customStyle="1" w:styleId="Heading1Char1">
    <w:name w:val="Heading 1 Char1"/>
    <w:basedOn w:val="DefaultParagraphFont"/>
    <w:link w:val="Heading1"/>
    <w:rsid w:val="00FC4057"/>
    <w:rPr>
      <w:rFonts w:eastAsiaTheme="majorEastAsia" w:cstheme="majorBidi"/>
      <w:b/>
      <w:bCs/>
      <w:szCs w:val="28"/>
    </w:rPr>
  </w:style>
  <w:style w:type="character" w:customStyle="1" w:styleId="Heading1Char2">
    <w:name w:val="Heading 1 Char2"/>
    <w:basedOn w:val="DefaultParagraphFont"/>
    <w:link w:val="Heading1"/>
    <w:rsid w:val="00FC4057"/>
    <w:rPr>
      <w:b/>
      <w:bCs/>
      <w:color w:val="000000"/>
      <w:szCs w:val="24"/>
    </w:rPr>
  </w:style>
  <w:style w:type="paragraph" w:styleId="TOCHeading">
    <w:name w:val="TOC Heading"/>
    <w:basedOn w:val="Heading1"/>
    <w:next w:val="Normal"/>
    <w:uiPriority w:val="39"/>
    <w:semiHidden/>
    <w:unhideWhenUsed/>
    <w:qFormat/>
    <w:rsid w:val="00FC4057"/>
    <w:pPr>
      <w:keepNext/>
      <w:keepLines/>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3">
    <w:name w:val="toc 3"/>
    <w:basedOn w:val="Normal"/>
    <w:next w:val="Normal"/>
    <w:autoRedefine/>
    <w:uiPriority w:val="39"/>
    <w:unhideWhenUsed/>
    <w:qFormat/>
    <w:rsid w:val="00FC4057"/>
    <w:pPr>
      <w:spacing w:after="100" w:line="276" w:lineRule="auto"/>
      <w:ind w:left="440"/>
    </w:pPr>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120"/>
              <w:marBottom w:val="0"/>
              <w:divBdr>
                <w:top w:val="none" w:sz="0" w:space="0" w:color="auto"/>
                <w:left w:val="none" w:sz="0" w:space="0" w:color="auto"/>
                <w:bottom w:val="none" w:sz="0" w:space="0" w:color="auto"/>
                <w:right w:val="none" w:sz="0" w:space="0" w:color="auto"/>
              </w:divBdr>
            </w:div>
            <w:div w:id="1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sChild>
        <w:div w:id="129">
          <w:marLeft w:val="6"/>
          <w:marRight w:val="0"/>
          <w:marTop w:val="0"/>
          <w:marBottom w:val="0"/>
          <w:divBdr>
            <w:top w:val="none" w:sz="0" w:space="0" w:color="auto"/>
            <w:left w:val="none" w:sz="0" w:space="0" w:color="auto"/>
            <w:bottom w:val="none" w:sz="0" w:space="0" w:color="auto"/>
            <w:right w:val="none" w:sz="0" w:space="0" w:color="auto"/>
          </w:divBdr>
        </w:div>
      </w:divsChild>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sChild>
        <w:div w:id="77">
          <w:marLeft w:val="6"/>
          <w:marRight w:val="0"/>
          <w:marTop w:val="0"/>
          <w:marBottom w:val="0"/>
          <w:divBdr>
            <w:top w:val="none" w:sz="0" w:space="0" w:color="auto"/>
            <w:left w:val="none" w:sz="0" w:space="0" w:color="auto"/>
            <w:bottom w:val="none" w:sz="0" w:space="0" w:color="auto"/>
            <w:right w:val="none" w:sz="0" w:space="0" w:color="auto"/>
          </w:divBdr>
        </w:div>
      </w:divsChild>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150"/>
      <w:marBottom w:val="300"/>
      <w:divBdr>
        <w:top w:val="none" w:sz="0" w:space="0" w:color="auto"/>
        <w:left w:val="none" w:sz="0" w:space="0" w:color="auto"/>
        <w:bottom w:val="none" w:sz="0" w:space="0" w:color="auto"/>
        <w:right w:val="none" w:sz="0" w:space="0" w:color="auto"/>
      </w:divBdr>
      <w:divsChild>
        <w:div w:id="93">
          <w:marLeft w:val="0"/>
          <w:marRight w:val="0"/>
          <w:marTop w:val="0"/>
          <w:marBottom w:val="0"/>
          <w:divBdr>
            <w:top w:val="none" w:sz="0" w:space="0" w:color="auto"/>
            <w:left w:val="none" w:sz="0" w:space="0" w:color="auto"/>
            <w:bottom w:val="none" w:sz="0" w:space="0" w:color="auto"/>
            <w:right w:val="none" w:sz="0" w:space="0" w:color="auto"/>
          </w:divBdr>
          <w:divsChild>
            <w:div w:id="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sChild>
        <w:div w:id="139">
          <w:marLeft w:val="0"/>
          <w:marRight w:val="0"/>
          <w:marTop w:val="0"/>
          <w:marBottom w:val="0"/>
          <w:divBdr>
            <w:top w:val="none" w:sz="0" w:space="0" w:color="auto"/>
            <w:left w:val="none" w:sz="0" w:space="0" w:color="auto"/>
            <w:bottom w:val="none" w:sz="0" w:space="0" w:color="auto"/>
            <w:right w:val="none" w:sz="0" w:space="0" w:color="auto"/>
          </w:divBdr>
          <w:divsChild>
            <w:div w:id="63">
              <w:marLeft w:val="216"/>
              <w:marRight w:val="0"/>
              <w:marTop w:val="0"/>
              <w:marBottom w:val="0"/>
              <w:divBdr>
                <w:top w:val="none" w:sz="0" w:space="0" w:color="auto"/>
                <w:left w:val="none" w:sz="0" w:space="0" w:color="auto"/>
                <w:bottom w:val="none" w:sz="0" w:space="0" w:color="auto"/>
                <w:right w:val="none" w:sz="0" w:space="0" w:color="auto"/>
              </w:divBdr>
            </w:div>
            <w:div w:id="116">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sChild>
        <w:div w:id="52">
          <w:marLeft w:val="6"/>
          <w:marRight w:val="0"/>
          <w:marTop w:val="0"/>
          <w:marBottom w:val="0"/>
          <w:divBdr>
            <w:top w:val="none" w:sz="0" w:space="0" w:color="auto"/>
            <w:left w:val="none" w:sz="0" w:space="0" w:color="auto"/>
            <w:bottom w:val="none" w:sz="0" w:space="0" w:color="auto"/>
            <w:right w:val="none" w:sz="0" w:space="0" w:color="auto"/>
          </w:divBdr>
        </w:div>
      </w:divsChild>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44">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sChild>
        <w:div w:id="50">
          <w:marLeft w:val="6"/>
          <w:marRight w:val="0"/>
          <w:marTop w:val="0"/>
          <w:marBottom w:val="0"/>
          <w:divBdr>
            <w:top w:val="none" w:sz="0" w:space="0" w:color="auto"/>
            <w:left w:val="none" w:sz="0" w:space="0" w:color="auto"/>
            <w:bottom w:val="none" w:sz="0" w:space="0" w:color="auto"/>
            <w:right w:val="none" w:sz="0" w:space="0" w:color="auto"/>
          </w:divBdr>
        </w:div>
      </w:divsChild>
    </w:div>
    <w:div w:id="148">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4">
      <w:marLeft w:val="0"/>
      <w:marRight w:val="0"/>
      <w:marTop w:val="0"/>
      <w:marBottom w:val="0"/>
      <w:divBdr>
        <w:top w:val="none" w:sz="0" w:space="0" w:color="auto"/>
        <w:left w:val="none" w:sz="0" w:space="0" w:color="auto"/>
        <w:bottom w:val="none" w:sz="0" w:space="0" w:color="auto"/>
        <w:right w:val="none" w:sz="0" w:space="0" w:color="auto"/>
      </w:divBdr>
    </w:div>
    <w:div w:id="156">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59">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7408455">
      <w:bodyDiv w:val="1"/>
      <w:marLeft w:val="0"/>
      <w:marRight w:val="0"/>
      <w:marTop w:val="0"/>
      <w:marBottom w:val="0"/>
      <w:divBdr>
        <w:top w:val="none" w:sz="0" w:space="0" w:color="auto"/>
        <w:left w:val="none" w:sz="0" w:space="0" w:color="auto"/>
        <w:bottom w:val="none" w:sz="0" w:space="0" w:color="auto"/>
        <w:right w:val="none" w:sz="0" w:space="0" w:color="auto"/>
      </w:divBdr>
    </w:div>
    <w:div w:id="135874901">
      <w:bodyDiv w:val="1"/>
      <w:marLeft w:val="0"/>
      <w:marRight w:val="0"/>
      <w:marTop w:val="0"/>
      <w:marBottom w:val="0"/>
      <w:divBdr>
        <w:top w:val="none" w:sz="0" w:space="0" w:color="auto"/>
        <w:left w:val="none" w:sz="0" w:space="0" w:color="auto"/>
        <w:bottom w:val="none" w:sz="0" w:space="0" w:color="auto"/>
        <w:right w:val="none" w:sz="0" w:space="0" w:color="auto"/>
      </w:divBdr>
    </w:div>
    <w:div w:id="170604318">
      <w:bodyDiv w:val="1"/>
      <w:marLeft w:val="0"/>
      <w:marRight w:val="0"/>
      <w:marTop w:val="0"/>
      <w:marBottom w:val="0"/>
      <w:divBdr>
        <w:top w:val="none" w:sz="0" w:space="0" w:color="auto"/>
        <w:left w:val="none" w:sz="0" w:space="0" w:color="auto"/>
        <w:bottom w:val="none" w:sz="0" w:space="0" w:color="auto"/>
        <w:right w:val="none" w:sz="0" w:space="0" w:color="auto"/>
      </w:divBdr>
    </w:div>
    <w:div w:id="278798178">
      <w:bodyDiv w:val="1"/>
      <w:marLeft w:val="0"/>
      <w:marRight w:val="0"/>
      <w:marTop w:val="0"/>
      <w:marBottom w:val="0"/>
      <w:divBdr>
        <w:top w:val="none" w:sz="0" w:space="0" w:color="auto"/>
        <w:left w:val="none" w:sz="0" w:space="0" w:color="auto"/>
        <w:bottom w:val="none" w:sz="0" w:space="0" w:color="auto"/>
        <w:right w:val="none" w:sz="0" w:space="0" w:color="auto"/>
      </w:divBdr>
    </w:div>
    <w:div w:id="345324494">
      <w:bodyDiv w:val="1"/>
      <w:marLeft w:val="0"/>
      <w:marRight w:val="0"/>
      <w:marTop w:val="0"/>
      <w:marBottom w:val="0"/>
      <w:divBdr>
        <w:top w:val="none" w:sz="0" w:space="0" w:color="auto"/>
        <w:left w:val="none" w:sz="0" w:space="0" w:color="auto"/>
        <w:bottom w:val="none" w:sz="0" w:space="0" w:color="auto"/>
        <w:right w:val="none" w:sz="0" w:space="0" w:color="auto"/>
      </w:divBdr>
    </w:div>
    <w:div w:id="375129576">
      <w:bodyDiv w:val="1"/>
      <w:marLeft w:val="0"/>
      <w:marRight w:val="0"/>
      <w:marTop w:val="0"/>
      <w:marBottom w:val="0"/>
      <w:divBdr>
        <w:top w:val="none" w:sz="0" w:space="0" w:color="auto"/>
        <w:left w:val="none" w:sz="0" w:space="0" w:color="auto"/>
        <w:bottom w:val="none" w:sz="0" w:space="0" w:color="auto"/>
        <w:right w:val="none" w:sz="0" w:space="0" w:color="auto"/>
      </w:divBdr>
    </w:div>
    <w:div w:id="492649728">
      <w:bodyDiv w:val="1"/>
      <w:marLeft w:val="0"/>
      <w:marRight w:val="0"/>
      <w:marTop w:val="0"/>
      <w:marBottom w:val="0"/>
      <w:divBdr>
        <w:top w:val="none" w:sz="0" w:space="0" w:color="auto"/>
        <w:left w:val="none" w:sz="0" w:space="0" w:color="auto"/>
        <w:bottom w:val="none" w:sz="0" w:space="0" w:color="auto"/>
        <w:right w:val="none" w:sz="0" w:space="0" w:color="auto"/>
      </w:divBdr>
    </w:div>
    <w:div w:id="573975353">
      <w:bodyDiv w:val="1"/>
      <w:marLeft w:val="0"/>
      <w:marRight w:val="0"/>
      <w:marTop w:val="0"/>
      <w:marBottom w:val="0"/>
      <w:divBdr>
        <w:top w:val="none" w:sz="0" w:space="0" w:color="auto"/>
        <w:left w:val="none" w:sz="0" w:space="0" w:color="auto"/>
        <w:bottom w:val="none" w:sz="0" w:space="0" w:color="auto"/>
        <w:right w:val="none" w:sz="0" w:space="0" w:color="auto"/>
      </w:divBdr>
    </w:div>
    <w:div w:id="583228757">
      <w:bodyDiv w:val="1"/>
      <w:marLeft w:val="0"/>
      <w:marRight w:val="0"/>
      <w:marTop w:val="0"/>
      <w:marBottom w:val="0"/>
      <w:divBdr>
        <w:top w:val="none" w:sz="0" w:space="0" w:color="auto"/>
        <w:left w:val="none" w:sz="0" w:space="0" w:color="auto"/>
        <w:bottom w:val="none" w:sz="0" w:space="0" w:color="auto"/>
        <w:right w:val="none" w:sz="0" w:space="0" w:color="auto"/>
      </w:divBdr>
    </w:div>
    <w:div w:id="650642195">
      <w:bodyDiv w:val="1"/>
      <w:marLeft w:val="0"/>
      <w:marRight w:val="0"/>
      <w:marTop w:val="0"/>
      <w:marBottom w:val="0"/>
      <w:divBdr>
        <w:top w:val="none" w:sz="0" w:space="0" w:color="auto"/>
        <w:left w:val="none" w:sz="0" w:space="0" w:color="auto"/>
        <w:bottom w:val="none" w:sz="0" w:space="0" w:color="auto"/>
        <w:right w:val="none" w:sz="0" w:space="0" w:color="auto"/>
      </w:divBdr>
    </w:div>
    <w:div w:id="672492510">
      <w:bodyDiv w:val="1"/>
      <w:marLeft w:val="0"/>
      <w:marRight w:val="0"/>
      <w:marTop w:val="0"/>
      <w:marBottom w:val="0"/>
      <w:divBdr>
        <w:top w:val="none" w:sz="0" w:space="0" w:color="auto"/>
        <w:left w:val="none" w:sz="0" w:space="0" w:color="auto"/>
        <w:bottom w:val="none" w:sz="0" w:space="0" w:color="auto"/>
        <w:right w:val="none" w:sz="0" w:space="0" w:color="auto"/>
      </w:divBdr>
    </w:div>
    <w:div w:id="769008743">
      <w:bodyDiv w:val="1"/>
      <w:marLeft w:val="0"/>
      <w:marRight w:val="0"/>
      <w:marTop w:val="0"/>
      <w:marBottom w:val="0"/>
      <w:divBdr>
        <w:top w:val="none" w:sz="0" w:space="0" w:color="auto"/>
        <w:left w:val="none" w:sz="0" w:space="0" w:color="auto"/>
        <w:bottom w:val="none" w:sz="0" w:space="0" w:color="auto"/>
        <w:right w:val="none" w:sz="0" w:space="0" w:color="auto"/>
      </w:divBdr>
    </w:div>
    <w:div w:id="819225681">
      <w:bodyDiv w:val="1"/>
      <w:marLeft w:val="0"/>
      <w:marRight w:val="0"/>
      <w:marTop w:val="0"/>
      <w:marBottom w:val="0"/>
      <w:divBdr>
        <w:top w:val="none" w:sz="0" w:space="0" w:color="auto"/>
        <w:left w:val="none" w:sz="0" w:space="0" w:color="auto"/>
        <w:bottom w:val="none" w:sz="0" w:space="0" w:color="auto"/>
        <w:right w:val="none" w:sz="0" w:space="0" w:color="auto"/>
      </w:divBdr>
    </w:div>
    <w:div w:id="829752936">
      <w:bodyDiv w:val="1"/>
      <w:marLeft w:val="0"/>
      <w:marRight w:val="0"/>
      <w:marTop w:val="0"/>
      <w:marBottom w:val="0"/>
      <w:divBdr>
        <w:top w:val="none" w:sz="0" w:space="0" w:color="auto"/>
        <w:left w:val="none" w:sz="0" w:space="0" w:color="auto"/>
        <w:bottom w:val="none" w:sz="0" w:space="0" w:color="auto"/>
        <w:right w:val="none" w:sz="0" w:space="0" w:color="auto"/>
      </w:divBdr>
    </w:div>
    <w:div w:id="889999244">
      <w:bodyDiv w:val="1"/>
      <w:marLeft w:val="0"/>
      <w:marRight w:val="0"/>
      <w:marTop w:val="0"/>
      <w:marBottom w:val="0"/>
      <w:divBdr>
        <w:top w:val="none" w:sz="0" w:space="0" w:color="auto"/>
        <w:left w:val="none" w:sz="0" w:space="0" w:color="auto"/>
        <w:bottom w:val="none" w:sz="0" w:space="0" w:color="auto"/>
        <w:right w:val="none" w:sz="0" w:space="0" w:color="auto"/>
      </w:divBdr>
    </w:div>
    <w:div w:id="950429076">
      <w:bodyDiv w:val="1"/>
      <w:marLeft w:val="0"/>
      <w:marRight w:val="0"/>
      <w:marTop w:val="0"/>
      <w:marBottom w:val="0"/>
      <w:divBdr>
        <w:top w:val="none" w:sz="0" w:space="0" w:color="auto"/>
        <w:left w:val="none" w:sz="0" w:space="0" w:color="auto"/>
        <w:bottom w:val="none" w:sz="0" w:space="0" w:color="auto"/>
        <w:right w:val="none" w:sz="0" w:space="0" w:color="auto"/>
      </w:divBdr>
    </w:div>
    <w:div w:id="968784361">
      <w:bodyDiv w:val="1"/>
      <w:marLeft w:val="0"/>
      <w:marRight w:val="0"/>
      <w:marTop w:val="0"/>
      <w:marBottom w:val="0"/>
      <w:divBdr>
        <w:top w:val="none" w:sz="0" w:space="0" w:color="auto"/>
        <w:left w:val="none" w:sz="0" w:space="0" w:color="auto"/>
        <w:bottom w:val="none" w:sz="0" w:space="0" w:color="auto"/>
        <w:right w:val="none" w:sz="0" w:space="0" w:color="auto"/>
      </w:divBdr>
    </w:div>
    <w:div w:id="974023485">
      <w:bodyDiv w:val="1"/>
      <w:marLeft w:val="0"/>
      <w:marRight w:val="0"/>
      <w:marTop w:val="0"/>
      <w:marBottom w:val="0"/>
      <w:divBdr>
        <w:top w:val="none" w:sz="0" w:space="0" w:color="auto"/>
        <w:left w:val="none" w:sz="0" w:space="0" w:color="auto"/>
        <w:bottom w:val="none" w:sz="0" w:space="0" w:color="auto"/>
        <w:right w:val="none" w:sz="0" w:space="0" w:color="auto"/>
      </w:divBdr>
    </w:div>
    <w:div w:id="1061901973">
      <w:bodyDiv w:val="1"/>
      <w:marLeft w:val="0"/>
      <w:marRight w:val="0"/>
      <w:marTop w:val="0"/>
      <w:marBottom w:val="0"/>
      <w:divBdr>
        <w:top w:val="none" w:sz="0" w:space="0" w:color="auto"/>
        <w:left w:val="none" w:sz="0" w:space="0" w:color="auto"/>
        <w:bottom w:val="none" w:sz="0" w:space="0" w:color="auto"/>
        <w:right w:val="none" w:sz="0" w:space="0" w:color="auto"/>
      </w:divBdr>
    </w:div>
    <w:div w:id="1098254862">
      <w:bodyDiv w:val="1"/>
      <w:marLeft w:val="0"/>
      <w:marRight w:val="0"/>
      <w:marTop w:val="0"/>
      <w:marBottom w:val="0"/>
      <w:divBdr>
        <w:top w:val="none" w:sz="0" w:space="0" w:color="auto"/>
        <w:left w:val="none" w:sz="0" w:space="0" w:color="auto"/>
        <w:bottom w:val="none" w:sz="0" w:space="0" w:color="auto"/>
        <w:right w:val="none" w:sz="0" w:space="0" w:color="auto"/>
      </w:divBdr>
    </w:div>
    <w:div w:id="1143158449">
      <w:bodyDiv w:val="1"/>
      <w:marLeft w:val="0"/>
      <w:marRight w:val="0"/>
      <w:marTop w:val="0"/>
      <w:marBottom w:val="0"/>
      <w:divBdr>
        <w:top w:val="none" w:sz="0" w:space="0" w:color="auto"/>
        <w:left w:val="none" w:sz="0" w:space="0" w:color="auto"/>
        <w:bottom w:val="none" w:sz="0" w:space="0" w:color="auto"/>
        <w:right w:val="none" w:sz="0" w:space="0" w:color="auto"/>
      </w:divBdr>
    </w:div>
    <w:div w:id="1191721348">
      <w:bodyDiv w:val="1"/>
      <w:marLeft w:val="0"/>
      <w:marRight w:val="0"/>
      <w:marTop w:val="0"/>
      <w:marBottom w:val="0"/>
      <w:divBdr>
        <w:top w:val="none" w:sz="0" w:space="0" w:color="auto"/>
        <w:left w:val="none" w:sz="0" w:space="0" w:color="auto"/>
        <w:bottom w:val="none" w:sz="0" w:space="0" w:color="auto"/>
        <w:right w:val="none" w:sz="0" w:space="0" w:color="auto"/>
      </w:divBdr>
    </w:div>
    <w:div w:id="1382054723">
      <w:bodyDiv w:val="1"/>
      <w:marLeft w:val="0"/>
      <w:marRight w:val="0"/>
      <w:marTop w:val="0"/>
      <w:marBottom w:val="0"/>
      <w:divBdr>
        <w:top w:val="none" w:sz="0" w:space="0" w:color="auto"/>
        <w:left w:val="none" w:sz="0" w:space="0" w:color="auto"/>
        <w:bottom w:val="none" w:sz="0" w:space="0" w:color="auto"/>
        <w:right w:val="none" w:sz="0" w:space="0" w:color="auto"/>
      </w:divBdr>
    </w:div>
    <w:div w:id="1407721622">
      <w:bodyDiv w:val="1"/>
      <w:marLeft w:val="0"/>
      <w:marRight w:val="0"/>
      <w:marTop w:val="0"/>
      <w:marBottom w:val="0"/>
      <w:divBdr>
        <w:top w:val="none" w:sz="0" w:space="0" w:color="auto"/>
        <w:left w:val="none" w:sz="0" w:space="0" w:color="auto"/>
        <w:bottom w:val="none" w:sz="0" w:space="0" w:color="auto"/>
        <w:right w:val="none" w:sz="0" w:space="0" w:color="auto"/>
      </w:divBdr>
    </w:div>
    <w:div w:id="1438214687">
      <w:bodyDiv w:val="1"/>
      <w:marLeft w:val="0"/>
      <w:marRight w:val="0"/>
      <w:marTop w:val="0"/>
      <w:marBottom w:val="0"/>
      <w:divBdr>
        <w:top w:val="none" w:sz="0" w:space="0" w:color="auto"/>
        <w:left w:val="none" w:sz="0" w:space="0" w:color="auto"/>
        <w:bottom w:val="none" w:sz="0" w:space="0" w:color="auto"/>
        <w:right w:val="none" w:sz="0" w:space="0" w:color="auto"/>
      </w:divBdr>
    </w:div>
    <w:div w:id="1514874440">
      <w:bodyDiv w:val="1"/>
      <w:marLeft w:val="0"/>
      <w:marRight w:val="0"/>
      <w:marTop w:val="0"/>
      <w:marBottom w:val="0"/>
      <w:divBdr>
        <w:top w:val="none" w:sz="0" w:space="0" w:color="auto"/>
        <w:left w:val="none" w:sz="0" w:space="0" w:color="auto"/>
        <w:bottom w:val="none" w:sz="0" w:space="0" w:color="auto"/>
        <w:right w:val="none" w:sz="0" w:space="0" w:color="auto"/>
      </w:divBdr>
    </w:div>
    <w:div w:id="1623657469">
      <w:bodyDiv w:val="1"/>
      <w:marLeft w:val="0"/>
      <w:marRight w:val="0"/>
      <w:marTop w:val="0"/>
      <w:marBottom w:val="0"/>
      <w:divBdr>
        <w:top w:val="none" w:sz="0" w:space="0" w:color="auto"/>
        <w:left w:val="none" w:sz="0" w:space="0" w:color="auto"/>
        <w:bottom w:val="none" w:sz="0" w:space="0" w:color="auto"/>
        <w:right w:val="none" w:sz="0" w:space="0" w:color="auto"/>
      </w:divBdr>
    </w:div>
    <w:div w:id="1812555230">
      <w:bodyDiv w:val="1"/>
      <w:marLeft w:val="0"/>
      <w:marRight w:val="0"/>
      <w:marTop w:val="0"/>
      <w:marBottom w:val="0"/>
      <w:divBdr>
        <w:top w:val="none" w:sz="0" w:space="0" w:color="auto"/>
        <w:left w:val="none" w:sz="0" w:space="0" w:color="auto"/>
        <w:bottom w:val="none" w:sz="0" w:space="0" w:color="auto"/>
        <w:right w:val="none" w:sz="0" w:space="0" w:color="auto"/>
      </w:divBdr>
    </w:div>
    <w:div w:id="1886942449">
      <w:bodyDiv w:val="1"/>
      <w:marLeft w:val="0"/>
      <w:marRight w:val="0"/>
      <w:marTop w:val="0"/>
      <w:marBottom w:val="0"/>
      <w:divBdr>
        <w:top w:val="none" w:sz="0" w:space="0" w:color="auto"/>
        <w:left w:val="none" w:sz="0" w:space="0" w:color="auto"/>
        <w:bottom w:val="none" w:sz="0" w:space="0" w:color="auto"/>
        <w:right w:val="none" w:sz="0" w:space="0" w:color="auto"/>
      </w:divBdr>
    </w:div>
    <w:div w:id="1894540741">
      <w:bodyDiv w:val="1"/>
      <w:marLeft w:val="0"/>
      <w:marRight w:val="0"/>
      <w:marTop w:val="0"/>
      <w:marBottom w:val="0"/>
      <w:divBdr>
        <w:top w:val="none" w:sz="0" w:space="0" w:color="auto"/>
        <w:left w:val="none" w:sz="0" w:space="0" w:color="auto"/>
        <w:bottom w:val="none" w:sz="0" w:space="0" w:color="auto"/>
        <w:right w:val="none" w:sz="0" w:space="0" w:color="auto"/>
      </w:divBdr>
    </w:div>
    <w:div w:id="1938098984">
      <w:bodyDiv w:val="1"/>
      <w:marLeft w:val="0"/>
      <w:marRight w:val="0"/>
      <w:marTop w:val="0"/>
      <w:marBottom w:val="0"/>
      <w:divBdr>
        <w:top w:val="none" w:sz="0" w:space="0" w:color="auto"/>
        <w:left w:val="none" w:sz="0" w:space="0" w:color="auto"/>
        <w:bottom w:val="none" w:sz="0" w:space="0" w:color="auto"/>
        <w:right w:val="none" w:sz="0" w:space="0" w:color="auto"/>
      </w:divBdr>
      <w:divsChild>
        <w:div w:id="1361737316">
          <w:marLeft w:val="0"/>
          <w:marRight w:val="0"/>
          <w:marTop w:val="0"/>
          <w:marBottom w:val="0"/>
          <w:divBdr>
            <w:top w:val="none" w:sz="0" w:space="0" w:color="auto"/>
            <w:left w:val="none" w:sz="0" w:space="0" w:color="auto"/>
            <w:bottom w:val="none" w:sz="0" w:space="0" w:color="auto"/>
            <w:right w:val="none" w:sz="0" w:space="0" w:color="auto"/>
          </w:divBdr>
          <w:divsChild>
            <w:div w:id="109478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361">
      <w:bodyDiv w:val="1"/>
      <w:marLeft w:val="0"/>
      <w:marRight w:val="0"/>
      <w:marTop w:val="0"/>
      <w:marBottom w:val="0"/>
      <w:divBdr>
        <w:top w:val="none" w:sz="0" w:space="0" w:color="auto"/>
        <w:left w:val="none" w:sz="0" w:space="0" w:color="auto"/>
        <w:bottom w:val="none" w:sz="0" w:space="0" w:color="auto"/>
        <w:right w:val="none" w:sz="0" w:space="0" w:color="auto"/>
      </w:divBdr>
    </w:div>
    <w:div w:id="2049915549">
      <w:bodyDiv w:val="1"/>
      <w:marLeft w:val="0"/>
      <w:marRight w:val="0"/>
      <w:marTop w:val="0"/>
      <w:marBottom w:val="0"/>
      <w:divBdr>
        <w:top w:val="none" w:sz="0" w:space="0" w:color="auto"/>
        <w:left w:val="none" w:sz="0" w:space="0" w:color="auto"/>
        <w:bottom w:val="none" w:sz="0" w:space="0" w:color="auto"/>
        <w:right w:val="none" w:sz="0" w:space="0" w:color="auto"/>
      </w:divBdr>
    </w:div>
    <w:div w:id="211065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arritan.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martmusic.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inalemusic.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inalemusic.co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4F892-A0B2-497F-B81C-9190BFD45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78</Pages>
  <Words>36117</Words>
  <Characters>208938</Characters>
  <Application>Microsoft Office Word</Application>
  <DocSecurity>0</DocSecurity>
  <Lines>1741</Lines>
  <Paragraphs>489</Paragraphs>
  <ScaleCrop>false</ScaleCrop>
  <HeadingPairs>
    <vt:vector size="2" baseType="variant">
      <vt:variant>
        <vt:lpstr>Title</vt:lpstr>
      </vt:variant>
      <vt:variant>
        <vt:i4>1</vt:i4>
      </vt:variant>
    </vt:vector>
  </HeadingPairs>
  <TitlesOfParts>
    <vt:vector size="1" baseType="lpstr">
      <vt:lpstr>_</vt:lpstr>
    </vt:vector>
  </TitlesOfParts>
  <Company>Microsoft</Company>
  <LinksUpToDate>false</LinksUpToDate>
  <CharactersWithSpaces>244566</CharactersWithSpaces>
  <SharedDoc>false</SharedDoc>
  <HLinks>
    <vt:vector size="18" baseType="variant">
      <vt:variant>
        <vt:i4>4128828</vt:i4>
      </vt:variant>
      <vt:variant>
        <vt:i4>9</vt:i4>
      </vt:variant>
      <vt:variant>
        <vt:i4>0</vt:i4>
      </vt:variant>
      <vt:variant>
        <vt:i4>5</vt:i4>
      </vt:variant>
      <vt:variant>
        <vt:lpwstr>http://www.smartmusic.com/</vt:lpwstr>
      </vt:variant>
      <vt:variant>
        <vt:lpwstr/>
      </vt:variant>
      <vt:variant>
        <vt:i4>3932256</vt:i4>
      </vt:variant>
      <vt:variant>
        <vt:i4>6</vt:i4>
      </vt:variant>
      <vt:variant>
        <vt:i4>0</vt:i4>
      </vt:variant>
      <vt:variant>
        <vt:i4>5</vt:i4>
      </vt:variant>
      <vt:variant>
        <vt:lpwstr>http://www.finalemusic.com/</vt:lpwstr>
      </vt:variant>
      <vt:variant>
        <vt:lpwstr/>
      </vt:variant>
      <vt:variant>
        <vt:i4>3932256</vt:i4>
      </vt:variant>
      <vt:variant>
        <vt:i4>3</vt:i4>
      </vt:variant>
      <vt:variant>
        <vt:i4>0</vt:i4>
      </vt:variant>
      <vt:variant>
        <vt:i4>5</vt:i4>
      </vt:variant>
      <vt:variant>
        <vt:lpwstr>http://www.finalemusic.com/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ashuler</dc:creator>
  <cp:lastModifiedBy>Johnson, Michelle J.</cp:lastModifiedBy>
  <cp:revision>13</cp:revision>
  <cp:lastPrinted>2012-03-09T23:14:00Z</cp:lastPrinted>
  <dcterms:created xsi:type="dcterms:W3CDTF">2012-03-13T14:47:00Z</dcterms:created>
  <dcterms:modified xsi:type="dcterms:W3CDTF">2012-03-13T17:45:00Z</dcterms:modified>
</cp:coreProperties>
</file>